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5397A79B" w:rsidR="006C21E4" w:rsidRPr="00E4784A" w:rsidRDefault="00DF7522" w:rsidP="00854D39">
      <w:pPr>
        <w:shd w:val="clear" w:color="auto" w:fill="FFFFFF"/>
        <w:tabs>
          <w:tab w:val="center" w:pos="4725"/>
        </w:tabs>
        <w:spacing w:line="235" w:lineRule="atLeast"/>
        <w:ind w:left="-990" w:right="-990"/>
        <w:jc w:val="center"/>
        <w:rPr>
          <w:rFonts w:ascii="Calibri" w:eastAsiaTheme="majorEastAsia" w:hAnsi="Calibri" w:cs="Calibri"/>
          <w:color w:val="0C425E"/>
          <w:kern w:val="28"/>
          <w:sz w:val="76"/>
          <w:szCs w:val="76"/>
          <w:lang w:eastAsia="ja-JP"/>
        </w:rPr>
      </w:pPr>
      <w:r w:rsidRPr="00E4784A">
        <w:rPr>
          <w:rFonts w:ascii="Calibri" w:eastAsiaTheme="majorEastAsia" w:hAnsi="Calibri" w:cs="Calibri"/>
          <w:noProof/>
          <w:color w:val="0C425E"/>
          <w:kern w:val="28"/>
          <w:sz w:val="76"/>
          <w:szCs w:val="76"/>
          <w:lang w:eastAsia="ja-JP"/>
        </w:rPr>
        <w:drawing>
          <wp:anchor distT="0" distB="0" distL="114300" distR="114300" simplePos="0" relativeHeight="251667456" behindDoc="0" locked="0" layoutInCell="1" allowOverlap="1" wp14:anchorId="586623DE" wp14:editId="377AFC5B">
            <wp:simplePos x="0" y="0"/>
            <wp:positionH relativeFrom="column">
              <wp:posOffset>-89157</wp:posOffset>
            </wp:positionH>
            <wp:positionV relativeFrom="paragraph">
              <wp:posOffset>-949960</wp:posOffset>
            </wp:positionV>
            <wp:extent cx="1438275" cy="1049452"/>
            <wp:effectExtent l="0" t="0" r="0" b="0"/>
            <wp:wrapNone/>
            <wp:docPr id="6541652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049452"/>
                    </a:xfrm>
                    <a:prstGeom prst="rect">
                      <a:avLst/>
                    </a:prstGeom>
                    <a:noFill/>
                    <a:ln>
                      <a:noFill/>
                    </a:ln>
                  </pic:spPr>
                </pic:pic>
              </a:graphicData>
            </a:graphic>
            <wp14:sizeRelH relativeFrom="page">
              <wp14:pctWidth>0</wp14:pctWidth>
            </wp14:sizeRelH>
            <wp14:sizeRelV relativeFrom="page">
              <wp14:pctHeight>0</wp14:pctHeight>
            </wp14:sizeRelV>
          </wp:anchor>
        </w:drawing>
      </w:r>
      <w:r w:rsidR="00E42FB4" w:rsidRPr="00E4784A">
        <w:rPr>
          <w:rFonts w:ascii="Calibri" w:eastAsiaTheme="majorEastAsia" w:hAnsi="Calibri" w:cs="Calibri"/>
          <w:color w:val="0C425E"/>
          <w:kern w:val="28"/>
          <w:sz w:val="76"/>
          <w:szCs w:val="76"/>
          <w:lang w:eastAsia="ja-JP"/>
        </w:rPr>
        <w:t xml:space="preserve">The </w:t>
      </w:r>
      <w:r w:rsidR="008151E2" w:rsidRPr="00E4784A">
        <w:rPr>
          <w:rFonts w:ascii="Calibri" w:eastAsiaTheme="majorEastAsia" w:hAnsi="Calibri" w:cs="Calibri"/>
          <w:color w:val="0C425E"/>
          <w:kern w:val="28"/>
          <w:sz w:val="76"/>
          <w:szCs w:val="76"/>
          <w:lang w:eastAsia="ja-JP"/>
        </w:rPr>
        <w:t xml:space="preserve">HR </w:t>
      </w:r>
      <w:r w:rsidR="00E42FB4" w:rsidRPr="00E4784A">
        <w:rPr>
          <w:rFonts w:ascii="Calibri" w:eastAsiaTheme="majorEastAsia" w:hAnsi="Calibri" w:cs="Calibri"/>
          <w:color w:val="0C425E"/>
          <w:kern w:val="28"/>
          <w:sz w:val="76"/>
          <w:szCs w:val="76"/>
          <w:lang w:eastAsia="ja-JP"/>
        </w:rPr>
        <w:t>WIRE</w:t>
      </w:r>
    </w:p>
    <w:p w14:paraId="17F4AB1C" w14:textId="54DAE794" w:rsidR="00694B93" w:rsidRPr="00685EF8" w:rsidRDefault="0093086F" w:rsidP="00357923">
      <w:pPr>
        <w:shd w:val="clear" w:color="auto" w:fill="FFFFFF"/>
        <w:spacing w:after="0" w:line="480" w:lineRule="auto"/>
        <w:jc w:val="center"/>
        <w:rPr>
          <w:rFonts w:ascii="Calibri" w:eastAsiaTheme="majorEastAsia" w:hAnsi="Calibri" w:cs="Calibri"/>
          <w:b/>
          <w:caps/>
          <w:color w:val="0C425E"/>
          <w:spacing w:val="10"/>
          <w:sz w:val="24"/>
          <w:szCs w:val="24"/>
          <w:lang w:eastAsia="ja-JP"/>
        </w:rPr>
      </w:pPr>
      <w:r w:rsidRPr="00685EF8">
        <w:rPr>
          <w:rFonts w:ascii="Calibri" w:eastAsiaTheme="majorEastAsia" w:hAnsi="Calibri" w:cs="Calibri"/>
          <w:b/>
          <w:caps/>
          <w:color w:val="0C425E"/>
          <w:spacing w:val="10"/>
          <w:sz w:val="24"/>
          <w:szCs w:val="24"/>
          <w:lang w:eastAsia="ja-JP"/>
        </w:rPr>
        <w:t xml:space="preserve"> </w:t>
      </w:r>
      <w:r w:rsidR="006C21E4" w:rsidRPr="00685EF8">
        <w:rPr>
          <w:rFonts w:ascii="Calibri" w:eastAsiaTheme="majorEastAsia" w:hAnsi="Calibri" w:cs="Calibri"/>
          <w:b/>
          <w:caps/>
          <w:color w:val="0C425E"/>
          <w:spacing w:val="10"/>
          <w:sz w:val="24"/>
          <w:szCs w:val="24"/>
          <w:lang w:eastAsia="ja-JP"/>
        </w:rPr>
        <w:t>ETC</w:t>
      </w:r>
      <w:r w:rsidR="00C53E33">
        <w:rPr>
          <w:rFonts w:ascii="Calibri" w:eastAsiaTheme="majorEastAsia" w:hAnsi="Calibri" w:cs="Calibri"/>
          <w:b/>
          <w:caps/>
          <w:color w:val="0C425E"/>
          <w:spacing w:val="10"/>
          <w:sz w:val="24"/>
          <w:szCs w:val="24"/>
          <w:lang w:eastAsia="ja-JP"/>
        </w:rPr>
        <w:t xml:space="preserve">’s </w:t>
      </w:r>
      <w:r w:rsidR="001A7F3F" w:rsidRPr="00685EF8">
        <w:rPr>
          <w:rFonts w:ascii="Calibri" w:eastAsiaTheme="majorEastAsia" w:hAnsi="Calibri" w:cs="Calibri"/>
          <w:b/>
          <w:caps/>
          <w:color w:val="0C425E"/>
          <w:spacing w:val="10"/>
          <w:sz w:val="24"/>
          <w:szCs w:val="24"/>
          <w:lang w:eastAsia="ja-JP"/>
        </w:rPr>
        <w:t>Employer Compliance News</w:t>
      </w:r>
      <w:r w:rsidR="006F197D" w:rsidRPr="00685EF8">
        <w:rPr>
          <w:rFonts w:ascii="Calibri" w:eastAsiaTheme="majorEastAsia" w:hAnsi="Calibri" w:cs="Calibri"/>
          <w:b/>
          <w:caps/>
          <w:color w:val="0C425E"/>
          <w:spacing w:val="10"/>
          <w:sz w:val="24"/>
          <w:szCs w:val="24"/>
          <w:lang w:eastAsia="ja-JP"/>
        </w:rPr>
        <w:t xml:space="preserve">  </w:t>
      </w:r>
      <w:r w:rsidR="00C53E33">
        <w:rPr>
          <w:rFonts w:ascii="Calibri" w:eastAsiaTheme="majorEastAsia" w:hAnsi="Calibri" w:cs="Calibri"/>
          <w:b/>
          <w:caps/>
          <w:color w:val="0C425E"/>
          <w:spacing w:val="10"/>
          <w:sz w:val="24"/>
          <w:szCs w:val="24"/>
          <w:lang w:eastAsia="ja-JP"/>
        </w:rPr>
        <w:t xml:space="preserve"> </w:t>
      </w:r>
      <w:r w:rsidR="006F197D" w:rsidRPr="00685EF8">
        <w:rPr>
          <w:rFonts w:ascii="Calibri" w:eastAsiaTheme="majorEastAsia" w:hAnsi="Calibri" w:cs="Calibri"/>
          <w:b/>
          <w:caps/>
          <w:color w:val="0C425E"/>
          <w:spacing w:val="10"/>
          <w:sz w:val="24"/>
          <w:szCs w:val="24"/>
          <w:lang w:eastAsia="ja-JP"/>
        </w:rPr>
        <w:t xml:space="preserve">II   </w:t>
      </w:r>
      <w:r w:rsidR="00F54971" w:rsidRPr="00685EF8">
        <w:rPr>
          <w:rFonts w:ascii="Calibri" w:eastAsiaTheme="majorEastAsia" w:hAnsi="Calibri" w:cs="Calibri"/>
          <w:b/>
          <w:caps/>
          <w:color w:val="0C425E"/>
          <w:spacing w:val="10"/>
          <w:sz w:val="24"/>
          <w:szCs w:val="24"/>
          <w:lang w:eastAsia="ja-JP"/>
        </w:rPr>
        <w:t>Making Compliance Connections</w:t>
      </w:r>
    </w:p>
    <w:p w14:paraId="45CE0B39" w14:textId="093B8C1C" w:rsidR="00F13718" w:rsidRPr="00357923" w:rsidRDefault="008C51BC" w:rsidP="00357923">
      <w:pPr>
        <w:shd w:val="clear" w:color="auto" w:fill="FFFFFF"/>
        <w:spacing w:after="0" w:line="480" w:lineRule="auto"/>
        <w:jc w:val="center"/>
        <w:rPr>
          <w:rFonts w:asciiTheme="majorHAnsi" w:eastAsia="Times New Roman" w:hAnsiTheme="majorHAnsi" w:cstheme="majorHAnsi"/>
          <w:b/>
          <w:bCs/>
          <w:color w:val="0070C0"/>
          <w:sz w:val="32"/>
          <w:szCs w:val="32"/>
          <w:lang w:val="en"/>
        </w:rPr>
      </w:pPr>
      <w:r>
        <w:rPr>
          <w:rFonts w:asciiTheme="majorHAnsi" w:eastAsia="Times New Roman" w:hAnsiTheme="majorHAnsi" w:cstheme="majorHAnsi"/>
          <w:b/>
          <w:bCs/>
          <w:color w:val="0070C0"/>
          <w:sz w:val="32"/>
          <w:szCs w:val="32"/>
          <w:lang w:val="en"/>
        </w:rPr>
        <w:t xml:space="preserve">September </w:t>
      </w:r>
      <w:r w:rsidR="00527B4D" w:rsidRPr="00357923">
        <w:rPr>
          <w:rFonts w:asciiTheme="majorHAnsi" w:eastAsia="Times New Roman" w:hAnsiTheme="majorHAnsi" w:cstheme="majorHAnsi"/>
          <w:b/>
          <w:bCs/>
          <w:color w:val="0070C0"/>
          <w:sz w:val="32"/>
          <w:szCs w:val="32"/>
          <w:lang w:val="en"/>
        </w:rPr>
        <w:t>202</w:t>
      </w:r>
      <w:bookmarkStart w:id="0" w:name="_Hlk165893264"/>
      <w:r w:rsidR="00322C14" w:rsidRPr="00357923">
        <w:rPr>
          <w:rFonts w:asciiTheme="majorHAnsi" w:eastAsia="Times New Roman" w:hAnsiTheme="majorHAnsi" w:cstheme="majorHAnsi"/>
          <w:b/>
          <w:bCs/>
          <w:color w:val="0070C0"/>
          <w:sz w:val="32"/>
          <w:szCs w:val="32"/>
          <w:lang w:val="en"/>
        </w:rPr>
        <w:t>6</w:t>
      </w:r>
    </w:p>
    <w:p w14:paraId="0AEB52E4" w14:textId="6C5DA726" w:rsidR="00D730DD" w:rsidRPr="00FB465A" w:rsidRDefault="00F41A39">
      <w:pPr>
        <w:pStyle w:val="ListParagraph"/>
        <w:numPr>
          <w:ilvl w:val="0"/>
          <w:numId w:val="326"/>
        </w:numPr>
        <w:spacing w:after="0" w:line="240" w:lineRule="auto"/>
        <w:ind w:right="-360"/>
        <w:jc w:val="center"/>
        <w:rPr>
          <w:rFonts w:ascii="Roboto" w:eastAsia="Times New Roman" w:hAnsi="Roboto" w:cs="Times New Roman"/>
          <w:b/>
          <w:color w:val="0070C0"/>
          <w:sz w:val="32"/>
          <w:szCs w:val="32"/>
          <w:lang w:val="en"/>
        </w:rPr>
      </w:pPr>
      <w:bookmarkStart w:id="1" w:name="_Hlk139469203"/>
      <w:bookmarkStart w:id="2" w:name="_Hlk183165799"/>
      <w:r w:rsidRPr="00FB465A">
        <w:rPr>
          <w:rFonts w:ascii="Calibri" w:eastAsiaTheme="majorEastAsia" w:hAnsi="Calibri" w:cs="Calibri"/>
          <w:b/>
          <w:caps/>
          <w:color w:val="0C425E"/>
          <w:spacing w:val="10"/>
          <w:sz w:val="32"/>
          <w:szCs w:val="32"/>
          <w:lang w:eastAsia="ja-JP"/>
        </w:rPr>
        <w:t>Previously Reported</w:t>
      </w:r>
      <w:r w:rsidR="008B1A18" w:rsidRPr="00FB465A">
        <w:rPr>
          <w:rFonts w:ascii="Calibri" w:eastAsiaTheme="majorEastAsia" w:hAnsi="Calibri" w:cs="Calibri"/>
          <w:b/>
          <w:caps/>
          <w:color w:val="0C425E"/>
          <w:spacing w:val="10"/>
          <w:sz w:val="32"/>
          <w:szCs w:val="32"/>
          <w:lang w:eastAsia="ja-JP"/>
        </w:rPr>
        <w:t xml:space="preserve"> Regulatory Matters</w:t>
      </w:r>
      <w:bookmarkEnd w:id="1"/>
      <w:r w:rsidR="00FB465A">
        <w:rPr>
          <w:rFonts w:ascii="Calibri" w:eastAsiaTheme="majorEastAsia" w:hAnsi="Calibri" w:cs="Calibri"/>
          <w:b/>
          <w:caps/>
          <w:color w:val="0C425E"/>
          <w:spacing w:val="10"/>
          <w:sz w:val="32"/>
          <w:szCs w:val="32"/>
          <w:lang w:eastAsia="ja-JP"/>
        </w:rPr>
        <w:t xml:space="preserve">   -</w:t>
      </w:r>
    </w:p>
    <w:bookmarkEnd w:id="2"/>
    <w:p w14:paraId="5190DC5C" w14:textId="0AEC2F5E" w:rsidR="00022BF0" w:rsidRPr="00D66B68" w:rsidRDefault="00022BF0" w:rsidP="00D730DD">
      <w:pPr>
        <w:spacing w:after="0" w:line="240" w:lineRule="auto"/>
        <w:ind w:right="-360"/>
        <w:rPr>
          <w:rStyle w:val="Hyperlink"/>
          <w:rFonts w:ascii="Roboto" w:eastAsia="Times New Roman" w:hAnsi="Roboto" w:cs="Times New Roman"/>
          <w:b/>
          <w:bCs/>
          <w:color w:val="0070C0"/>
          <w:sz w:val="32"/>
          <w:szCs w:val="32"/>
          <w:u w:val="none"/>
          <w:lang w:val="en"/>
        </w:rPr>
      </w:pP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1BB16A32" w:rsidR="009040C5" w:rsidRPr="00DD7BD1" w:rsidRDefault="009040C5" w:rsidP="00F26D01">
      <w:pPr>
        <w:pStyle w:val="Heading1"/>
        <w:shd w:val="clear" w:color="auto" w:fill="FFFFFF"/>
        <w:tabs>
          <w:tab w:val="left" w:pos="1080"/>
          <w:tab w:val="right" w:pos="11520"/>
        </w:tabs>
        <w:spacing w:before="0" w:beforeAutospacing="0" w:after="0" w:afterAutospacing="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Workplace Notices Updates</w:t>
      </w:r>
      <w:r w:rsidR="00F26D01" w:rsidRPr="00DD7BD1">
        <w:rPr>
          <w:rStyle w:val="Hyperlink"/>
          <w:rFonts w:ascii="Calibri" w:eastAsiaTheme="minorHAnsi" w:hAnsi="Calibri" w:cs="Calibri"/>
          <w:color w:val="auto"/>
          <w:sz w:val="28"/>
          <w:szCs w:val="28"/>
          <w:u w:val="none"/>
        </w:rPr>
        <w:tab/>
      </w:r>
    </w:p>
    <w:p w14:paraId="7D6BC822" w14:textId="287954C7" w:rsidR="00F1262E" w:rsidRPr="00DD7BD1" w:rsidRDefault="007D0B93" w:rsidP="00F1262E">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w:t>
      </w:r>
    </w:p>
    <w:p w14:paraId="4DACD227" w14:textId="1C079F91" w:rsidR="00AE3CCF" w:rsidRPr="00AE3CCF" w:rsidRDefault="00AE3CCF" w:rsidP="00AE3CCF">
      <w:pPr>
        <w:pStyle w:val="MainSectionHead"/>
        <w:ind w:firstLine="360"/>
        <w:rPr>
          <w:color w:val="auto"/>
          <w:sz w:val="26"/>
          <w:szCs w:val="26"/>
        </w:rPr>
      </w:pPr>
      <w:hyperlink r:id="rId9" w:history="1">
        <w:r w:rsidRPr="009D67D0">
          <w:rPr>
            <w:rStyle w:val="Hyperlink"/>
            <w:bCs w:val="0"/>
            <w:sz w:val="26"/>
            <w:szCs w:val="26"/>
          </w:rPr>
          <w:t>Children’s Health Insurance Program (CHIP)</w:t>
        </w:r>
        <w:r>
          <w:rPr>
            <w:rStyle w:val="Hyperlink"/>
            <w:bCs w:val="0"/>
            <w:sz w:val="26"/>
            <w:szCs w:val="26"/>
          </w:rPr>
          <w:t xml:space="preserve"> </w:t>
        </w:r>
        <w:r w:rsidRPr="009D67D0">
          <w:rPr>
            <w:rStyle w:val="Hyperlink"/>
            <w:bCs w:val="0"/>
            <w:sz w:val="26"/>
            <w:szCs w:val="26"/>
          </w:rPr>
          <w:t>Model Notice</w:t>
        </w:r>
      </w:hyperlink>
      <w:r w:rsidRPr="007067BA">
        <w:rPr>
          <w:color w:val="auto"/>
          <w:sz w:val="26"/>
          <w:szCs w:val="26"/>
        </w:rPr>
        <w:t xml:space="preserve"> </w:t>
      </w:r>
      <w:r w:rsidRPr="007067BA">
        <w:rPr>
          <w:b w:val="0"/>
          <w:bCs w:val="0"/>
          <w:color w:val="auto"/>
          <w:sz w:val="26"/>
          <w:szCs w:val="26"/>
        </w:rPr>
        <w:t>– updated as of 7/2026</w:t>
      </w:r>
    </w:p>
    <w:p w14:paraId="77B6C5B0" w14:textId="6D4D6872" w:rsidR="00576BA4" w:rsidRPr="00AE3CCF" w:rsidRDefault="00576BA4" w:rsidP="00576BA4">
      <w:pPr>
        <w:pStyle w:val="Heading2"/>
        <w:ind w:left="450"/>
        <w:rPr>
          <w:rStyle w:val="Hyperlink"/>
          <w:rFonts w:ascii="Calibri" w:eastAsiaTheme="minorHAnsi" w:hAnsi="Calibri" w:cs="Calibri"/>
          <w:b/>
          <w:bCs/>
          <w:color w:val="auto"/>
          <w:kern w:val="36"/>
          <w:u w:val="none"/>
        </w:rPr>
      </w:pPr>
      <w:r w:rsidRPr="00AE3CCF">
        <w:rPr>
          <w:rStyle w:val="Hyperlink"/>
          <w:rFonts w:ascii="Calibri" w:eastAsiaTheme="minorHAnsi" w:hAnsi="Calibri" w:cs="Calibri"/>
          <w:b/>
          <w:bCs/>
          <w:color w:val="auto"/>
          <w:kern w:val="36"/>
          <w:u w:val="none"/>
        </w:rPr>
        <w:t xml:space="preserve">UPDATED Federal OSHA “Job Safety &amp; Health” Notice </w:t>
      </w:r>
    </w:p>
    <w:p w14:paraId="68C9A7BE" w14:textId="16002638" w:rsidR="009A58E9" w:rsidRPr="00FF2E8E" w:rsidRDefault="00576BA4" w:rsidP="00FF2E8E">
      <w:pPr>
        <w:ind w:left="450"/>
        <w:rPr>
          <w:rStyle w:val="Hyperlink"/>
          <w:color w:val="auto"/>
          <w:u w:val="none"/>
        </w:rPr>
      </w:pPr>
      <w:r>
        <w:t xml:space="preserve">An </w:t>
      </w:r>
      <w:hyperlink r:id="rId10" w:history="1">
        <w:r w:rsidRPr="003E4B58">
          <w:rPr>
            <w:rStyle w:val="Hyperlink"/>
          </w:rPr>
          <w:t xml:space="preserve">Updated OSHA Job Safety and Health </w:t>
        </w:r>
        <w:r>
          <w:rPr>
            <w:rStyle w:val="Hyperlink"/>
          </w:rPr>
          <w:t xml:space="preserve">“It’s the Law” </w:t>
        </w:r>
        <w:r w:rsidRPr="003E4B58">
          <w:rPr>
            <w:rStyle w:val="Hyperlink"/>
          </w:rPr>
          <w:t xml:space="preserve">Notice </w:t>
        </w:r>
      </w:hyperlink>
      <w:r w:rsidRPr="00B9457F">
        <w:t xml:space="preserve">has been released </w:t>
      </w:r>
      <w:r>
        <w:t xml:space="preserve">by the </w:t>
      </w:r>
      <w:r w:rsidRPr="00F7513E">
        <w:t xml:space="preserve">U.S. Department of Labor (DOL); however, the DOL has clarified that this update is </w:t>
      </w:r>
      <w:r w:rsidRPr="00F7513E">
        <w:rPr>
          <w:u w:val="single"/>
        </w:rPr>
        <w:t>not</w:t>
      </w:r>
      <w:r w:rsidRPr="00F7513E">
        <w:t xml:space="preserve"> mandatory.  The newly revised OSHA version is more concise and streamlined than previous edition, with simplified language intended to improve readability for employees. Employers can replace or keep posted older 2019 versions of the OSHA poster currently displayed in their workplace.</w:t>
      </w:r>
    </w:p>
    <w:p w14:paraId="14CCBE93" w14:textId="77777777" w:rsidR="008631FB" w:rsidRPr="00DD7BD1" w:rsidRDefault="008631FB" w:rsidP="008631FB">
      <w:pPr>
        <w:pStyle w:val="Heading1"/>
        <w:shd w:val="clear" w:color="auto" w:fill="FFFFFF"/>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Form I-9 Updated. </w:t>
      </w:r>
      <w:r w:rsidRPr="00DD7BD1">
        <w:rPr>
          <w:rFonts w:ascii="Calibri" w:eastAsiaTheme="minorHAnsi" w:hAnsi="Calibri" w:cs="Calibri"/>
          <w:b w:val="0"/>
          <w:bCs w:val="0"/>
          <w:sz w:val="22"/>
          <w:szCs w:val="22"/>
        </w:rPr>
        <w:t xml:space="preserve">The </w:t>
      </w:r>
      <w:hyperlink r:id="rId11"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D3D5402" w14:textId="77777777" w:rsidR="008631FB" w:rsidRPr="00DD7BD1" w:rsidRDefault="007D0B93"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16"/>
          <w:szCs w:val="16"/>
          <w:u w:val="none"/>
        </w:rPr>
      </w:pPr>
      <w:r w:rsidRPr="00DD7BD1">
        <w:rPr>
          <w:rStyle w:val="Hyperlink"/>
          <w:rFonts w:ascii="Calibri" w:eastAsiaTheme="minorHAnsi" w:hAnsi="Calibri" w:cs="Calibri"/>
          <w:color w:val="auto"/>
          <w:sz w:val="26"/>
          <w:szCs w:val="26"/>
          <w:u w:val="none"/>
        </w:rPr>
        <w:tab/>
      </w:r>
    </w:p>
    <w:p w14:paraId="5CFCD432" w14:textId="77777777" w:rsidR="00FB491E" w:rsidRPr="00DD7BD1" w:rsidRDefault="00FB491E" w:rsidP="00FB491E">
      <w:pPr>
        <w:pStyle w:val="bodytext0"/>
        <w:spacing w:after="0" w:line="240" w:lineRule="auto"/>
        <w:ind w:left="360"/>
        <w:rPr>
          <w:rStyle w:val="Hyperlink"/>
          <w:rFonts w:ascii="Calibri" w:eastAsiaTheme="minorHAnsi" w:hAnsi="Calibri" w:cs="Calibri"/>
          <w:b/>
          <w:bCs/>
          <w:color w:val="auto"/>
          <w:sz w:val="26"/>
          <w:szCs w:val="26"/>
          <w:u w:val="none"/>
        </w:rPr>
      </w:pPr>
      <w:r w:rsidRPr="00DD7BD1">
        <w:rPr>
          <w:rStyle w:val="Hyperlink"/>
          <w:rFonts w:ascii="Calibri" w:eastAsiaTheme="minorHAnsi" w:hAnsi="Calibri" w:cs="Calibri"/>
          <w:b/>
          <w:bCs/>
          <w:color w:val="auto"/>
          <w:sz w:val="26"/>
          <w:szCs w:val="26"/>
          <w:u w:val="none"/>
        </w:rPr>
        <w:t xml:space="preserve">DOL Issued </w:t>
      </w:r>
      <w:hyperlink r:id="rId12" w:history="1">
        <w:r w:rsidRPr="00DD7BD1">
          <w:rPr>
            <w:rStyle w:val="Hyperlink"/>
            <w:rFonts w:ascii="Calibri" w:hAnsi="Calibri" w:cs="Calibri"/>
            <w:b/>
            <w:bCs/>
            <w:sz w:val="26"/>
            <w:szCs w:val="26"/>
          </w:rPr>
          <w:t>new model Employer CHIP Notice</w:t>
        </w:r>
      </w:hyperlink>
      <w:r w:rsidRPr="00DD7BD1">
        <w:rPr>
          <w:rStyle w:val="Hyperlink"/>
          <w:rFonts w:ascii="Calibri" w:eastAsiaTheme="minorHAnsi" w:hAnsi="Calibri" w:cs="Calibri"/>
          <w:b/>
          <w:bCs/>
          <w:color w:val="auto"/>
          <w:sz w:val="26"/>
          <w:szCs w:val="26"/>
          <w:u w:val="none"/>
        </w:rPr>
        <w:t xml:space="preserve"> </w:t>
      </w:r>
    </w:p>
    <w:p w14:paraId="6A65622F" w14:textId="77777777" w:rsidR="00FB491E" w:rsidRPr="00DD7BD1" w:rsidRDefault="00FB491E" w:rsidP="00FB491E">
      <w:pPr>
        <w:pStyle w:val="bodytext0"/>
        <w:spacing w:after="0" w:line="240" w:lineRule="auto"/>
        <w:ind w:left="810"/>
        <w:rPr>
          <w:rFonts w:ascii="Calibri" w:hAnsi="Calibri" w:cs="Calibri"/>
          <w:sz w:val="22"/>
        </w:rPr>
      </w:pPr>
      <w:r w:rsidRPr="00DD7BD1">
        <w:rPr>
          <w:rFonts w:ascii="Calibri" w:hAnsi="Calibri" w:cs="Calibri"/>
          <w:sz w:val="22"/>
        </w:rPr>
        <w:t xml:space="preserve">An employer is subject to this annual notice requirement if its group health plan covers participants who reside in a state that provides a premium assistance subsidy, regardless of the employer’s location. </w:t>
      </w:r>
    </w:p>
    <w:p w14:paraId="4E748954" w14:textId="77777777" w:rsidR="00FB491E" w:rsidRPr="00DD7BD1" w:rsidRDefault="00FB491E" w:rsidP="00FB491E">
      <w:pPr>
        <w:pStyle w:val="bodytext0"/>
        <w:ind w:left="810"/>
        <w:rPr>
          <w:rFonts w:ascii="Calibri" w:hAnsi="Calibri" w:cs="Calibri"/>
          <w:sz w:val="22"/>
        </w:rPr>
      </w:pPr>
      <w:r w:rsidRPr="00DD7BD1">
        <w:rPr>
          <w:rFonts w:ascii="Calibri" w:hAnsi="Calibri" w:cs="Calibri"/>
          <w:sz w:val="22"/>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p>
    <w:p w14:paraId="67C536B4" w14:textId="77777777" w:rsidR="00FB491E" w:rsidRPr="00DD7BD1" w:rsidRDefault="00FB491E" w:rsidP="00FB491E">
      <w:pPr>
        <w:pStyle w:val="bodytext0"/>
        <w:spacing w:after="0"/>
        <w:ind w:left="810"/>
        <w:rPr>
          <w:rFonts w:ascii="Calibri" w:hAnsi="Calibri" w:cs="Calibri"/>
          <w:sz w:val="22"/>
        </w:rPr>
      </w:pPr>
      <w:r w:rsidRPr="00DD7BD1">
        <w:rPr>
          <w:rFonts w:ascii="Calibri" w:hAnsi="Calibri" w:cs="Calibri"/>
          <w:sz w:val="22"/>
        </w:rPr>
        <w:t xml:space="preserve">An employer can choose to provide the notice on its own or concurrent with the furnishing of: </w:t>
      </w:r>
    </w:p>
    <w:p w14:paraId="13D07368"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notifying the employee of health plan eligibility;</w:t>
      </w:r>
    </w:p>
    <w:p w14:paraId="3EE8125B"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provided to the employee in connection with an open season or election process conducted under the plan; or</w:t>
      </w:r>
    </w:p>
    <w:p w14:paraId="517E9930" w14:textId="2078746A" w:rsidR="00FB491E" w:rsidRPr="00DD7BD1" w:rsidRDefault="00FB491E" w:rsidP="00FB491E">
      <w:pPr>
        <w:pStyle w:val="bodytext0"/>
        <w:numPr>
          <w:ilvl w:val="1"/>
          <w:numId w:val="313"/>
        </w:numPr>
        <w:spacing w:after="0"/>
        <w:rPr>
          <w:rStyle w:val="Hyperlink"/>
          <w:rFonts w:ascii="Calibri" w:hAnsi="Calibri" w:cs="Calibri"/>
          <w:color w:val="auto"/>
          <w:spacing w:val="5"/>
          <w:sz w:val="22"/>
          <w:u w:val="none"/>
        </w:rPr>
      </w:pPr>
      <w:r w:rsidRPr="00DD7BD1">
        <w:rPr>
          <w:rStyle w:val="BookTitle"/>
          <w:rFonts w:ascii="Calibri" w:hAnsi="Calibri" w:cs="Calibri"/>
          <w:sz w:val="22"/>
        </w:rPr>
        <w:t>The summary plan description (SPD).</w:t>
      </w:r>
      <w:r w:rsidR="002C1B32" w:rsidRPr="00DD7BD1">
        <w:rPr>
          <w:rStyle w:val="Hyperlink"/>
          <w:rFonts w:ascii="Calibri" w:eastAsiaTheme="minorHAnsi" w:hAnsi="Calibri" w:cs="Calibri"/>
          <w:color w:val="auto"/>
          <w:sz w:val="26"/>
          <w:szCs w:val="26"/>
          <w:u w:val="none"/>
        </w:rPr>
        <w:tab/>
      </w:r>
    </w:p>
    <w:p w14:paraId="08FFEB91" w14:textId="77777777" w:rsidR="00FB491E" w:rsidRPr="00DD7BD1" w:rsidRDefault="00FB491E" w:rsidP="002C1B32">
      <w:pPr>
        <w:pStyle w:val="Heading1"/>
        <w:shd w:val="clear" w:color="auto" w:fill="FFFFFF"/>
        <w:tabs>
          <w:tab w:val="left" w:pos="810"/>
        </w:tabs>
        <w:spacing w:before="0" w:beforeAutospacing="0" w:after="0" w:afterAutospacing="0"/>
        <w:ind w:left="360"/>
        <w:rPr>
          <w:rStyle w:val="Hyperlink"/>
          <w:rFonts w:ascii="Calibri" w:eastAsiaTheme="minorHAnsi" w:hAnsi="Calibri" w:cs="Calibri"/>
          <w:color w:val="auto"/>
          <w:sz w:val="26"/>
          <w:szCs w:val="26"/>
          <w:u w:val="none"/>
        </w:rPr>
      </w:pPr>
    </w:p>
    <w:p w14:paraId="0D7F7BA3" w14:textId="00C7B88F" w:rsidR="002C1B32" w:rsidRPr="00DD7BD1" w:rsidRDefault="002C1B32" w:rsidP="002C1B32">
      <w:pPr>
        <w:pStyle w:val="Heading1"/>
        <w:shd w:val="clear" w:color="auto" w:fill="FFFFFF"/>
        <w:tabs>
          <w:tab w:val="left" w:pos="810"/>
        </w:tabs>
        <w:spacing w:before="0" w:beforeAutospacing="0" w:after="0" w:afterAutospacing="0"/>
        <w:ind w:left="360"/>
        <w:rPr>
          <w:rFonts w:ascii="Calibri" w:eastAsiaTheme="minorHAnsi" w:hAnsi="Calibri" w:cs="Calibri"/>
          <w:sz w:val="26"/>
          <w:szCs w:val="26"/>
        </w:rPr>
      </w:pPr>
      <w:r w:rsidRPr="00DD7BD1">
        <w:rPr>
          <w:rStyle w:val="Hyperlink"/>
          <w:rFonts w:ascii="Calibri" w:eastAsiaTheme="minorHAnsi" w:hAnsi="Calibri" w:cs="Calibri"/>
          <w:color w:val="auto"/>
          <w:sz w:val="26"/>
          <w:szCs w:val="26"/>
          <w:u w:val="none"/>
        </w:rPr>
        <w:t xml:space="preserve">Updated </w:t>
      </w:r>
      <w:hyperlink r:id="rId13" w:history="1">
        <w:r w:rsidRPr="00DD7BD1">
          <w:rPr>
            <w:rStyle w:val="Hyperlink"/>
            <w:rFonts w:ascii="Calibri" w:eastAsiaTheme="minorHAnsi" w:hAnsi="Calibri" w:cs="Calibri"/>
            <w:sz w:val="26"/>
            <w:szCs w:val="26"/>
          </w:rPr>
          <w:t>Model CHIP Notice</w:t>
        </w:r>
      </w:hyperlink>
      <w:r w:rsidRPr="00DD7BD1">
        <w:rPr>
          <w:rStyle w:val="Hyperlink"/>
          <w:rFonts w:ascii="Calibri" w:eastAsiaTheme="minorHAnsi" w:hAnsi="Calibri" w:cs="Calibri"/>
          <w:color w:val="auto"/>
          <w:sz w:val="26"/>
          <w:szCs w:val="26"/>
          <w:u w:val="none"/>
        </w:rPr>
        <w:t xml:space="preserve"> released with a new effective date </w:t>
      </w:r>
      <w:r w:rsidRPr="00DD7BD1">
        <w:rPr>
          <w:rStyle w:val="Hyperlink"/>
          <w:rFonts w:ascii="Calibri" w:eastAsiaTheme="minorHAnsi" w:hAnsi="Calibri" w:cs="Calibri"/>
          <w:color w:val="C00000"/>
          <w:sz w:val="26"/>
          <w:szCs w:val="26"/>
          <w:u w:val="none"/>
        </w:rPr>
        <w:t>of July 31, 2025</w:t>
      </w:r>
    </w:p>
    <w:p w14:paraId="6B1CE199" w14:textId="6EB6CA71" w:rsidR="007D0B93" w:rsidRPr="00DD7BD1" w:rsidRDefault="002C1B32" w:rsidP="007D0B93">
      <w:pPr>
        <w:pStyle w:val="Heading1"/>
        <w:shd w:val="clear" w:color="auto" w:fill="FFFFFF"/>
        <w:tabs>
          <w:tab w:val="left" w:pos="1080"/>
        </w:tabs>
        <w:spacing w:before="0" w:beforeAutospacing="0" w:after="0" w:afterAutospacing="0"/>
        <w:ind w:left="810" w:hanging="450"/>
        <w:rPr>
          <w:rFonts w:ascii="Calibri" w:eastAsiaTheme="minorHAnsi" w:hAnsi="Calibri" w:cs="Calibri"/>
          <w:sz w:val="26"/>
          <w:szCs w:val="26"/>
        </w:rPr>
      </w:pPr>
      <w:r w:rsidRPr="00DD7BD1">
        <w:rPr>
          <w:rFonts w:ascii="Calibri" w:hAnsi="Calibri" w:cs="Calibri"/>
        </w:rPr>
        <w:tab/>
      </w:r>
      <w:hyperlink r:id="rId14" w:history="1">
        <w:r w:rsidR="007D0B93" w:rsidRPr="00DD7BD1">
          <w:rPr>
            <w:rStyle w:val="Hyperlink"/>
            <w:rFonts w:ascii="Calibri" w:eastAsiaTheme="minorHAnsi" w:hAnsi="Calibri" w:cs="Calibri"/>
            <w:sz w:val="26"/>
            <w:szCs w:val="26"/>
          </w:rPr>
          <w:t>New model Employer CHIP Notice</w:t>
        </w:r>
      </w:hyperlink>
      <w:r w:rsidR="007D0B93" w:rsidRPr="00DD7BD1">
        <w:rPr>
          <w:rFonts w:ascii="Calibri" w:eastAsiaTheme="minorHAnsi" w:hAnsi="Calibri" w:cs="Calibri"/>
          <w:sz w:val="26"/>
          <w:szCs w:val="26"/>
        </w:rPr>
        <w:t xml:space="preserve"> </w:t>
      </w:r>
      <w:r w:rsidR="007D0B93" w:rsidRPr="00DD7BD1">
        <w:rPr>
          <w:rStyle w:val="Hyperlink"/>
          <w:rFonts w:ascii="Calibri" w:eastAsiaTheme="minorHAnsi" w:hAnsi="Calibri" w:cs="Calibri"/>
          <w:b w:val="0"/>
          <w:bCs w:val="0"/>
          <w:color w:val="auto"/>
          <w:sz w:val="22"/>
          <w:szCs w:val="22"/>
          <w:u w:val="none"/>
        </w:rPr>
        <w:t>has been released and now reflects information as of March 17, 2025. 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DD7BD1">
        <w:rPr>
          <w:rFonts w:ascii="Calibri" w:hAnsi="Calibri" w:cs="Calibri"/>
        </w:rPr>
        <w:t xml:space="preserve"> </w:t>
      </w:r>
    </w:p>
    <w:p w14:paraId="4E07A40A" w14:textId="77777777" w:rsidR="007D0B93" w:rsidRPr="00DD7BD1" w:rsidRDefault="007D0B93" w:rsidP="007D0B93">
      <w:pPr>
        <w:pStyle w:val="Heading1"/>
        <w:shd w:val="clear" w:color="auto" w:fill="FFFFFF"/>
        <w:tabs>
          <w:tab w:val="left" w:pos="1080"/>
        </w:tabs>
        <w:spacing w:before="0" w:beforeAutospacing="0" w:after="0" w:afterAutospacing="0"/>
        <w:rPr>
          <w:rStyle w:val="Hyperlink"/>
          <w:rFonts w:ascii="Calibri" w:eastAsiaTheme="minorHAnsi" w:hAnsi="Calibri" w:cs="Calibri"/>
          <w:color w:val="auto"/>
          <w:sz w:val="16"/>
          <w:szCs w:val="16"/>
          <w:u w:val="none"/>
        </w:rPr>
      </w:pPr>
    </w:p>
    <w:p w14:paraId="162CFE69" w14:textId="77777777" w:rsidR="007D0B93" w:rsidRPr="00DD7BD1" w:rsidRDefault="007D0B93" w:rsidP="007D0B93">
      <w:pPr>
        <w:pStyle w:val="Heading1"/>
        <w:shd w:val="clear" w:color="auto" w:fill="FFFFFF"/>
        <w:spacing w:before="0" w:beforeAutospacing="0" w:after="0" w:afterAutospacing="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ab/>
        <w:t xml:space="preserve"> Form I-9 Updated. </w:t>
      </w:r>
      <w:r w:rsidRPr="00DD7BD1">
        <w:rPr>
          <w:rFonts w:ascii="Calibri" w:eastAsiaTheme="minorHAnsi" w:hAnsi="Calibri" w:cs="Calibri"/>
          <w:b w:val="0"/>
          <w:bCs w:val="0"/>
          <w:sz w:val="22"/>
          <w:szCs w:val="22"/>
        </w:rPr>
        <w:t xml:space="preserve">The </w:t>
      </w:r>
      <w:hyperlink r:id="rId15"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728AF66"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6" w:history="1">
        <w:r w:rsidRPr="00DD7BD1">
          <w:rPr>
            <w:rStyle w:val="Hyperlink"/>
            <w:rFonts w:ascii="Calibri" w:eastAsiaTheme="minorHAnsi" w:hAnsi="Calibri" w:cs="Calibri"/>
            <w:b w:val="0"/>
            <w:bCs w:val="0"/>
            <w:sz w:val="22"/>
            <w:szCs w:val="22"/>
          </w:rPr>
          <w:t>instructions</w:t>
        </w:r>
      </w:hyperlink>
      <w:r w:rsidRPr="00DD7BD1">
        <w:rPr>
          <w:rFonts w:ascii="Calibri" w:eastAsiaTheme="minorHAnsi" w:hAnsi="Calibri" w:cs="Calibri"/>
          <w:b w:val="0"/>
          <w:bCs w:val="0"/>
          <w:sz w:val="22"/>
          <w:szCs w:val="22"/>
        </w:rPr>
        <w:t xml:space="preserve"> to align with statutory language.</w:t>
      </w:r>
    </w:p>
    <w:p w14:paraId="4EDDD12B"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16"/>
          <w:szCs w:val="16"/>
        </w:rPr>
      </w:pPr>
    </w:p>
    <w:p w14:paraId="2EAE34CA" w14:textId="77777777" w:rsidR="007D0B93" w:rsidRPr="00DD7BD1" w:rsidRDefault="007D0B93" w:rsidP="007D0B93">
      <w:pPr>
        <w:pStyle w:val="Heading1"/>
        <w:spacing w:before="0" w:beforeAutospacing="0" w:after="0" w:afterAutospacing="0"/>
        <w:ind w:left="810"/>
        <w:rPr>
          <w:rFonts w:ascii="Calibri" w:hAnsi="Calibri" w:cs="Calibri"/>
          <w:b w:val="0"/>
          <w:bCs w:val="0"/>
          <w:sz w:val="22"/>
          <w:szCs w:val="22"/>
        </w:rPr>
      </w:pPr>
      <w:r w:rsidRPr="00DD7BD1">
        <w:rPr>
          <w:rFonts w:ascii="Calibri" w:hAnsi="Calibri" w:cs="Calibri"/>
          <w:b w:val="0"/>
          <w:bCs w:val="0"/>
          <w:sz w:val="22"/>
          <w:szCs w:val="22"/>
        </w:rPr>
        <w:t>The new Form I-9 has the following changes:</w:t>
      </w:r>
    </w:p>
    <w:p w14:paraId="6C2BFEE0"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“noncitizen” was replaced with “alien”</w:t>
      </w:r>
    </w:p>
    <w:p w14:paraId="6EDDBAE1"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“gender” was replaced with “sex”</w:t>
      </w:r>
    </w:p>
    <w:p w14:paraId="4B572BF8"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 xml:space="preserve">A new edition </w:t>
      </w:r>
      <w:proofErr w:type="gramStart"/>
      <w:r w:rsidRPr="00DD7BD1">
        <w:rPr>
          <w:rFonts w:ascii="Calibri" w:hAnsi="Calibri" w:cs="Calibri"/>
          <w:b w:val="0"/>
          <w:bCs w:val="0"/>
          <w:sz w:val="22"/>
          <w:szCs w:val="22"/>
        </w:rPr>
        <w:t>date of</w:t>
      </w:r>
      <w:proofErr w:type="gramEnd"/>
      <w:r w:rsidRPr="00DD7BD1">
        <w:rPr>
          <w:rFonts w:ascii="Calibri" w:hAnsi="Calibri" w:cs="Calibri"/>
          <w:b w:val="0"/>
          <w:bCs w:val="0"/>
          <w:sz w:val="22"/>
          <w:szCs w:val="22"/>
        </w:rPr>
        <w:t xml:space="preserve"> 1/20/25</w:t>
      </w:r>
    </w:p>
    <w:p w14:paraId="6A3EA807" w14:textId="77777777" w:rsidR="007D0B93" w:rsidRPr="00DD7BD1" w:rsidRDefault="007D0B93" w:rsidP="007D0B93">
      <w:pPr>
        <w:pStyle w:val="Heading1"/>
        <w:shd w:val="clear" w:color="auto" w:fill="FFFFFF"/>
        <w:spacing w:before="0" w:beforeAutospacing="0" w:after="0" w:afterAutospacing="0"/>
        <w:rPr>
          <w:rFonts w:ascii="Calibri" w:eastAsiaTheme="minorHAnsi" w:hAnsi="Calibri" w:cs="Calibri"/>
          <w:b w:val="0"/>
          <w:bCs w:val="0"/>
          <w:sz w:val="16"/>
          <w:szCs w:val="16"/>
        </w:rPr>
      </w:pPr>
    </w:p>
    <w:p w14:paraId="00C0F3B5"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Form I-9 (08/01/23 edition) is valid until May 31, 2027; and</w:t>
      </w:r>
    </w:p>
    <w:p w14:paraId="0712E17A" w14:textId="7DBD8974" w:rsidR="007D0B93" w:rsidRPr="00DD7BD1" w:rsidRDefault="007D0B93" w:rsidP="007D0B93">
      <w:pPr>
        <w:pStyle w:val="Heading1"/>
        <w:shd w:val="clear" w:color="auto" w:fill="FFFFFF"/>
        <w:spacing w:before="0" w:beforeAutospacing="0" w:after="0" w:afterAutospacing="0"/>
        <w:ind w:left="806"/>
        <w:rPr>
          <w:rStyle w:val="Hyperlink"/>
          <w:rFonts w:ascii="Calibri" w:hAnsi="Calibri" w:cs="Calibri"/>
          <w:b w:val="0"/>
          <w:bCs w:val="0"/>
          <w:color w:val="auto"/>
          <w:sz w:val="22"/>
          <w:szCs w:val="22"/>
          <w:u w:val="none"/>
        </w:rPr>
      </w:pPr>
      <w:r w:rsidRPr="00DD7BD1">
        <w:rPr>
          <w:rFonts w:ascii="Calibri" w:hAnsi="Calibri" w:cs="Calibri"/>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DD7BD1" w:rsidRDefault="009040C5" w:rsidP="009040C5">
      <w:pPr>
        <w:pStyle w:val="ParagraphBasic"/>
        <w:spacing w:after="0" w:line="240" w:lineRule="auto"/>
        <w:rPr>
          <w:rFonts w:ascii="Calibri" w:hAnsi="Calibri" w:cs="Calibri"/>
          <w:sz w:val="16"/>
          <w:szCs w:val="16"/>
        </w:rPr>
      </w:pPr>
    </w:p>
    <w:p w14:paraId="45F42301" w14:textId="77777777" w:rsidR="009D1F57" w:rsidRPr="00DD7BD1" w:rsidRDefault="009D1F57" w:rsidP="009D1F57">
      <w:pPr>
        <w:pStyle w:val="Heading1"/>
        <w:shd w:val="clear" w:color="auto" w:fill="FFFFFF"/>
        <w:tabs>
          <w:tab w:val="left" w:pos="1080"/>
        </w:tabs>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Contractor Notice Update </w:t>
      </w:r>
      <w:r w:rsidRPr="00DD7BD1">
        <w:rPr>
          <w:rStyle w:val="Hyperlink"/>
          <w:rFonts w:ascii="Calibri" w:eastAsiaTheme="minorHAnsi" w:hAnsi="Calibri" w:cs="Calibri"/>
          <w:color w:val="C00000"/>
          <w:sz w:val="26"/>
          <w:szCs w:val="26"/>
          <w:u w:val="none"/>
        </w:rPr>
        <w:t>Reminder</w:t>
      </w:r>
    </w:p>
    <w:p w14:paraId="41EFCA89" w14:textId="77777777" w:rsidR="009D1F57" w:rsidRPr="00DD7BD1" w:rsidRDefault="009D1F57" w:rsidP="009D1F57">
      <w:pPr>
        <w:pStyle w:val="Heading1"/>
        <w:shd w:val="clear" w:color="auto" w:fill="FFFFFF"/>
        <w:spacing w:before="0" w:beforeAutospacing="0" w:after="0" w:afterAutospacing="0"/>
        <w:ind w:left="81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As a result of Executive Orders 14236 and 14173, employers can remove the </w:t>
      </w:r>
      <w:r w:rsidRPr="00DD7BD1">
        <w:rPr>
          <w:rFonts w:ascii="Calibri" w:eastAsiaTheme="minorHAnsi" w:hAnsi="Calibri" w:cs="Calibri"/>
          <w:sz w:val="22"/>
          <w:szCs w:val="22"/>
        </w:rPr>
        <w:t>Pay Transparency Non-Discrimination Notice</w:t>
      </w:r>
      <w:r w:rsidRPr="00DD7BD1">
        <w:rPr>
          <w:rFonts w:ascii="Calibri" w:eastAsiaTheme="minorHAnsi" w:hAnsi="Calibri" w:cs="Calibri"/>
          <w:b w:val="0"/>
          <w:bCs w:val="0"/>
          <w:sz w:val="22"/>
          <w:szCs w:val="22"/>
        </w:rPr>
        <w:t> and the </w:t>
      </w:r>
      <w:r w:rsidRPr="00DD7BD1">
        <w:rPr>
          <w:rFonts w:ascii="Calibri" w:eastAsiaTheme="minorHAnsi" w:hAnsi="Calibri" w:cs="Calibri"/>
          <w:sz w:val="22"/>
          <w:szCs w:val="22"/>
        </w:rPr>
        <w:t>EO 14026 Federal Contractor Minimum Wage Notice ($17.75)</w:t>
      </w:r>
      <w:r w:rsidRPr="00DD7BD1">
        <w:rPr>
          <w:rFonts w:ascii="Calibri" w:eastAsiaTheme="minorHAnsi" w:hAnsi="Calibri" w:cs="Calibri"/>
          <w:b w:val="0"/>
          <w:bCs w:val="0"/>
          <w:sz w:val="22"/>
          <w:szCs w:val="22"/>
        </w:rPr>
        <w:t xml:space="preserve">. With these changes, the contractor minimum wage now reverts to $13.30 under EO 13658, and the Pay Transparency notice is no longer required to be posted. </w:t>
      </w:r>
    </w:p>
    <w:p w14:paraId="4397DEC5" w14:textId="77777777" w:rsidR="00F17B01" w:rsidRPr="00DD7BD1" w:rsidRDefault="00F17B01" w:rsidP="003D31A5">
      <w:pPr>
        <w:pStyle w:val="ParagraphBasic"/>
        <w:spacing w:after="0" w:line="240" w:lineRule="auto"/>
        <w:rPr>
          <w:rStyle w:val="Hyperlink"/>
          <w:rFonts w:ascii="Calibri" w:hAnsi="Calibri" w:cs="Calibri"/>
          <w:b/>
          <w:bCs/>
          <w:color w:val="auto"/>
          <w:kern w:val="36"/>
          <w:sz w:val="28"/>
          <w:szCs w:val="28"/>
          <w:u w:val="none"/>
        </w:rPr>
      </w:pPr>
    </w:p>
    <w:p w14:paraId="14B0301F" w14:textId="77777777" w:rsidR="00F17B01" w:rsidRPr="00DD7BD1" w:rsidRDefault="00F17B01" w:rsidP="007D0B93">
      <w:pPr>
        <w:pStyle w:val="ParagraphBasic"/>
        <w:spacing w:after="0" w:line="240" w:lineRule="auto"/>
        <w:ind w:left="360"/>
        <w:rPr>
          <w:rStyle w:val="Hyperlink"/>
          <w:rFonts w:ascii="Calibri" w:hAnsi="Calibri" w:cs="Calibri"/>
          <w:b/>
          <w:bCs/>
          <w:color w:val="auto"/>
          <w:kern w:val="36"/>
          <w:sz w:val="28"/>
          <w:szCs w:val="28"/>
          <w:u w:val="none"/>
        </w:rPr>
      </w:pPr>
    </w:p>
    <w:p w14:paraId="45D76E52" w14:textId="63893ADF" w:rsidR="00ED58D7" w:rsidRDefault="009040C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State Workplace Notices</w:t>
      </w:r>
      <w:r w:rsidR="00ED00E2" w:rsidRPr="00DD7BD1">
        <w:rPr>
          <w:rStyle w:val="Hyperlink"/>
          <w:rFonts w:ascii="Calibri" w:hAnsi="Calibri" w:cs="Calibri"/>
          <w:b/>
          <w:bCs/>
          <w:color w:val="auto"/>
          <w:kern w:val="36"/>
          <w:sz w:val="28"/>
          <w:szCs w:val="28"/>
          <w:u w:val="none"/>
        </w:rPr>
        <w:t xml:space="preserve"> (YTD in Alphabetical order</w:t>
      </w:r>
      <w:r w:rsidR="001C5F42" w:rsidRPr="00DD7BD1">
        <w:rPr>
          <w:rStyle w:val="Hyperlink"/>
          <w:rFonts w:ascii="Calibri" w:hAnsi="Calibri" w:cs="Calibri"/>
          <w:b/>
          <w:bCs/>
          <w:color w:val="auto"/>
          <w:kern w:val="36"/>
          <w:sz w:val="28"/>
          <w:szCs w:val="28"/>
          <w:u w:val="none"/>
        </w:rPr>
        <w:t>)</w:t>
      </w:r>
    </w:p>
    <w:p w14:paraId="700823F6" w14:textId="7F72EB09" w:rsidR="00471110" w:rsidRDefault="00471110" w:rsidP="00D6044F">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August</w:t>
      </w:r>
    </w:p>
    <w:p w14:paraId="45D4D5B3" w14:textId="77777777" w:rsidR="00471110" w:rsidRDefault="00471110" w:rsidP="00471110">
      <w:pPr>
        <w:pStyle w:val="MainSectionHead"/>
        <w:ind w:left="720"/>
        <w:rPr>
          <w:sz w:val="26"/>
          <w:szCs w:val="26"/>
        </w:rPr>
      </w:pPr>
      <w:r>
        <w:rPr>
          <w:sz w:val="26"/>
          <w:szCs w:val="26"/>
        </w:rPr>
        <w:t>California</w:t>
      </w:r>
    </w:p>
    <w:p w14:paraId="111708ED" w14:textId="77777777" w:rsidR="00471110" w:rsidRPr="00395EB6" w:rsidRDefault="00471110" w:rsidP="00471110">
      <w:pPr>
        <w:pStyle w:val="MainSectionHead"/>
        <w:numPr>
          <w:ilvl w:val="0"/>
          <w:numId w:val="392"/>
        </w:numPr>
        <w:ind w:left="1350"/>
        <w:rPr>
          <w:color w:val="auto"/>
          <w:sz w:val="26"/>
          <w:szCs w:val="26"/>
        </w:rPr>
      </w:pPr>
      <w:r w:rsidRPr="00395EB6">
        <w:rPr>
          <w:color w:val="auto"/>
          <w:sz w:val="26"/>
          <w:szCs w:val="26"/>
        </w:rPr>
        <w:t>San Franscico</w:t>
      </w:r>
      <w:r>
        <w:rPr>
          <w:color w:val="auto"/>
          <w:sz w:val="26"/>
          <w:szCs w:val="26"/>
        </w:rPr>
        <w:t xml:space="preserve"> </w:t>
      </w:r>
      <w:r w:rsidRPr="00395EB6">
        <w:rPr>
          <w:b w:val="0"/>
          <w:bCs w:val="0"/>
          <w:color w:val="auto"/>
          <w:sz w:val="26"/>
          <w:szCs w:val="26"/>
        </w:rPr>
        <w:t xml:space="preserve">has </w:t>
      </w:r>
      <w:r>
        <w:rPr>
          <w:b w:val="0"/>
          <w:bCs w:val="0"/>
          <w:color w:val="auto"/>
          <w:sz w:val="26"/>
          <w:szCs w:val="26"/>
        </w:rPr>
        <w:t xml:space="preserve">updated its </w:t>
      </w:r>
      <w:hyperlink r:id="rId17" w:history="1">
        <w:r w:rsidRPr="00395EB6">
          <w:rPr>
            <w:rStyle w:val="Hyperlink"/>
            <w:bCs w:val="0"/>
            <w:sz w:val="26"/>
            <w:szCs w:val="26"/>
          </w:rPr>
          <w:t>Fair Chance Ordinance Notice</w:t>
        </w:r>
      </w:hyperlink>
      <w:r>
        <w:rPr>
          <w:rStyle w:val="Hyperlink"/>
        </w:rPr>
        <w:t xml:space="preserve"> </w:t>
      </w:r>
      <w:r w:rsidRPr="00395EB6">
        <w:rPr>
          <w:b w:val="0"/>
          <w:color w:val="auto"/>
          <w:sz w:val="26"/>
          <w:szCs w:val="26"/>
        </w:rPr>
        <w:t xml:space="preserve">reflective of </w:t>
      </w:r>
      <w:r>
        <w:rPr>
          <w:b w:val="0"/>
          <w:color w:val="auto"/>
          <w:sz w:val="26"/>
          <w:szCs w:val="26"/>
        </w:rPr>
        <w:t xml:space="preserve">the August amendments making such applicable to employers 5 or more </w:t>
      </w:r>
      <w:r w:rsidRPr="00395EB6">
        <w:rPr>
          <w:b w:val="0"/>
          <w:color w:val="auto"/>
          <w:sz w:val="26"/>
          <w:szCs w:val="26"/>
        </w:rPr>
        <w:t>employees located or doing business in San Francisco and changes how covered employers may use certain criminal-history information in employment decisions.</w:t>
      </w:r>
    </w:p>
    <w:p w14:paraId="6358ACEC" w14:textId="35EF008F" w:rsidR="00471110" w:rsidRDefault="00471110" w:rsidP="00471110">
      <w:pPr>
        <w:pStyle w:val="MainSectionHead"/>
        <w:spacing w:before="0" w:after="0" w:line="240" w:lineRule="auto"/>
        <w:ind w:left="720"/>
        <w:rPr>
          <w:b w:val="0"/>
          <w:bCs w:val="0"/>
          <w:color w:val="auto"/>
          <w:sz w:val="26"/>
          <w:szCs w:val="26"/>
        </w:rPr>
      </w:pPr>
      <w:r>
        <w:rPr>
          <w:sz w:val="26"/>
          <w:szCs w:val="26"/>
        </w:rPr>
        <w:t xml:space="preserve">New Jersey – </w:t>
      </w:r>
      <w:r>
        <w:rPr>
          <w:b w:val="0"/>
          <w:bCs w:val="0"/>
          <w:color w:val="auto"/>
          <w:sz w:val="26"/>
          <w:szCs w:val="26"/>
        </w:rPr>
        <w:t>t</w:t>
      </w:r>
      <w:r w:rsidRPr="000C0E4F">
        <w:rPr>
          <w:b w:val="0"/>
          <w:bCs w:val="0"/>
          <w:color w:val="auto"/>
          <w:sz w:val="26"/>
          <w:szCs w:val="26"/>
        </w:rPr>
        <w:t>he state has revised the</w:t>
      </w:r>
      <w:hyperlink r:id="rId18" w:history="1">
        <w:r w:rsidRPr="000C0E4F">
          <w:rPr>
            <w:rStyle w:val="Hyperlink"/>
            <w:bCs w:val="0"/>
            <w:sz w:val="26"/>
            <w:szCs w:val="26"/>
          </w:rPr>
          <w:t> New Jersey Family Leave Act Notice</w:t>
        </w:r>
      </w:hyperlink>
      <w:r w:rsidRPr="000C0E4F">
        <w:rPr>
          <w:b w:val="0"/>
          <w:bCs w:val="0"/>
          <w:color w:val="auto"/>
          <w:sz w:val="26"/>
          <w:szCs w:val="26"/>
        </w:rPr>
        <w:t xml:space="preserve"> to reflect expanded employee eligibility under recent amendments to the law. The updated notice lowers the employer coverage threshold from 30 to 15 employees, reduces the employee eligibility requirements from 12 months and 1,000 hours worked to 3 months and 250 hours worked in the preceding 12 months, and updates the language regarding leave to bond with a child. The notice also includes updated contact information for the Division on Civil Rights, including a new telephone number and revised complaint language.</w:t>
      </w:r>
    </w:p>
    <w:p w14:paraId="56B09A7F" w14:textId="77777777" w:rsidR="00471110" w:rsidRDefault="00471110" w:rsidP="00471110">
      <w:pPr>
        <w:pStyle w:val="MainSectionHead"/>
        <w:spacing w:before="0" w:after="0" w:line="240" w:lineRule="auto"/>
        <w:ind w:left="720"/>
        <w:rPr>
          <w:b w:val="0"/>
          <w:bCs w:val="0"/>
          <w:color w:val="auto"/>
          <w:sz w:val="26"/>
          <w:szCs w:val="26"/>
        </w:rPr>
      </w:pPr>
    </w:p>
    <w:p w14:paraId="57C4F2D7" w14:textId="77777777" w:rsidR="00471110" w:rsidRDefault="00471110" w:rsidP="00471110">
      <w:pPr>
        <w:spacing w:after="0" w:line="240" w:lineRule="auto"/>
        <w:ind w:left="720"/>
        <w:rPr>
          <w:b/>
          <w:bCs/>
          <w:noProof/>
          <w:color w:val="0E425C"/>
          <w:sz w:val="26"/>
          <w:szCs w:val="26"/>
        </w:rPr>
      </w:pPr>
      <w:r>
        <w:rPr>
          <w:b/>
          <w:bCs/>
          <w:noProof/>
          <w:color w:val="0E425C"/>
          <w:sz w:val="26"/>
          <w:szCs w:val="26"/>
        </w:rPr>
        <w:t>Pennsylvania</w:t>
      </w:r>
    </w:p>
    <w:p w14:paraId="39A500BE" w14:textId="77777777" w:rsidR="00471110" w:rsidRDefault="00471110" w:rsidP="00471110">
      <w:pPr>
        <w:pStyle w:val="ListParagraph"/>
        <w:numPr>
          <w:ilvl w:val="0"/>
          <w:numId w:val="393"/>
        </w:numPr>
        <w:spacing w:line="278" w:lineRule="auto"/>
        <w:ind w:left="1350"/>
        <w:rPr>
          <w:noProof/>
          <w:sz w:val="26"/>
          <w:szCs w:val="26"/>
        </w:rPr>
      </w:pPr>
      <w:r w:rsidRPr="00D73973">
        <w:rPr>
          <w:b/>
          <w:bCs/>
          <w:noProof/>
          <w:sz w:val="26"/>
          <w:szCs w:val="26"/>
        </w:rPr>
        <w:t>Philadelphia</w:t>
      </w:r>
      <w:r w:rsidRPr="00D73973">
        <w:rPr>
          <w:noProof/>
          <w:sz w:val="26"/>
          <w:szCs w:val="26"/>
        </w:rPr>
        <w:t xml:space="preserve"> has updated several required workplace notices. </w:t>
      </w:r>
    </w:p>
    <w:p w14:paraId="0A1A3C50" w14:textId="77777777" w:rsidR="00471110" w:rsidRDefault="00471110" w:rsidP="00471110">
      <w:pPr>
        <w:pStyle w:val="ListParagraph"/>
        <w:numPr>
          <w:ilvl w:val="1"/>
          <w:numId w:val="393"/>
        </w:numPr>
        <w:spacing w:line="278" w:lineRule="auto"/>
        <w:rPr>
          <w:noProof/>
          <w:sz w:val="26"/>
          <w:szCs w:val="26"/>
        </w:rPr>
      </w:pPr>
      <w:hyperlink r:id="rId19" w:history="1">
        <w:r w:rsidRPr="00D300BF">
          <w:rPr>
            <w:rStyle w:val="Hyperlink"/>
            <w:bCs/>
            <w:noProof/>
            <w:sz w:val="26"/>
            <w:szCs w:val="26"/>
          </w:rPr>
          <w:t>The Fair Chance Hiring Notice</w:t>
        </w:r>
      </w:hyperlink>
      <w:r w:rsidRPr="00D73973">
        <w:rPr>
          <w:noProof/>
          <w:sz w:val="26"/>
          <w:szCs w:val="26"/>
        </w:rPr>
        <w:t xml:space="preserve"> now prohibits blanket exclusions of applicants with criminal convictions and clarifies which records employers may not consider. </w:t>
      </w:r>
    </w:p>
    <w:p w14:paraId="2B8880E3" w14:textId="77777777" w:rsidR="00471110" w:rsidRDefault="00471110" w:rsidP="00471110">
      <w:pPr>
        <w:pStyle w:val="ListParagraph"/>
        <w:numPr>
          <w:ilvl w:val="1"/>
          <w:numId w:val="393"/>
        </w:numPr>
        <w:spacing w:line="278" w:lineRule="auto"/>
        <w:rPr>
          <w:noProof/>
          <w:sz w:val="26"/>
          <w:szCs w:val="26"/>
        </w:rPr>
      </w:pPr>
      <w:hyperlink r:id="rId20" w:history="1">
        <w:r w:rsidRPr="00D300BF">
          <w:rPr>
            <w:rStyle w:val="Hyperlink"/>
            <w:bCs/>
            <w:noProof/>
            <w:sz w:val="26"/>
            <w:szCs w:val="26"/>
          </w:rPr>
          <w:t>The Know Your Rights Notice</w:t>
        </w:r>
      </w:hyperlink>
      <w:r w:rsidRPr="00D73973">
        <w:rPr>
          <w:noProof/>
          <w:sz w:val="26"/>
          <w:szCs w:val="26"/>
        </w:rPr>
        <w:t xml:space="preserve"> adds reproductive health autonomy and childbirth or related medical conditions as protected categories and expands its examples of prohibited discrimination. </w:t>
      </w:r>
    </w:p>
    <w:p w14:paraId="75B63479" w14:textId="0254CAB6" w:rsidR="00471110" w:rsidRPr="00471110" w:rsidRDefault="00471110" w:rsidP="00471110">
      <w:pPr>
        <w:pStyle w:val="ListParagraph"/>
        <w:numPr>
          <w:ilvl w:val="1"/>
          <w:numId w:val="393"/>
        </w:numPr>
        <w:spacing w:line="278" w:lineRule="auto"/>
        <w:rPr>
          <w:rStyle w:val="Hyperlink"/>
          <w:noProof/>
          <w:color w:val="auto"/>
          <w:sz w:val="26"/>
          <w:szCs w:val="26"/>
          <w:u w:val="none"/>
        </w:rPr>
      </w:pPr>
      <w:hyperlink r:id="rId21" w:history="1">
        <w:r w:rsidRPr="00D300BF">
          <w:rPr>
            <w:rStyle w:val="Hyperlink"/>
            <w:bCs/>
            <w:noProof/>
            <w:sz w:val="26"/>
            <w:szCs w:val="26"/>
          </w:rPr>
          <w:t>The Unpaid Leave for Domestic or Sexual Violence Notice</w:t>
        </w:r>
      </w:hyperlink>
      <w:r w:rsidRPr="00D73973">
        <w:rPr>
          <w:noProof/>
          <w:sz w:val="26"/>
          <w:szCs w:val="26"/>
        </w:rPr>
        <w:t xml:space="preserve"> has also been redesigned due to revisions. </w:t>
      </w:r>
    </w:p>
    <w:p w14:paraId="7B8479D9" w14:textId="0358836A" w:rsidR="00AE3CCF" w:rsidRDefault="00AE3CCF" w:rsidP="00D6044F">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July</w:t>
      </w:r>
    </w:p>
    <w:p w14:paraId="0DD887F2" w14:textId="77777777" w:rsidR="00AE3CCF" w:rsidRPr="00530B66" w:rsidRDefault="00AE3CCF" w:rsidP="00AE3CCF">
      <w:pPr>
        <w:pStyle w:val="MainSectionHead"/>
        <w:spacing w:before="0" w:after="0" w:line="240" w:lineRule="auto"/>
        <w:ind w:left="720"/>
        <w:rPr>
          <w:b w:val="0"/>
          <w:bCs w:val="0"/>
          <w:caps/>
          <w:color w:val="0070C0"/>
        </w:rPr>
      </w:pPr>
      <w:r>
        <w:rPr>
          <w:sz w:val="26"/>
          <w:szCs w:val="26"/>
        </w:rPr>
        <w:t xml:space="preserve">Indiana – </w:t>
      </w:r>
      <w:r w:rsidRPr="0048173C">
        <w:rPr>
          <w:b w:val="0"/>
          <w:bCs w:val="0"/>
          <w:color w:val="auto"/>
          <w:sz w:val="26"/>
          <w:szCs w:val="26"/>
        </w:rPr>
        <w:t>the state’s Department of Labor has updated its </w:t>
      </w:r>
      <w:hyperlink r:id="rId22" w:history="1">
        <w:r w:rsidRPr="009D67D0">
          <w:rPr>
            <w:rStyle w:val="Hyperlink"/>
            <w:bCs w:val="0"/>
            <w:sz w:val="26"/>
            <w:szCs w:val="26"/>
          </w:rPr>
          <w:t>Work Restrictions for Youth Employees notice</w:t>
        </w:r>
      </w:hyperlink>
      <w:r w:rsidRPr="009D67D0">
        <w:rPr>
          <w:b w:val="0"/>
          <w:bCs w:val="0"/>
          <w:color w:val="auto"/>
          <w:sz w:val="26"/>
          <w:szCs w:val="26"/>
        </w:rPr>
        <w:t xml:space="preserve"> </w:t>
      </w:r>
      <w:r w:rsidRPr="00614771">
        <w:rPr>
          <w:b w:val="0"/>
          <w:bCs w:val="0"/>
          <w:color w:val="auto"/>
          <w:sz w:val="26"/>
          <w:szCs w:val="26"/>
        </w:rPr>
        <w:t>removing</w:t>
      </w:r>
      <w:r w:rsidRPr="0048173C">
        <w:rPr>
          <w:b w:val="0"/>
          <w:bCs w:val="0"/>
          <w:color w:val="auto"/>
          <w:sz w:val="26"/>
          <w:szCs w:val="26"/>
        </w:rPr>
        <w:t xml:space="preserve"> the requirement that employers with</w:t>
      </w:r>
      <w:r>
        <w:rPr>
          <w:b w:val="0"/>
          <w:bCs w:val="0"/>
          <w:color w:val="auto"/>
          <w:sz w:val="26"/>
          <w:szCs w:val="26"/>
        </w:rPr>
        <w:t xml:space="preserve"> </w:t>
      </w:r>
      <w:r w:rsidRPr="00614771">
        <w:rPr>
          <w:b w:val="0"/>
          <w:bCs w:val="0"/>
          <w:color w:val="auto"/>
          <w:sz w:val="26"/>
          <w:szCs w:val="26"/>
        </w:rPr>
        <w:t>five</w:t>
      </w:r>
      <w:r w:rsidRPr="0048173C">
        <w:rPr>
          <w:b w:val="0"/>
          <w:bCs w:val="0"/>
          <w:color w:val="auto"/>
          <w:sz w:val="26"/>
          <w:szCs w:val="26"/>
        </w:rPr>
        <w:t xml:space="preserve"> or more minors under the age of 18 register in the Indiana Youth Employment System (YES).</w:t>
      </w:r>
    </w:p>
    <w:p w14:paraId="46E3FE32" w14:textId="77777777" w:rsidR="00AE3CCF" w:rsidRPr="00530B66" w:rsidRDefault="00AE3CCF" w:rsidP="00AE3CCF">
      <w:pPr>
        <w:pStyle w:val="MainSectionHead"/>
        <w:spacing w:before="0" w:after="0" w:line="240" w:lineRule="auto"/>
        <w:ind w:left="720"/>
        <w:rPr>
          <w:b w:val="0"/>
          <w:bCs w:val="0"/>
          <w:caps/>
          <w:color w:val="0070C0"/>
        </w:rPr>
      </w:pPr>
      <w:r>
        <w:rPr>
          <w:sz w:val="26"/>
          <w:szCs w:val="26"/>
        </w:rPr>
        <w:t xml:space="preserve">Utah </w:t>
      </w:r>
      <w:r w:rsidRPr="00604D16">
        <w:rPr>
          <w:sz w:val="26"/>
          <w:szCs w:val="26"/>
        </w:rPr>
        <w:t xml:space="preserve">– </w:t>
      </w:r>
      <w:r w:rsidRPr="0048173C">
        <w:rPr>
          <w:b w:val="0"/>
          <w:bCs w:val="0"/>
          <w:color w:val="auto"/>
          <w:sz w:val="26"/>
          <w:szCs w:val="26"/>
        </w:rPr>
        <w:t>the state’s Department of Workforce Services has updated its </w:t>
      </w:r>
      <w:hyperlink r:id="rId23" w:history="1">
        <w:r w:rsidRPr="00E91DAA">
          <w:rPr>
            <w:rStyle w:val="Hyperlink"/>
            <w:bCs w:val="0"/>
            <w:sz w:val="26"/>
            <w:szCs w:val="26"/>
          </w:rPr>
          <w:t>Unemployment Insurance Notice </w:t>
        </w:r>
      </w:hyperlink>
      <w:r w:rsidRPr="0048173C">
        <w:rPr>
          <w:b w:val="0"/>
          <w:bCs w:val="0"/>
          <w:color w:val="auto"/>
          <w:sz w:val="26"/>
          <w:szCs w:val="26"/>
        </w:rPr>
        <w:t>posting to reflect revised unemployment claim filing instructions and updated agency contact addresses.</w:t>
      </w:r>
    </w:p>
    <w:p w14:paraId="339B8F3E" w14:textId="77777777" w:rsidR="00AE3CCF" w:rsidRDefault="00AE3CCF" w:rsidP="00AE3CCF">
      <w:pPr>
        <w:pStyle w:val="MainSectionHead"/>
        <w:spacing w:before="0" w:after="0" w:line="240" w:lineRule="auto"/>
        <w:ind w:left="720"/>
        <w:rPr>
          <w:sz w:val="26"/>
          <w:szCs w:val="26"/>
        </w:rPr>
      </w:pPr>
      <w:r>
        <w:rPr>
          <w:sz w:val="26"/>
          <w:szCs w:val="26"/>
        </w:rPr>
        <w:t xml:space="preserve">Vermont – </w:t>
      </w:r>
      <w:r w:rsidRPr="009D0287">
        <w:rPr>
          <w:b w:val="0"/>
          <w:bCs w:val="0"/>
          <w:color w:val="auto"/>
          <w:sz w:val="26"/>
          <w:szCs w:val="26"/>
        </w:rPr>
        <w:t>the state Department of Labor has updated the mandatory </w:t>
      </w:r>
      <w:hyperlink r:id="rId24" w:history="1">
        <w:r w:rsidRPr="009D0287">
          <w:rPr>
            <w:rStyle w:val="Hyperlink"/>
            <w:bCs w:val="0"/>
            <w:sz w:val="26"/>
            <w:szCs w:val="26"/>
          </w:rPr>
          <w:t>Unemployment Insurance Notice</w:t>
        </w:r>
      </w:hyperlink>
      <w:r w:rsidRPr="009D0287">
        <w:rPr>
          <w:b w:val="0"/>
          <w:bCs w:val="0"/>
          <w:color w:val="auto"/>
          <w:sz w:val="26"/>
          <w:szCs w:val="26"/>
        </w:rPr>
        <w:t xml:space="preserve"> to direct employees to the state's online resources for unemployment claim information and online claim filing. The previous instruction to call the Department of Labor for initial claims has been replaced with website links, while all other substantive employee rights and benefit information remain unchanged.</w:t>
      </w:r>
    </w:p>
    <w:p w14:paraId="71D31782" w14:textId="77777777" w:rsidR="00AE3CCF" w:rsidRPr="00530B66" w:rsidRDefault="00AE3CCF" w:rsidP="00AE3CCF">
      <w:pPr>
        <w:pStyle w:val="MainSectionHead"/>
        <w:spacing w:before="0" w:after="0" w:line="240" w:lineRule="auto"/>
        <w:ind w:left="720"/>
        <w:rPr>
          <w:b w:val="0"/>
          <w:bCs w:val="0"/>
          <w:caps/>
          <w:color w:val="0070C0"/>
        </w:rPr>
      </w:pPr>
      <w:r w:rsidRPr="00AA509A">
        <w:rPr>
          <w:sz w:val="26"/>
          <w:szCs w:val="26"/>
        </w:rPr>
        <w:t>Virginia</w:t>
      </w:r>
      <w:r w:rsidRPr="00793C7B">
        <w:rPr>
          <w:sz w:val="26"/>
          <w:szCs w:val="26"/>
        </w:rPr>
        <w:t xml:space="preserve"> –</w:t>
      </w:r>
      <w:r w:rsidRPr="00AA509A">
        <w:rPr>
          <w:sz w:val="26"/>
          <w:szCs w:val="26"/>
        </w:rPr>
        <w:t xml:space="preserve"> </w:t>
      </w:r>
      <w:r w:rsidRPr="00AA509A">
        <w:rPr>
          <w:b w:val="0"/>
          <w:bCs w:val="0"/>
          <w:color w:val="auto"/>
          <w:sz w:val="26"/>
          <w:szCs w:val="26"/>
        </w:rPr>
        <w:t>several notices have been updated</w:t>
      </w:r>
      <w:r w:rsidRPr="00793C7B">
        <w:rPr>
          <w:b w:val="0"/>
          <w:bCs w:val="0"/>
          <w:color w:val="auto"/>
          <w:sz w:val="26"/>
          <w:szCs w:val="26"/>
        </w:rPr>
        <w:t>,</w:t>
      </w:r>
      <w:r w:rsidRPr="00AA509A">
        <w:rPr>
          <w:b w:val="0"/>
          <w:bCs w:val="0"/>
          <w:color w:val="auto"/>
          <w:sz w:val="26"/>
          <w:szCs w:val="26"/>
        </w:rPr>
        <w:t xml:space="preserve"> </w:t>
      </w:r>
      <w:r>
        <w:rPr>
          <w:b w:val="0"/>
          <w:bCs w:val="0"/>
          <w:color w:val="auto"/>
          <w:sz w:val="26"/>
          <w:szCs w:val="26"/>
        </w:rPr>
        <w:t xml:space="preserve">including </w:t>
      </w:r>
      <w:r w:rsidRPr="00AA509A">
        <w:rPr>
          <w:b w:val="0"/>
          <w:bCs w:val="0"/>
          <w:color w:val="auto"/>
          <w:sz w:val="26"/>
          <w:szCs w:val="26"/>
        </w:rPr>
        <w:t>the </w:t>
      </w:r>
      <w:hyperlink r:id="rId25" w:history="1">
        <w:r w:rsidRPr="00BA0E14">
          <w:rPr>
            <w:rStyle w:val="Hyperlink"/>
            <w:bCs w:val="0"/>
            <w:sz w:val="26"/>
            <w:szCs w:val="26"/>
          </w:rPr>
          <w:t>Workers' Compensation Notice</w:t>
        </w:r>
      </w:hyperlink>
      <w:r w:rsidRPr="00AA509A">
        <w:rPr>
          <w:b w:val="0"/>
          <w:bCs w:val="0"/>
          <w:color w:val="auto"/>
          <w:sz w:val="26"/>
          <w:szCs w:val="26"/>
        </w:rPr>
        <w:t> </w:t>
      </w:r>
      <w:r>
        <w:rPr>
          <w:b w:val="0"/>
          <w:bCs w:val="0"/>
          <w:color w:val="auto"/>
          <w:sz w:val="26"/>
          <w:szCs w:val="26"/>
        </w:rPr>
        <w:t xml:space="preserve">and the </w:t>
      </w:r>
      <w:hyperlink r:id="rId26" w:history="1">
        <w:r w:rsidRPr="00BA0E14">
          <w:rPr>
            <w:rStyle w:val="Hyperlink"/>
            <w:bCs w:val="0"/>
            <w:sz w:val="26"/>
            <w:szCs w:val="26"/>
          </w:rPr>
          <w:t>Occupational Safety &amp; Health Notice</w:t>
        </w:r>
      </w:hyperlink>
      <w:r w:rsidRPr="00793C7B">
        <w:rPr>
          <w:b w:val="0"/>
          <w:bCs w:val="0"/>
          <w:color w:val="auto"/>
          <w:sz w:val="26"/>
          <w:szCs w:val="26"/>
        </w:rPr>
        <w:t>.</w:t>
      </w:r>
    </w:p>
    <w:p w14:paraId="082A896E" w14:textId="77777777" w:rsidR="00AE3CCF" w:rsidRDefault="00AE3CCF" w:rsidP="00D6044F">
      <w:pPr>
        <w:pStyle w:val="ParagraphBasic"/>
        <w:spacing w:after="0" w:line="240" w:lineRule="auto"/>
        <w:ind w:left="360"/>
        <w:rPr>
          <w:rStyle w:val="Hyperlink"/>
          <w:rFonts w:ascii="Calibri" w:hAnsi="Calibri" w:cs="Calibri"/>
          <w:b/>
          <w:bCs/>
          <w:color w:val="auto"/>
          <w:kern w:val="36"/>
          <w:sz w:val="28"/>
          <w:szCs w:val="28"/>
          <w:u w:val="none"/>
        </w:rPr>
      </w:pPr>
    </w:p>
    <w:p w14:paraId="5F9C20D2" w14:textId="02150599" w:rsidR="00D6044F" w:rsidRPr="00D6044F" w:rsidRDefault="00D6044F" w:rsidP="00D6044F">
      <w:pPr>
        <w:pStyle w:val="ParagraphBasic"/>
        <w:spacing w:after="0" w:line="240" w:lineRule="auto"/>
        <w:ind w:left="360"/>
        <w:rPr>
          <w:rStyle w:val="Hyperlink"/>
          <w:rFonts w:ascii="Calibri" w:hAnsi="Calibri" w:cs="Calibri"/>
          <w:b/>
          <w:bCs/>
          <w:color w:val="auto"/>
          <w:kern w:val="36"/>
          <w:sz w:val="28"/>
          <w:szCs w:val="28"/>
          <w:u w:val="none"/>
        </w:rPr>
      </w:pPr>
      <w:r w:rsidRPr="00D6044F">
        <w:rPr>
          <w:rStyle w:val="Hyperlink"/>
          <w:rFonts w:ascii="Calibri" w:hAnsi="Calibri" w:cs="Calibri"/>
          <w:b/>
          <w:bCs/>
          <w:color w:val="auto"/>
          <w:kern w:val="36"/>
          <w:sz w:val="28"/>
          <w:szCs w:val="28"/>
          <w:u w:val="none"/>
        </w:rPr>
        <w:t>June</w:t>
      </w:r>
    </w:p>
    <w:p w14:paraId="73C42982" w14:textId="77777777" w:rsidR="00D6044F" w:rsidRPr="00D6044F" w:rsidRDefault="00D6044F" w:rsidP="00D6044F">
      <w:pPr>
        <w:pStyle w:val="MainSectionHead"/>
        <w:spacing w:before="0" w:after="0" w:line="240" w:lineRule="auto"/>
        <w:ind w:left="720"/>
        <w:rPr>
          <w:sz w:val="22"/>
          <w:szCs w:val="22"/>
          <w:highlight w:val="yellow"/>
        </w:rPr>
      </w:pPr>
      <w:r w:rsidRPr="00D6044F">
        <w:rPr>
          <w:sz w:val="22"/>
          <w:szCs w:val="22"/>
        </w:rPr>
        <w:t xml:space="preserve">Connecticut - </w:t>
      </w:r>
      <w:r w:rsidRPr="00D6044F">
        <w:rPr>
          <w:b w:val="0"/>
          <w:bCs w:val="0"/>
          <w:color w:val="auto"/>
          <w:sz w:val="22"/>
          <w:szCs w:val="22"/>
        </w:rPr>
        <w:t> updated its </w:t>
      </w:r>
      <w:hyperlink r:id="rId27" w:history="1">
        <w:r w:rsidRPr="00D6044F">
          <w:rPr>
            <w:rStyle w:val="Hyperlink"/>
            <w:bCs w:val="0"/>
            <w:sz w:val="22"/>
            <w:szCs w:val="22"/>
          </w:rPr>
          <w:t>Discrimination Is Illegal Notice</w:t>
        </w:r>
      </w:hyperlink>
      <w:r w:rsidRPr="00D6044F">
        <w:rPr>
          <w:b w:val="0"/>
          <w:bCs w:val="0"/>
          <w:color w:val="auto"/>
          <w:sz w:val="22"/>
          <w:szCs w:val="22"/>
        </w:rPr>
        <w:t> to expand protections under state law. The notice adds "status as a victim of sexual assault" and "status as a victim of trafficking in persons" as protected categories from discrimination in the workplace. The updated notice also clarifies that protections related to criminal conviction status apply specifically to state employment and licensing decisions.﻿</w:t>
      </w:r>
    </w:p>
    <w:p w14:paraId="47794455" w14:textId="77777777" w:rsidR="00D6044F" w:rsidRPr="00D6044F" w:rsidRDefault="00D6044F">
      <w:pPr>
        <w:pStyle w:val="MainSectionHead"/>
        <w:numPr>
          <w:ilvl w:val="0"/>
          <w:numId w:val="362"/>
        </w:numPr>
        <w:spacing w:before="0" w:after="0" w:line="240" w:lineRule="auto"/>
        <w:rPr>
          <w:color w:val="auto"/>
          <w:sz w:val="22"/>
          <w:szCs w:val="22"/>
        </w:rPr>
      </w:pPr>
      <w:r w:rsidRPr="00D6044F">
        <w:rPr>
          <w:sz w:val="22"/>
          <w:szCs w:val="22"/>
        </w:rPr>
        <w:t>District of Columbia</w:t>
      </w:r>
      <w:r w:rsidRPr="00D6044F">
        <w:rPr>
          <w:b w:val="0"/>
          <w:bCs w:val="0"/>
          <w:color w:val="auto"/>
          <w:sz w:val="22"/>
          <w:szCs w:val="22"/>
        </w:rPr>
        <w:t xml:space="preserve"> – updated notices to include </w:t>
      </w:r>
      <w:hyperlink r:id="rId28" w:history="1">
        <w:r w:rsidRPr="00D6044F">
          <w:rPr>
            <w:rStyle w:val="Hyperlink"/>
            <w:bCs w:val="0"/>
            <w:sz w:val="22"/>
            <w:szCs w:val="22"/>
          </w:rPr>
          <w:t>Minimum Wage Notice</w:t>
        </w:r>
      </w:hyperlink>
      <w:r w:rsidRPr="00D6044F">
        <w:rPr>
          <w:b w:val="0"/>
          <w:bCs w:val="0"/>
          <w:color w:val="auto"/>
          <w:sz w:val="22"/>
          <w:szCs w:val="22"/>
        </w:rPr>
        <w:t xml:space="preserve"> reflective of the increase in the minimum wage from $17.95 to $18.40 per hour for non-tipped employees. The minimum wage for tipped employees has also increased from $10.00 to $10.30 per hour.</w:t>
      </w:r>
      <w:r w:rsidRPr="00D6044F">
        <w:rPr>
          <w:rFonts w:ascii="Arial" w:hAnsi="Arial" w:cs="Arial"/>
          <w:b w:val="0"/>
          <w:bCs w:val="0"/>
          <w:noProof w:val="0"/>
          <w:color w:val="1F144A"/>
          <w:sz w:val="22"/>
          <w:szCs w:val="22"/>
          <w:bdr w:val="none" w:sz="0" w:space="0" w:color="auto" w:frame="1"/>
          <w:shd w:val="clear" w:color="auto" w:fill="FFFFFF"/>
        </w:rPr>
        <w:t xml:space="preserve"> </w:t>
      </w:r>
      <w:r w:rsidRPr="00D6044F">
        <w:rPr>
          <w:b w:val="0"/>
          <w:bCs w:val="0"/>
          <w:color w:val="auto"/>
          <w:sz w:val="22"/>
          <w:szCs w:val="22"/>
        </w:rPr>
        <w:t>Additionally, the </w:t>
      </w:r>
      <w:hyperlink r:id="rId29" w:history="1">
        <w:r w:rsidRPr="00D6044F">
          <w:rPr>
            <w:rStyle w:val="Hyperlink"/>
            <w:bCs w:val="0"/>
            <w:sz w:val="22"/>
            <w:szCs w:val="22"/>
          </w:rPr>
          <w:t>Living Wage Act Notice</w:t>
        </w:r>
      </w:hyperlink>
      <w:r w:rsidRPr="00D6044F">
        <w:rPr>
          <w:rStyle w:val="Hyperlink"/>
          <w:sz w:val="22"/>
          <w:szCs w:val="22"/>
        </w:rPr>
        <w:t> </w:t>
      </w:r>
      <w:r w:rsidRPr="00D6044F">
        <w:rPr>
          <w:b w:val="0"/>
          <w:bCs w:val="0"/>
          <w:color w:val="auto"/>
          <w:sz w:val="22"/>
          <w:szCs w:val="22"/>
        </w:rPr>
        <w:t>and the </w:t>
      </w:r>
      <w:hyperlink r:id="rId30" w:history="1">
        <w:r w:rsidRPr="00D6044F">
          <w:rPr>
            <w:rStyle w:val="Hyperlink"/>
            <w:bCs w:val="0"/>
            <w:sz w:val="22"/>
            <w:szCs w:val="22"/>
          </w:rPr>
          <w:t>Universal Wage Notice</w:t>
        </w:r>
      </w:hyperlink>
      <w:r w:rsidRPr="00D6044F">
        <w:rPr>
          <w:b w:val="0"/>
          <w:bCs w:val="0"/>
          <w:color w:val="auto"/>
          <w:sz w:val="22"/>
          <w:szCs w:val="22"/>
        </w:rPr>
        <w:t>, which have been revised to reflect the new wage rates and related compliance information.</w:t>
      </w:r>
    </w:p>
    <w:p w14:paraId="1F3F5C3F" w14:textId="6800184B"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Nebraska </w:t>
      </w:r>
      <w:r w:rsidRPr="00D6044F">
        <w:rPr>
          <w:b w:val="0"/>
          <w:bCs w:val="0"/>
          <w:color w:val="auto"/>
          <w:sz w:val="22"/>
          <w:szCs w:val="22"/>
        </w:rPr>
        <w:t>-</w:t>
      </w:r>
      <w:r w:rsidRPr="00D6044F">
        <w:rPr>
          <w:sz w:val="22"/>
          <w:szCs w:val="22"/>
        </w:rPr>
        <w:t xml:space="preserve"> </w:t>
      </w:r>
      <w:r w:rsidRPr="00D6044F">
        <w:rPr>
          <w:b w:val="0"/>
          <w:bCs w:val="0"/>
          <w:color w:val="auto"/>
          <w:sz w:val="22"/>
          <w:szCs w:val="22"/>
        </w:rPr>
        <w:t>updated</w:t>
      </w:r>
      <w:r w:rsidRPr="00D6044F">
        <w:rPr>
          <w:sz w:val="22"/>
          <w:szCs w:val="22"/>
        </w:rPr>
        <w:t xml:space="preserve"> </w:t>
      </w:r>
      <w:hyperlink r:id="rId31" w:history="1">
        <w:r w:rsidRPr="00D6044F">
          <w:rPr>
            <w:rStyle w:val="Hyperlink"/>
            <w:bCs w:val="0"/>
            <w:sz w:val="22"/>
            <w:szCs w:val="22"/>
          </w:rPr>
          <w:t>Minimum Wage Notice</w:t>
        </w:r>
      </w:hyperlink>
      <w:r w:rsidRPr="00D6044F">
        <w:rPr>
          <w:sz w:val="22"/>
          <w:szCs w:val="22"/>
        </w:rPr>
        <w:t> </w:t>
      </w:r>
      <w:r w:rsidRPr="00D6044F">
        <w:rPr>
          <w:b w:val="0"/>
          <w:bCs w:val="0"/>
          <w:color w:val="auto"/>
          <w:sz w:val="22"/>
          <w:szCs w:val="22"/>
        </w:rPr>
        <w:t>now reflects significant wage law changes taking effect July 17, 2026. The revised notice introduces a new youth minimum wage of $13.50 per hour for employees ages 14 and 15, as well as a new 90-day training wage for certain employees ages 16–19. It also adds future minimum wage rates through 2030, reflecting annual cost-of-living adjustments beginning January 1, 2027. Additionally, the notice simplifies exemption language by referencing the applicable statute rather than listing all exemptions in detail.﻿</w:t>
      </w:r>
    </w:p>
    <w:p w14:paraId="5CC291B6" w14:textId="77777777"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Nevada - </w:t>
      </w:r>
      <w:r w:rsidRPr="00D6044F">
        <w:rPr>
          <w:b w:val="0"/>
          <w:bCs w:val="0"/>
          <w:color w:val="auto"/>
          <w:sz w:val="22"/>
          <w:szCs w:val="22"/>
        </w:rPr>
        <w:t xml:space="preserve">udpated labor law notices effective July 2026: </w:t>
      </w:r>
    </w:p>
    <w:p w14:paraId="2F5CCF21" w14:textId="77777777" w:rsidR="00D6044F" w:rsidRPr="00D6044F" w:rsidRDefault="00D6044F">
      <w:pPr>
        <w:pStyle w:val="MainSectionHead"/>
        <w:numPr>
          <w:ilvl w:val="0"/>
          <w:numId w:val="362"/>
        </w:numPr>
        <w:spacing w:before="0" w:after="0" w:line="240" w:lineRule="auto"/>
        <w:ind w:left="1170"/>
        <w:rPr>
          <w:sz w:val="22"/>
          <w:szCs w:val="22"/>
        </w:rPr>
      </w:pPr>
      <w:hyperlink r:id="rId32" w:history="1">
        <w:r w:rsidRPr="00D6044F">
          <w:rPr>
            <w:rStyle w:val="Hyperlink"/>
            <w:bCs w:val="0"/>
            <w:sz w:val="22"/>
            <w:szCs w:val="22"/>
          </w:rPr>
          <w:t>Minimum Wage &amp; Daily Overtime Notice</w:t>
        </w:r>
      </w:hyperlink>
      <w:r w:rsidRPr="00D6044F">
        <w:rPr>
          <w:rStyle w:val="Hyperlink"/>
          <w:sz w:val="22"/>
          <w:szCs w:val="22"/>
        </w:rPr>
        <w:t> </w:t>
      </w:r>
      <w:r w:rsidRPr="00D6044F">
        <w:rPr>
          <w:b w:val="0"/>
          <w:bCs w:val="0"/>
          <w:color w:val="auto"/>
          <w:sz w:val="22"/>
          <w:szCs w:val="22"/>
        </w:rPr>
        <w:t>has been updated with revisions including the new July 1, 2026 effective date. </w:t>
      </w:r>
    </w:p>
    <w:p w14:paraId="168300EE" w14:textId="77777777" w:rsidR="00D6044F" w:rsidRPr="00D6044F" w:rsidRDefault="00D6044F">
      <w:pPr>
        <w:pStyle w:val="MainSectionHead"/>
        <w:numPr>
          <w:ilvl w:val="0"/>
          <w:numId w:val="362"/>
        </w:numPr>
        <w:spacing w:before="0" w:after="0" w:line="240" w:lineRule="auto"/>
        <w:ind w:left="1170"/>
        <w:rPr>
          <w:sz w:val="22"/>
          <w:szCs w:val="22"/>
        </w:rPr>
      </w:pPr>
      <w:r w:rsidRPr="00D6044F">
        <w:rPr>
          <w:b w:val="0"/>
          <w:bCs w:val="0"/>
          <w:color w:val="auto"/>
          <w:sz w:val="22"/>
          <w:szCs w:val="22"/>
        </w:rPr>
        <w:t xml:space="preserve">The </w:t>
      </w:r>
      <w:hyperlink r:id="rId33" w:history="1">
        <w:r w:rsidRPr="00D6044F">
          <w:rPr>
            <w:rStyle w:val="Hyperlink"/>
            <w:bCs w:val="0"/>
            <w:sz w:val="22"/>
            <w:szCs w:val="22"/>
          </w:rPr>
          <w:t>AB 307 Notice</w:t>
        </w:r>
        <w:r w:rsidRPr="00D6044F">
          <w:rPr>
            <w:rStyle w:val="Hyperlink"/>
            <w:sz w:val="22"/>
            <w:szCs w:val="22"/>
          </w:rPr>
          <w:t xml:space="preserve"> </w:t>
        </w:r>
      </w:hyperlink>
      <w:r w:rsidRPr="00D6044F">
        <w:rPr>
          <w:b w:val="0"/>
          <w:bCs w:val="0"/>
          <w:color w:val="auto"/>
          <w:sz w:val="22"/>
          <w:szCs w:val="22"/>
        </w:rPr>
        <w:t xml:space="preserve">revision includes updated links to required training resources. </w:t>
      </w:r>
    </w:p>
    <w:p w14:paraId="3AC75911" w14:textId="77777777" w:rsidR="00D6044F" w:rsidRPr="00D6044F" w:rsidRDefault="00D6044F">
      <w:pPr>
        <w:pStyle w:val="MainSectionHead"/>
        <w:numPr>
          <w:ilvl w:val="0"/>
          <w:numId w:val="362"/>
        </w:numPr>
        <w:spacing w:before="0" w:after="0" w:line="240" w:lineRule="auto"/>
        <w:ind w:left="1170"/>
        <w:rPr>
          <w:sz w:val="22"/>
          <w:szCs w:val="22"/>
        </w:rPr>
      </w:pPr>
      <w:r w:rsidRPr="00D6044F">
        <w:rPr>
          <w:b w:val="0"/>
          <w:bCs w:val="0"/>
          <w:color w:val="auto"/>
          <w:sz w:val="22"/>
          <w:szCs w:val="22"/>
        </w:rPr>
        <w:t>The </w:t>
      </w:r>
      <w:hyperlink r:id="rId34" w:history="1">
        <w:r w:rsidRPr="00D6044F">
          <w:rPr>
            <w:rStyle w:val="Hyperlink"/>
            <w:bCs w:val="0"/>
            <w:sz w:val="22"/>
            <w:szCs w:val="22"/>
          </w:rPr>
          <w:t>Rules to Be Observed by Employers Notice</w:t>
        </w:r>
      </w:hyperlink>
      <w:r w:rsidRPr="00D6044F">
        <w:rPr>
          <w:b w:val="0"/>
          <w:bCs w:val="0"/>
          <w:color w:val="auto"/>
          <w:sz w:val="22"/>
          <w:szCs w:val="22"/>
        </w:rPr>
        <w:t> has been updated</w:t>
      </w:r>
    </w:p>
    <w:p w14:paraId="0CB0BA45" w14:textId="77777777"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Maine </w:t>
      </w:r>
      <w:r w:rsidRPr="00D6044F">
        <w:rPr>
          <w:b w:val="0"/>
          <w:bCs w:val="0"/>
          <w:color w:val="auto"/>
          <w:sz w:val="22"/>
          <w:szCs w:val="22"/>
        </w:rPr>
        <w:t>–</w:t>
      </w:r>
      <w:r w:rsidRPr="00D6044F">
        <w:rPr>
          <w:sz w:val="22"/>
          <w:szCs w:val="22"/>
        </w:rPr>
        <w:t xml:space="preserve"> </w:t>
      </w:r>
      <w:r w:rsidRPr="00D6044F">
        <w:rPr>
          <w:b w:val="0"/>
          <w:bCs w:val="0"/>
          <w:color w:val="auto"/>
          <w:sz w:val="22"/>
          <w:szCs w:val="22"/>
        </w:rPr>
        <w:t xml:space="preserve">state’s updated </w:t>
      </w:r>
      <w:hyperlink r:id="rId35" w:history="1">
        <w:r w:rsidRPr="00D6044F">
          <w:rPr>
            <w:rStyle w:val="Hyperlink"/>
            <w:bCs w:val="0"/>
            <w:sz w:val="22"/>
            <w:szCs w:val="22"/>
          </w:rPr>
          <w:t>Sexual Harassment Prevention</w:t>
        </w:r>
      </w:hyperlink>
      <w:r w:rsidRPr="00D6044F">
        <w:rPr>
          <w:rStyle w:val="Hyperlink"/>
          <w:bCs w:val="0"/>
          <w:sz w:val="22"/>
          <w:szCs w:val="22"/>
        </w:rPr>
        <w:t xml:space="preserve"> </w:t>
      </w:r>
      <w:r w:rsidRPr="00D6044F">
        <w:rPr>
          <w:b w:val="0"/>
          <w:bCs w:val="0"/>
          <w:color w:val="auto"/>
          <w:sz w:val="22"/>
          <w:szCs w:val="22"/>
        </w:rPr>
        <w:t>notice is required for businesses with 15 or more employees, revised and reorganized to provide clearer guidance on employer training obligations. The updated notice more clearly outlines the required content of sexual harassment training, additional training requirements for supervisors and managers, and procedures for reporting complaints. It also emphasizes that employers must maintain records of sexual harassment training and employee attendance for at least three years. Additionally, the notice includes updated enforcement information and contact details for the Maine Bureau of Labor Standards.﻿</w:t>
      </w:r>
    </w:p>
    <w:p w14:paraId="72E69B6A" w14:textId="77777777"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New Jersey </w:t>
      </w:r>
      <w:r w:rsidRPr="00D6044F">
        <w:rPr>
          <w:b w:val="0"/>
          <w:bCs w:val="0"/>
          <w:color w:val="auto"/>
          <w:sz w:val="22"/>
          <w:szCs w:val="22"/>
        </w:rPr>
        <w:t>– For employers impacted by the applicability threshold lowered to cover employers that have 15 or more employees, ensure posting/provision of applicable</w:t>
      </w:r>
      <w:r w:rsidRPr="00D6044F">
        <w:rPr>
          <w:b w:val="0"/>
          <w:color w:val="auto"/>
          <w:sz w:val="22"/>
          <w:szCs w:val="22"/>
        </w:rPr>
        <w:t xml:space="preserve"> </w:t>
      </w:r>
      <w:hyperlink r:id="rId36" w:history="1">
        <w:r w:rsidRPr="00D6044F">
          <w:rPr>
            <w:rStyle w:val="Hyperlink"/>
            <w:rFonts w:eastAsia="Times New Roman"/>
            <w:sz w:val="22"/>
            <w:szCs w:val="22"/>
          </w:rPr>
          <w:t>Labor Notice</w:t>
        </w:r>
      </w:hyperlink>
      <w:r w:rsidRPr="00D6044F">
        <w:rPr>
          <w:rFonts w:eastAsia="Times New Roman"/>
          <w:color w:val="auto"/>
          <w:sz w:val="22"/>
          <w:szCs w:val="22"/>
        </w:rPr>
        <w:t xml:space="preserve"> </w:t>
      </w:r>
      <w:r w:rsidRPr="00D6044F">
        <w:rPr>
          <w:b w:val="0"/>
          <w:bCs w:val="0"/>
          <w:color w:val="auto"/>
          <w:sz w:val="22"/>
          <w:szCs w:val="22"/>
        </w:rPr>
        <w:t>to NJ employees.</w:t>
      </w:r>
    </w:p>
    <w:p w14:paraId="13E5341C" w14:textId="77777777" w:rsidR="00D6044F" w:rsidRPr="00D6044F" w:rsidRDefault="00D6044F">
      <w:pPr>
        <w:pStyle w:val="MainSectionHead"/>
        <w:numPr>
          <w:ilvl w:val="0"/>
          <w:numId w:val="362"/>
        </w:numPr>
        <w:spacing w:before="0" w:after="0" w:line="240" w:lineRule="auto"/>
        <w:rPr>
          <w:sz w:val="22"/>
          <w:szCs w:val="22"/>
        </w:rPr>
      </w:pPr>
      <w:r w:rsidRPr="00D6044F">
        <w:rPr>
          <w:sz w:val="22"/>
          <w:szCs w:val="22"/>
        </w:rPr>
        <w:lastRenderedPageBreak/>
        <w:t>Oregon</w:t>
      </w:r>
      <w:r w:rsidRPr="00D6044F">
        <w:rPr>
          <w:b w:val="0"/>
          <w:bCs w:val="0"/>
          <w:sz w:val="22"/>
          <w:szCs w:val="22"/>
        </w:rPr>
        <w:t xml:space="preserve"> - </w:t>
      </w:r>
      <w:r w:rsidRPr="00D6044F">
        <w:rPr>
          <w:b w:val="0"/>
          <w:bCs w:val="0"/>
          <w:color w:val="auto"/>
          <w:sz w:val="22"/>
          <w:szCs w:val="22"/>
        </w:rPr>
        <w:t xml:space="preserve">several updated labor law notices that become effective July 1, 2026. The most significant change is a $0.50 per hour increase to all three Oregon minimum wage rates, affecting employers in the Portland Metro Area, Standard Counties, and Nonurban Counties. The revised </w:t>
      </w:r>
      <w:hyperlink r:id="rId37" w:history="1">
        <w:r w:rsidRPr="00D6044F">
          <w:rPr>
            <w:rStyle w:val="Hyperlink"/>
            <w:bCs w:val="0"/>
            <w:sz w:val="22"/>
            <w:szCs w:val="22"/>
          </w:rPr>
          <w:t>Minimum Wage Notice</w:t>
        </w:r>
      </w:hyperlink>
      <w:r w:rsidRPr="00D6044F">
        <w:rPr>
          <w:b w:val="0"/>
          <w:bCs w:val="0"/>
          <w:color w:val="auto"/>
          <w:sz w:val="22"/>
          <w:szCs w:val="22"/>
        </w:rPr>
        <w:t xml:space="preserve"> also clarifies that deductions from minimum wage for uniforms, tools, and employer-required lodging are prohibited. Additionally, the </w:t>
      </w:r>
      <w:hyperlink r:id="rId38" w:history="1">
        <w:r w:rsidRPr="00D6044F">
          <w:rPr>
            <w:rStyle w:val="Hyperlink"/>
            <w:bCs w:val="0"/>
            <w:sz w:val="22"/>
            <w:szCs w:val="22"/>
          </w:rPr>
          <w:t>Oregon Sick Time</w:t>
        </w:r>
      </w:hyperlink>
      <w:r w:rsidRPr="00D6044F">
        <w:rPr>
          <w:rStyle w:val="Hyperlink"/>
          <w:bCs w:val="0"/>
          <w:sz w:val="22"/>
          <w:szCs w:val="22"/>
        </w:rPr>
        <w:t xml:space="preserve"> Notice </w:t>
      </w:r>
      <w:r w:rsidRPr="00D6044F">
        <w:rPr>
          <w:b w:val="0"/>
          <w:bCs w:val="0"/>
          <w:color w:val="auto"/>
          <w:sz w:val="22"/>
          <w:szCs w:val="22"/>
        </w:rPr>
        <w:t xml:space="preserve">expands covered uses to include blood donation and adds information regarding rehire protections, limitations on doctor's note requirements, and written sick leave balance notifications. The </w:t>
      </w:r>
      <w:hyperlink r:id="rId39" w:history="1">
        <w:r w:rsidRPr="00D6044F">
          <w:rPr>
            <w:rStyle w:val="Hyperlink"/>
            <w:bCs w:val="0"/>
            <w:sz w:val="22"/>
            <w:szCs w:val="22"/>
          </w:rPr>
          <w:t>Sexual Harassment &amp; Domestic Violence Protections Notice</w:t>
        </w:r>
      </w:hyperlink>
      <w:r w:rsidRPr="00D6044F">
        <w:rPr>
          <w:b w:val="0"/>
          <w:bCs w:val="0"/>
          <w:color w:val="auto"/>
          <w:sz w:val="22"/>
          <w:szCs w:val="22"/>
        </w:rPr>
        <w:t xml:space="preserve"> now expressly states that employers must maintain a written sexual harassment policy and provide a copy to each employee. Finally, the </w:t>
      </w:r>
      <w:hyperlink r:id="rId40" w:history="1">
        <w:r w:rsidRPr="00D6044F">
          <w:rPr>
            <w:rStyle w:val="Hyperlink"/>
            <w:bCs w:val="0"/>
            <w:sz w:val="22"/>
            <w:szCs w:val="22"/>
          </w:rPr>
          <w:t>Captive Audiences Notice</w:t>
        </w:r>
        <w:r w:rsidRPr="00D6044F">
          <w:rPr>
            <w:rStyle w:val="Hyperlink"/>
            <w:sz w:val="22"/>
            <w:szCs w:val="22"/>
          </w:rPr>
          <w:t xml:space="preserve"> </w:t>
        </w:r>
      </w:hyperlink>
      <w:r w:rsidRPr="00D6044F">
        <w:rPr>
          <w:b w:val="0"/>
          <w:bCs w:val="0"/>
          <w:color w:val="auto"/>
          <w:sz w:val="22"/>
          <w:szCs w:val="22"/>
        </w:rPr>
        <w:t>contains minor changes.﻿</w:t>
      </w:r>
    </w:p>
    <w:p w14:paraId="56336B1C" w14:textId="216A84F4" w:rsidR="00D6044F" w:rsidRPr="00D6044F" w:rsidRDefault="00D6044F">
      <w:pPr>
        <w:pStyle w:val="MainSectionHead"/>
        <w:numPr>
          <w:ilvl w:val="0"/>
          <w:numId w:val="362"/>
        </w:numPr>
        <w:spacing w:before="0" w:after="0" w:line="240" w:lineRule="auto"/>
        <w:rPr>
          <w:rStyle w:val="Hyperlink"/>
          <w:color w:val="auto"/>
          <w:sz w:val="22"/>
          <w:szCs w:val="22"/>
          <w:u w:val="none"/>
        </w:rPr>
      </w:pPr>
      <w:r w:rsidRPr="00D6044F">
        <w:rPr>
          <w:sz w:val="22"/>
          <w:szCs w:val="22"/>
        </w:rPr>
        <w:t xml:space="preserve">Philadelphia, Pennsylvania </w:t>
      </w:r>
      <w:r w:rsidRPr="00D6044F">
        <w:rPr>
          <w:b w:val="0"/>
          <w:bCs w:val="0"/>
          <w:color w:val="auto"/>
          <w:sz w:val="22"/>
          <w:szCs w:val="22"/>
        </w:rPr>
        <w:t>- The Philadelphia Commission on Human Relations</w:t>
      </w:r>
      <w:r w:rsidRPr="00D6044F">
        <w:rPr>
          <w:color w:val="auto"/>
          <w:sz w:val="22"/>
          <w:szCs w:val="22"/>
        </w:rPr>
        <w:t xml:space="preserve"> </w:t>
      </w:r>
      <w:r w:rsidRPr="00D6044F">
        <w:rPr>
          <w:b w:val="0"/>
          <w:bCs w:val="0"/>
          <w:color w:val="auto"/>
          <w:sz w:val="22"/>
          <w:szCs w:val="22"/>
        </w:rPr>
        <w:t>has issued a</w:t>
      </w:r>
      <w:hyperlink r:id="rId41" w:history="1">
        <w:r w:rsidRPr="00D6044F">
          <w:rPr>
            <w:rStyle w:val="Hyperlink"/>
            <w:bCs w:val="0"/>
            <w:sz w:val="22"/>
            <w:szCs w:val="22"/>
          </w:rPr>
          <w:t xml:space="preserve"> </w:t>
        </w:r>
        <w:r w:rsidRPr="00D6044F">
          <w:rPr>
            <w:rStyle w:val="Hyperlink"/>
            <w:sz w:val="22"/>
            <w:szCs w:val="22"/>
          </w:rPr>
          <w:t>Fair Criminal Record Screening Standards Ordinance (FCRSSO) Notice</w:t>
        </w:r>
      </w:hyperlink>
      <w:r w:rsidRPr="00D6044F">
        <w:rPr>
          <w:b w:val="0"/>
          <w:bCs w:val="0"/>
          <w:color w:val="auto"/>
          <w:sz w:val="22"/>
          <w:szCs w:val="22"/>
        </w:rPr>
        <w:t xml:space="preserve"> regarding the amendments reflecting FCRSSO summary of rights. </w:t>
      </w:r>
      <w:r w:rsidRPr="00D6044F">
        <w:rPr>
          <w:color w:val="auto"/>
          <w:sz w:val="22"/>
          <w:szCs w:val="22"/>
        </w:rPr>
        <w:t xml:space="preserve"> </w:t>
      </w:r>
      <w:r w:rsidRPr="00D6044F">
        <w:rPr>
          <w:b w:val="0"/>
          <w:bCs w:val="0"/>
          <w:color w:val="auto"/>
          <w:sz w:val="22"/>
          <w:szCs w:val="22"/>
        </w:rPr>
        <w:t>The most conservative approach for employers would be to utilize the updated notice when complying with FCRSSO Section 9-3504.1’s requirement to provide “[a] summary of the Applicant’s or Employee’s rights under the Fair Criminal Record Screening Standards Ordinance,” before rejecting an applicant or employee for a job based on criminal record history.</w:t>
      </w:r>
    </w:p>
    <w:p w14:paraId="73479C6B" w14:textId="77777777" w:rsidR="00D6044F" w:rsidRDefault="00D6044F" w:rsidP="00D6044F">
      <w:pPr>
        <w:pStyle w:val="ParagraphBasic"/>
        <w:spacing w:after="0" w:line="240" w:lineRule="auto"/>
        <w:ind w:left="360"/>
        <w:rPr>
          <w:rStyle w:val="Hyperlink"/>
          <w:rFonts w:ascii="Calibri" w:hAnsi="Calibri" w:cs="Calibri"/>
          <w:b/>
          <w:bCs/>
          <w:color w:val="auto"/>
          <w:kern w:val="36"/>
          <w:sz w:val="28"/>
          <w:szCs w:val="28"/>
          <w:u w:val="none"/>
        </w:rPr>
      </w:pPr>
    </w:p>
    <w:p w14:paraId="2EDB478C" w14:textId="51A26F7E" w:rsidR="00F1262E" w:rsidRDefault="00F1262E" w:rsidP="00F1262E">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May</w:t>
      </w:r>
    </w:p>
    <w:p w14:paraId="0979B001" w14:textId="77777777" w:rsidR="00F1262E" w:rsidRPr="00F1262E" w:rsidRDefault="00F1262E">
      <w:pPr>
        <w:pStyle w:val="MainSectionHead"/>
        <w:numPr>
          <w:ilvl w:val="0"/>
          <w:numId w:val="341"/>
        </w:numPr>
        <w:spacing w:before="0" w:after="0" w:line="240" w:lineRule="auto"/>
        <w:rPr>
          <w:sz w:val="22"/>
          <w:szCs w:val="22"/>
        </w:rPr>
      </w:pPr>
      <w:r w:rsidRPr="00F1262E">
        <w:rPr>
          <w:caps/>
          <w:color w:val="0070C0"/>
          <w:sz w:val="22"/>
          <w:szCs w:val="22"/>
        </w:rPr>
        <w:t>Alaska</w:t>
      </w:r>
      <w:r w:rsidRPr="00F1262E">
        <w:rPr>
          <w:sz w:val="22"/>
          <w:szCs w:val="22"/>
        </w:rPr>
        <w:t xml:space="preserve"> -  </w:t>
      </w:r>
      <w:r w:rsidRPr="00F1262E">
        <w:rPr>
          <w:b w:val="0"/>
          <w:bCs w:val="0"/>
          <w:noProof w:val="0"/>
          <w:color w:val="auto"/>
          <w:sz w:val="22"/>
          <w:szCs w:val="22"/>
        </w:rPr>
        <w:t>The state has revised its AKOSH “</w:t>
      </w:r>
      <w:hyperlink r:id="rId42" w:history="1">
        <w:r w:rsidRPr="00F1262E">
          <w:rPr>
            <w:rStyle w:val="Hyperlink"/>
            <w:bCs w:val="0"/>
            <w:noProof w:val="0"/>
            <w:sz w:val="22"/>
            <w:szCs w:val="22"/>
          </w:rPr>
          <w:t>Safety and Health Protection on the Job</w:t>
        </w:r>
      </w:hyperlink>
      <w:r w:rsidRPr="00F1262E">
        <w:rPr>
          <w:b w:val="0"/>
          <w:bCs w:val="0"/>
          <w:noProof w:val="0"/>
          <w:color w:val="auto"/>
          <w:sz w:val="22"/>
          <w:szCs w:val="22"/>
        </w:rPr>
        <w:t>” poster to reflect updated penalty amounts, revised complaint procedures, updated agency contact information, and formatting changes. Employers should replace outdated postings to ensure compliance with current Alaska OSHA requirements.﻿</w:t>
      </w:r>
    </w:p>
    <w:p w14:paraId="25B45660" w14:textId="1C61D455" w:rsidR="00F1262E" w:rsidRPr="00F1262E" w:rsidRDefault="00F1262E">
      <w:pPr>
        <w:pStyle w:val="ParagraphBasic"/>
        <w:numPr>
          <w:ilvl w:val="0"/>
          <w:numId w:val="341"/>
        </w:numPr>
        <w:spacing w:after="0" w:line="240" w:lineRule="auto"/>
        <w:rPr>
          <w:rStyle w:val="Hyperlink"/>
          <w:rFonts w:ascii="Calibri" w:hAnsi="Calibri" w:cs="Calibri"/>
          <w:b/>
          <w:bCs/>
          <w:color w:val="auto"/>
          <w:kern w:val="36"/>
          <w:u w:val="none"/>
        </w:rPr>
      </w:pPr>
      <w:r w:rsidRPr="00F1262E">
        <w:rPr>
          <w:b/>
          <w:bCs/>
          <w:caps/>
          <w:color w:val="0070C0"/>
        </w:rPr>
        <w:t>Minnesota</w:t>
      </w:r>
      <w:r w:rsidRPr="00F1262E">
        <w:rPr>
          <w:caps/>
          <w:color w:val="0070C0"/>
        </w:rPr>
        <w:t xml:space="preserve"> – </w:t>
      </w:r>
      <w:r w:rsidRPr="00F1262E">
        <w:t>The state as released an updated “</w:t>
      </w:r>
      <w:hyperlink r:id="rId43" w:history="1">
        <w:r w:rsidRPr="00F1262E">
          <w:rPr>
            <w:rStyle w:val="Hyperlink"/>
            <w:b/>
          </w:rPr>
          <w:t>Minimum Wage and Other Requirements</w:t>
        </w:r>
      </w:hyperlink>
      <w:r w:rsidRPr="00F1262E">
        <w:t>” notice that includes several important content and formatting revisions. Most notably, the new notice adds a “Rest and Meal Breaks” section stating that employers must provide at least a 15-minute rest break for every four consecutive hours worked and a 30-minute meal break for shifts lasting six or more consecutive hours. The updated poster also features a refreshed layout, revised section headings, and updated QR codes and web links directing employees to additional labor law resources and reporting information.</w:t>
      </w:r>
    </w:p>
    <w:p w14:paraId="2C576FC2" w14:textId="77777777" w:rsidR="00F1262E" w:rsidRDefault="00F1262E" w:rsidP="00F1262E">
      <w:pPr>
        <w:pStyle w:val="ParagraphBasic"/>
        <w:spacing w:after="0" w:line="240" w:lineRule="auto"/>
        <w:rPr>
          <w:rStyle w:val="Hyperlink"/>
          <w:rFonts w:ascii="Calibri" w:hAnsi="Calibri" w:cs="Calibri"/>
          <w:b/>
          <w:bCs/>
          <w:color w:val="auto"/>
          <w:kern w:val="36"/>
          <w:sz w:val="28"/>
          <w:szCs w:val="28"/>
          <w:u w:val="none"/>
        </w:rPr>
      </w:pPr>
    </w:p>
    <w:p w14:paraId="18031D3F" w14:textId="1343E600" w:rsidR="00363B4D" w:rsidRDefault="00363B4D" w:rsidP="00F1262E">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April</w:t>
      </w:r>
    </w:p>
    <w:p w14:paraId="07B69006" w14:textId="77777777" w:rsidR="004C35C0" w:rsidRPr="0059210A" w:rsidRDefault="004C35C0" w:rsidP="00F1262E">
      <w:pPr>
        <w:pStyle w:val="MainSectionHead"/>
        <w:numPr>
          <w:ilvl w:val="0"/>
          <w:numId w:val="334"/>
        </w:numPr>
        <w:tabs>
          <w:tab w:val="num" w:pos="360"/>
        </w:tabs>
        <w:spacing w:before="0" w:after="0" w:line="240" w:lineRule="auto"/>
        <w:ind w:left="540" w:hanging="180"/>
        <w:rPr>
          <w:caps/>
          <w:color w:val="0070C0"/>
          <w:sz w:val="22"/>
          <w:szCs w:val="22"/>
        </w:rPr>
      </w:pPr>
      <w:r w:rsidRPr="0059210A">
        <w:rPr>
          <w:caps/>
          <w:color w:val="0070C0"/>
          <w:sz w:val="22"/>
          <w:szCs w:val="22"/>
        </w:rPr>
        <w:t xml:space="preserve">Alaska – </w:t>
      </w:r>
      <w:r w:rsidRPr="0059210A">
        <w:rPr>
          <w:b w:val="0"/>
          <w:bCs w:val="0"/>
          <w:color w:val="auto"/>
          <w:sz w:val="22"/>
          <w:szCs w:val="22"/>
        </w:rPr>
        <w:t>The state has released several labor law posting updates</w:t>
      </w:r>
    </w:p>
    <w:p w14:paraId="01BFF2BA" w14:textId="77777777" w:rsidR="004C35C0" w:rsidRPr="0059210A" w:rsidRDefault="004C35C0">
      <w:pPr>
        <w:pStyle w:val="ListParagraph"/>
        <w:numPr>
          <w:ilvl w:val="2"/>
          <w:numId w:val="334"/>
        </w:numPr>
        <w:spacing w:after="0" w:line="240" w:lineRule="auto"/>
        <w:ind w:left="1350"/>
        <w:rPr>
          <w:noProof/>
          <w:color w:val="0E425C"/>
        </w:rPr>
      </w:pPr>
      <w:hyperlink r:id="rId44" w:history="1">
        <w:r w:rsidRPr="0059210A">
          <w:rPr>
            <w:b/>
            <w:bCs/>
            <w:caps/>
            <w:noProof/>
            <w:color w:val="0070C0"/>
            <w:u w:val="single"/>
          </w:rPr>
          <w:t>Alaska Minimum Wage Notice</w:t>
        </w:r>
      </w:hyperlink>
      <w:r w:rsidRPr="0059210A">
        <w:rPr>
          <w:b/>
          <w:bCs/>
          <w:caps/>
          <w:noProof/>
          <w:color w:val="0070C0"/>
          <w:u w:val="single"/>
        </w:rPr>
        <w:t xml:space="preserve"> </w:t>
      </w:r>
      <w:r w:rsidRPr="0059210A">
        <w:rPr>
          <w:noProof/>
        </w:rPr>
        <w:t>7/1/2026</w:t>
      </w:r>
    </w:p>
    <w:p w14:paraId="7AC8DF4E" w14:textId="77777777" w:rsidR="0059210A" w:rsidRPr="0059210A" w:rsidRDefault="004C35C0">
      <w:pPr>
        <w:pStyle w:val="ListParagraph"/>
        <w:numPr>
          <w:ilvl w:val="2"/>
          <w:numId w:val="334"/>
        </w:numPr>
        <w:spacing w:after="100" w:line="240" w:lineRule="auto"/>
        <w:ind w:left="1350"/>
        <w:rPr>
          <w:noProof/>
          <w:color w:val="0E425C"/>
        </w:rPr>
      </w:pPr>
      <w:hyperlink r:id="rId45" w:history="1">
        <w:r w:rsidRPr="0059210A">
          <w:rPr>
            <w:rStyle w:val="Hyperlink"/>
            <w:bCs/>
            <w:caps/>
            <w:noProof/>
            <w:color w:val="0070C0"/>
          </w:rPr>
          <w:t>Workers’ Compensation Notice</w:t>
        </w:r>
        <w:r w:rsidRPr="0059210A">
          <w:rPr>
            <w:rStyle w:val="Hyperlink"/>
            <w:noProof/>
            <w:color w:val="0070C0"/>
          </w:rPr>
          <w:t xml:space="preserve"> </w:t>
        </w:r>
      </w:hyperlink>
      <w:r w:rsidRPr="0059210A">
        <w:rPr>
          <w:noProof/>
        </w:rPr>
        <w:t>updated to address shortening the employee reporting deadline for workplace injuries from 30 days to 15 days</w:t>
      </w:r>
    </w:p>
    <w:p w14:paraId="20A4168E" w14:textId="2906892A" w:rsidR="004C35C0" w:rsidRPr="0059210A" w:rsidRDefault="004C35C0">
      <w:pPr>
        <w:pStyle w:val="ListParagraph"/>
        <w:numPr>
          <w:ilvl w:val="2"/>
          <w:numId w:val="334"/>
        </w:numPr>
        <w:spacing w:after="100" w:line="240" w:lineRule="auto"/>
        <w:ind w:left="1350"/>
        <w:rPr>
          <w:noProof/>
          <w:color w:val="0E425C"/>
        </w:rPr>
      </w:pPr>
      <w:hyperlink r:id="rId46" w:history="1">
        <w:r w:rsidRPr="0059210A">
          <w:rPr>
            <w:b/>
            <w:bCs/>
            <w:caps/>
            <w:noProof/>
            <w:color w:val="0070C0"/>
            <w:u w:val="single"/>
          </w:rPr>
          <w:t xml:space="preserve">Summary of Alaska Child Labor Law Notice </w:t>
        </w:r>
      </w:hyperlink>
      <w:r w:rsidRPr="0059210A">
        <w:rPr>
          <w:noProof/>
        </w:rPr>
        <w:t>updated with formatting and contact information changes.</w:t>
      </w:r>
    </w:p>
    <w:p w14:paraId="52020B6B"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 xml:space="preserve">Oregon – </w:t>
      </w:r>
      <w:r w:rsidRPr="0059210A">
        <w:rPr>
          <w:b w:val="0"/>
          <w:bCs w:val="0"/>
          <w:color w:val="auto"/>
          <w:sz w:val="22"/>
          <w:szCs w:val="22"/>
        </w:rPr>
        <w:t>The state has released an updated </w:t>
      </w:r>
      <w:hyperlink r:id="rId47" w:history="1">
        <w:r w:rsidRPr="0059210A">
          <w:rPr>
            <w:caps/>
            <w:color w:val="0070C0"/>
            <w:sz w:val="22"/>
            <w:szCs w:val="22"/>
            <w:u w:val="single"/>
          </w:rPr>
          <w:t>Paid Leave Notice</w:t>
        </w:r>
      </w:hyperlink>
      <w:r w:rsidRPr="0059210A">
        <w:rPr>
          <w:caps/>
          <w:color w:val="0070C0"/>
          <w:sz w:val="22"/>
          <w:szCs w:val="22"/>
          <w:u w:val="single"/>
        </w:rPr>
        <w:t>.</w:t>
      </w:r>
      <w:r w:rsidRPr="0059210A">
        <w:rPr>
          <w:b w:val="0"/>
          <w:bCs w:val="0"/>
          <w:sz w:val="22"/>
          <w:szCs w:val="22"/>
        </w:rPr>
        <w:t xml:space="preserve"> </w:t>
      </w:r>
      <w:r w:rsidRPr="0059210A">
        <w:rPr>
          <w:b w:val="0"/>
          <w:bCs w:val="0"/>
          <w:color w:val="auto"/>
          <w:sz w:val="22"/>
          <w:szCs w:val="22"/>
        </w:rPr>
        <w:t>The most notable change adds guidance for unforeseeable leave, requiring employees to notify their employer within 24 hours and provide written notice within three days. The update also clarifies that employees must continue paying their portion of health insurance while on leave.﻿  Access the State’s website tolocate Notice in Spanish as well asother Employer resouces</w:t>
      </w:r>
      <w:r w:rsidRPr="0059210A">
        <w:rPr>
          <w:b w:val="0"/>
          <w:bCs w:val="0"/>
          <w:sz w:val="22"/>
          <w:szCs w:val="22"/>
        </w:rPr>
        <w:t xml:space="preserve"> </w:t>
      </w:r>
      <w:hyperlink r:id="rId48" w:history="1">
        <w:r w:rsidRPr="0059210A">
          <w:rPr>
            <w:caps/>
            <w:color w:val="0070C0"/>
            <w:sz w:val="22"/>
            <w:szCs w:val="22"/>
            <w:u w:val="single"/>
          </w:rPr>
          <w:t>HERE</w:t>
        </w:r>
      </w:hyperlink>
    </w:p>
    <w:p w14:paraId="337CECCD"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 xml:space="preserve">Maine – </w:t>
      </w:r>
      <w:r w:rsidRPr="0059210A">
        <w:rPr>
          <w:b w:val="0"/>
          <w:bCs w:val="0"/>
          <w:color w:val="auto"/>
          <w:sz w:val="22"/>
          <w:szCs w:val="22"/>
        </w:rPr>
        <w:t xml:space="preserve">The state has released sample written notice (for new hires) and a labor poster regarding Paid Family &amp; Medical Leave (PFML) in multiple languages and can be accessed on the state webiste accessible </w:t>
      </w:r>
      <w:r w:rsidRPr="0059210A">
        <w:rPr>
          <w:sz w:val="22"/>
          <w:szCs w:val="22"/>
        </w:rPr>
        <w:t xml:space="preserve"> </w:t>
      </w:r>
      <w:hyperlink r:id="rId49" w:history="1">
        <w:r w:rsidRPr="0059210A">
          <w:rPr>
            <w:caps/>
            <w:color w:val="0070C0"/>
            <w:sz w:val="22"/>
            <w:szCs w:val="22"/>
            <w:u w:val="single"/>
          </w:rPr>
          <w:t>HERE</w:t>
        </w:r>
      </w:hyperlink>
    </w:p>
    <w:p w14:paraId="5A9541A6"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New York</w:t>
      </w:r>
    </w:p>
    <w:p w14:paraId="2B045A98" w14:textId="77777777" w:rsidR="004C35C0" w:rsidRPr="0059210A" w:rsidRDefault="004C35C0">
      <w:pPr>
        <w:pStyle w:val="MainSectionHead"/>
        <w:numPr>
          <w:ilvl w:val="2"/>
          <w:numId w:val="334"/>
        </w:numPr>
        <w:spacing w:before="0" w:after="0"/>
        <w:ind w:left="1350"/>
        <w:rPr>
          <w:caps/>
          <w:color w:val="0070C0"/>
          <w:sz w:val="22"/>
          <w:szCs w:val="22"/>
        </w:rPr>
      </w:pPr>
      <w:r w:rsidRPr="0059210A">
        <w:rPr>
          <w:caps/>
          <w:color w:val="0070C0"/>
          <w:sz w:val="22"/>
          <w:szCs w:val="22"/>
        </w:rPr>
        <w:t xml:space="preserve">New York City – </w:t>
      </w:r>
      <w:r w:rsidRPr="0059210A">
        <w:rPr>
          <w:b w:val="0"/>
          <w:bCs w:val="0"/>
          <w:color w:val="auto"/>
          <w:sz w:val="22"/>
          <w:szCs w:val="22"/>
        </w:rPr>
        <w:t>Reminder of City’s released</w:t>
      </w:r>
      <w:r w:rsidRPr="0059210A">
        <w:rPr>
          <w:b w:val="0"/>
          <w:bCs w:val="0"/>
          <w:sz w:val="22"/>
          <w:szCs w:val="22"/>
        </w:rPr>
        <w:t xml:space="preserve"> </w:t>
      </w:r>
      <w:hyperlink r:id="rId50" w:tgtFrame="_blank" w:history="1">
        <w:r w:rsidRPr="0059210A">
          <w:rPr>
            <w:caps/>
            <w:color w:val="0070C0"/>
            <w:sz w:val="22"/>
            <w:szCs w:val="22"/>
            <w:u w:val="single"/>
          </w:rPr>
          <w:t>Protected Time Off Notice</w:t>
        </w:r>
      </w:hyperlink>
      <w:r w:rsidRPr="0059210A">
        <w:rPr>
          <w:b w:val="0"/>
          <w:bCs w:val="0"/>
          <w:sz w:val="22"/>
          <w:szCs w:val="22"/>
        </w:rPr>
        <w:t> </w:t>
      </w:r>
      <w:r w:rsidRPr="0059210A">
        <w:rPr>
          <w:b w:val="0"/>
          <w:bCs w:val="0"/>
          <w:color w:val="auto"/>
          <w:sz w:val="22"/>
          <w:szCs w:val="22"/>
        </w:rPr>
        <w:t>that needs to be distributed to all New York City employees (previously released in the February WIRE State Section)</w:t>
      </w:r>
    </w:p>
    <w:p w14:paraId="6114322A" w14:textId="77777777" w:rsidR="004C35C0" w:rsidRPr="0059210A" w:rsidRDefault="004C35C0">
      <w:pPr>
        <w:pStyle w:val="MainSectionHead"/>
        <w:numPr>
          <w:ilvl w:val="0"/>
          <w:numId w:val="334"/>
        </w:numPr>
        <w:tabs>
          <w:tab w:val="num" w:pos="360"/>
        </w:tabs>
        <w:ind w:left="540" w:hanging="180"/>
        <w:rPr>
          <w:sz w:val="22"/>
          <w:szCs w:val="22"/>
        </w:rPr>
      </w:pPr>
      <w:r w:rsidRPr="0059210A">
        <w:rPr>
          <w:caps/>
          <w:color w:val="0070C0"/>
          <w:sz w:val="22"/>
          <w:szCs w:val="22"/>
        </w:rPr>
        <w:t>vermont –</w:t>
      </w:r>
      <w:r w:rsidRPr="0059210A">
        <w:rPr>
          <w:caps/>
          <w:color w:val="auto"/>
          <w:sz w:val="22"/>
          <w:szCs w:val="22"/>
        </w:rPr>
        <w:t xml:space="preserve"> </w:t>
      </w:r>
      <w:r w:rsidRPr="0059210A">
        <w:rPr>
          <w:b w:val="0"/>
          <w:bCs w:val="0"/>
          <w:color w:val="auto"/>
          <w:sz w:val="22"/>
          <w:szCs w:val="22"/>
        </w:rPr>
        <w:t>The state has released an updated</w:t>
      </w:r>
      <w:r w:rsidRPr="0059210A">
        <w:rPr>
          <w:b w:val="0"/>
          <w:bCs w:val="0"/>
          <w:sz w:val="22"/>
          <w:szCs w:val="22"/>
        </w:rPr>
        <w:t xml:space="preserve"> </w:t>
      </w:r>
      <w:hyperlink r:id="rId51" w:history="1">
        <w:r w:rsidRPr="0059210A">
          <w:rPr>
            <w:caps/>
            <w:color w:val="0070C0"/>
            <w:sz w:val="22"/>
            <w:szCs w:val="22"/>
            <w:u w:val="single"/>
          </w:rPr>
          <w:t>Unemployment Insurance Notice</w:t>
        </w:r>
      </w:hyperlink>
      <w:r w:rsidRPr="0059210A">
        <w:rPr>
          <w:caps/>
          <w:color w:val="0070C0"/>
          <w:sz w:val="22"/>
          <w:szCs w:val="22"/>
          <w:u w:val="single"/>
        </w:rPr>
        <w:t xml:space="preserve"> </w:t>
      </w:r>
      <w:r w:rsidRPr="0059210A">
        <w:rPr>
          <w:b w:val="0"/>
          <w:bCs w:val="0"/>
          <w:color w:val="auto"/>
          <w:sz w:val="22"/>
          <w:szCs w:val="22"/>
        </w:rPr>
        <w:t>revised formatting, added a statutory reference, and expanded employee eligibility language to include protections related to sexual violence and stalking.</w:t>
      </w:r>
    </w:p>
    <w:p w14:paraId="491441EF" w14:textId="77777777" w:rsidR="00363B4D" w:rsidRPr="00DD7BD1" w:rsidRDefault="00363B4D" w:rsidP="0059210A">
      <w:pPr>
        <w:pStyle w:val="ParagraphBasic"/>
        <w:spacing w:after="0" w:line="240" w:lineRule="auto"/>
        <w:rPr>
          <w:rStyle w:val="Hyperlink"/>
          <w:rFonts w:ascii="Calibri" w:hAnsi="Calibri" w:cs="Calibri"/>
          <w:b/>
          <w:bCs/>
          <w:color w:val="auto"/>
          <w:kern w:val="36"/>
          <w:sz w:val="28"/>
          <w:szCs w:val="28"/>
          <w:u w:val="none"/>
        </w:rPr>
      </w:pPr>
    </w:p>
    <w:p w14:paraId="53314F82" w14:textId="11532D86"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March</w:t>
      </w:r>
    </w:p>
    <w:p w14:paraId="40E1471A" w14:textId="77777777" w:rsidR="00FF2E8E" w:rsidRPr="00C61DC8" w:rsidRDefault="00FF2E8E">
      <w:pPr>
        <w:pStyle w:val="ListParagraph"/>
        <w:numPr>
          <w:ilvl w:val="0"/>
          <w:numId w:val="327"/>
        </w:numPr>
        <w:spacing w:after="0" w:line="240" w:lineRule="auto"/>
      </w:pPr>
      <w:r w:rsidRPr="0059210A">
        <w:rPr>
          <w:rFonts w:ascii="Calibri" w:eastAsiaTheme="minorEastAsia" w:hAnsi="Calibri" w:cs="Calibri"/>
          <w:b/>
          <w:bCs/>
          <w:caps/>
          <w:noProof/>
          <w:color w:val="0070C0"/>
        </w:rPr>
        <w:t>MINNESOTA</w:t>
      </w:r>
      <w:r w:rsidRPr="00FF2E8E">
        <w:rPr>
          <w:b/>
          <w:bCs/>
          <w:noProof/>
          <w:color w:val="0E425C"/>
          <w:sz w:val="28"/>
          <w:szCs w:val="28"/>
        </w:rPr>
        <w:t xml:space="preserve"> </w:t>
      </w:r>
      <w:r w:rsidRPr="00C61DC8">
        <w:t xml:space="preserve">– updated </w:t>
      </w:r>
      <w:hyperlink r:id="rId52" w:history="1">
        <w:r w:rsidRPr="00C61DC8">
          <w:rPr>
            <w:rStyle w:val="Hyperlink"/>
          </w:rPr>
          <w:t>Workers Compensation Notice</w:t>
        </w:r>
      </w:hyperlink>
      <w:r w:rsidRPr="00C61DC8">
        <w:t xml:space="preserve"> released</w:t>
      </w:r>
    </w:p>
    <w:p w14:paraId="6C4C2982" w14:textId="77777777"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p>
    <w:p w14:paraId="5CD40BB8" w14:textId="1EC6FEFF" w:rsidR="000D7723" w:rsidRPr="00DD7BD1" w:rsidRDefault="003D31A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February</w:t>
      </w:r>
    </w:p>
    <w:p w14:paraId="30DBAC7F" w14:textId="77777777" w:rsidR="003D31A5" w:rsidRPr="00DD7BD1" w:rsidRDefault="003D31A5" w:rsidP="003D31A5">
      <w:pPr>
        <w:pStyle w:val="bodytext0"/>
        <w:numPr>
          <w:ilvl w:val="0"/>
          <w:numId w:val="314"/>
        </w:numPr>
        <w:spacing w:after="0" w:line="240" w:lineRule="auto"/>
        <w:rPr>
          <w:rFonts w:ascii="Calibri" w:eastAsiaTheme="minorHAnsi" w:hAnsi="Calibri" w:cs="Calibri"/>
          <w:sz w:val="23"/>
          <w:szCs w:val="23"/>
        </w:rPr>
      </w:pPr>
      <w:r w:rsidRPr="00DD7BD1">
        <w:rPr>
          <w:rStyle w:val="Hyperlink"/>
          <w:rFonts w:ascii="Calibri" w:eastAsiaTheme="minorHAnsi" w:hAnsi="Calibri" w:cs="Calibri"/>
          <w:b/>
          <w:bCs/>
          <w:color w:val="auto"/>
          <w:sz w:val="23"/>
          <w:szCs w:val="23"/>
          <w:u w:val="none"/>
        </w:rPr>
        <w:t>CA</w:t>
      </w:r>
      <w:r w:rsidRPr="00DD7BD1">
        <w:rPr>
          <w:rStyle w:val="Hyperlink"/>
          <w:rFonts w:ascii="Calibri" w:eastAsiaTheme="minorHAnsi" w:hAnsi="Calibri" w:cs="Calibri"/>
          <w:color w:val="auto"/>
          <w:sz w:val="23"/>
          <w:szCs w:val="23"/>
          <w:u w:val="none"/>
        </w:rPr>
        <w:t xml:space="preserve"> – updated</w:t>
      </w:r>
      <w:hyperlink r:id="rId53" w:history="1">
        <w:r w:rsidRPr="00DD7BD1">
          <w:rPr>
            <w:rStyle w:val="Hyperlink"/>
            <w:rFonts w:ascii="Calibri" w:eastAsiaTheme="minorHAnsi" w:hAnsi="Calibri" w:cs="Calibri"/>
            <w:sz w:val="23"/>
            <w:szCs w:val="23"/>
          </w:rPr>
          <w:t xml:space="preserve"> </w:t>
        </w:r>
        <w:r w:rsidRPr="00DD7BD1">
          <w:rPr>
            <w:rStyle w:val="Hyperlink"/>
            <w:rFonts w:ascii="Calibri" w:eastAsiaTheme="minorHAnsi" w:hAnsi="Calibri" w:cs="Calibri"/>
            <w:b/>
            <w:bCs/>
            <w:sz w:val="23"/>
            <w:szCs w:val="23"/>
          </w:rPr>
          <w:t>Minimum Wage Labor Notice</w:t>
        </w:r>
      </w:hyperlink>
      <w:r w:rsidRPr="00DD7BD1">
        <w:rPr>
          <w:rStyle w:val="Hyperlink"/>
          <w:rFonts w:ascii="Calibri" w:eastAsiaTheme="minorHAnsi" w:hAnsi="Calibri" w:cs="Calibri"/>
          <w:color w:val="auto"/>
          <w:sz w:val="23"/>
          <w:szCs w:val="23"/>
          <w:u w:val="none"/>
        </w:rPr>
        <w:t xml:space="preserve"> released by </w:t>
      </w:r>
      <w:r w:rsidRPr="00DD7BD1">
        <w:rPr>
          <w:rFonts w:ascii="Calibri" w:hAnsi="Calibri" w:cs="Calibri"/>
          <w:sz w:val="23"/>
          <w:szCs w:val="23"/>
        </w:rPr>
        <w:t>California Department of Industrial Relations. A Spanish version will soon be available DIR’s website at its </w:t>
      </w:r>
      <w:hyperlink r:id="rId54" w:history="1">
        <w:r w:rsidRPr="00DD7BD1">
          <w:rPr>
            <w:rStyle w:val="Hyperlink"/>
            <w:rFonts w:ascii="Calibri" w:eastAsiaTheme="minorHAnsi" w:hAnsi="Calibri" w:cs="Calibri"/>
            <w:b/>
            <w:bCs/>
            <w:sz w:val="23"/>
            <w:szCs w:val="23"/>
          </w:rPr>
          <w:t>Workplace Postings</w:t>
        </w:r>
      </w:hyperlink>
      <w:r w:rsidRPr="00DD7BD1">
        <w:rPr>
          <w:rFonts w:ascii="Calibri" w:hAnsi="Calibri" w:cs="Calibri"/>
          <w:sz w:val="23"/>
          <w:szCs w:val="23"/>
        </w:rPr>
        <w:t> page</w:t>
      </w:r>
    </w:p>
    <w:p w14:paraId="76754758" w14:textId="77777777"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 xml:space="preserve">NY – </w:t>
      </w:r>
    </w:p>
    <w:p w14:paraId="0C3EF88D" w14:textId="77777777" w:rsidR="003D31A5" w:rsidRPr="00DD7BD1" w:rsidRDefault="003D31A5" w:rsidP="003D31A5">
      <w:pPr>
        <w:pStyle w:val="bodytext0"/>
        <w:numPr>
          <w:ilvl w:val="3"/>
          <w:numId w:val="314"/>
        </w:numPr>
        <w:spacing w:after="0" w:line="240" w:lineRule="auto"/>
        <w:ind w:left="126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Updated </w:t>
      </w:r>
      <w:r w:rsidRPr="00DD7BD1">
        <w:rPr>
          <w:rFonts w:ascii="Calibri" w:eastAsiaTheme="minorHAnsi" w:hAnsi="Calibri" w:cs="Calibri"/>
          <w:sz w:val="23"/>
          <w:szCs w:val="23"/>
        </w:rPr>
        <w:t>Notice of Employee Rights under the Earned Safe and Sick Time Act, now referred to in the notice as the </w:t>
      </w:r>
      <w:hyperlink r:id="rId55" w:history="1">
        <w:r w:rsidRPr="00DD7BD1">
          <w:rPr>
            <w:rStyle w:val="Hyperlink"/>
            <w:rFonts w:ascii="Calibri" w:eastAsiaTheme="minorHAnsi" w:hAnsi="Calibri" w:cs="Calibri"/>
            <w:b/>
            <w:bCs/>
            <w:sz w:val="23"/>
            <w:szCs w:val="23"/>
          </w:rPr>
          <w:t>Protected Time Off Law</w:t>
        </w:r>
      </w:hyperlink>
      <w:r w:rsidRPr="00DD7BD1">
        <w:rPr>
          <w:rStyle w:val="Hyperlink"/>
          <w:rFonts w:ascii="Calibri" w:hAnsi="Calibri" w:cs="Calibri"/>
          <w:b/>
          <w:bCs/>
          <w:sz w:val="23"/>
          <w:szCs w:val="23"/>
        </w:rPr>
        <w:t xml:space="preserve"> Notice</w:t>
      </w:r>
    </w:p>
    <w:p w14:paraId="66D1FD2E" w14:textId="77777777" w:rsidR="003D31A5" w:rsidRPr="00DD7BD1" w:rsidRDefault="003D31A5" w:rsidP="003D31A5">
      <w:pPr>
        <w:pStyle w:val="bodytext0"/>
        <w:numPr>
          <w:ilvl w:val="3"/>
          <w:numId w:val="314"/>
        </w:numPr>
        <w:spacing w:after="0" w:line="240" w:lineRule="auto"/>
        <w:ind w:left="1890"/>
        <w:rPr>
          <w:rFonts w:ascii="Calibri" w:eastAsiaTheme="minorHAnsi" w:hAnsi="Calibri" w:cs="Calibri"/>
          <w:sz w:val="23"/>
          <w:szCs w:val="23"/>
        </w:rPr>
      </w:pPr>
      <w:r w:rsidRPr="00DD7BD1">
        <w:rPr>
          <w:rFonts w:ascii="Calibri" w:eastAsiaTheme="minorHAnsi" w:hAnsi="Calibri" w:cs="Calibri"/>
          <w:sz w:val="23"/>
          <w:szCs w:val="23"/>
        </w:rPr>
        <w:t>Notice reflects structural updates, including 32 hours of unpaid Protected Time Off that are immediately available at the start of the employer’s calendar year, continued accrual at 1 hour for every 30 hours worked, and a separate 20 hours of paid prenatal leave annually. Whether accrued leave is paid or unpaid depends on employer size and income thresholds. All NYC employers must post the updated notice and provide it to employees in their primary language at hire and whenever rights change.﻿</w:t>
      </w:r>
    </w:p>
    <w:p w14:paraId="20EAC440" w14:textId="284BB262" w:rsidR="003D31A5" w:rsidRPr="00DD7BD1" w:rsidRDefault="003D31A5" w:rsidP="003D31A5">
      <w:pPr>
        <w:pStyle w:val="bodytext0"/>
        <w:numPr>
          <w:ilvl w:val="2"/>
          <w:numId w:val="314"/>
        </w:numPr>
        <w:spacing w:after="0" w:line="240" w:lineRule="auto"/>
        <w:ind w:left="1260"/>
        <w:rPr>
          <w:rStyle w:val="Hyperlink"/>
          <w:rFonts w:ascii="Calibri" w:eastAsiaTheme="minorHAnsi" w:hAnsi="Calibri" w:cs="Calibri"/>
          <w:color w:val="auto"/>
          <w:sz w:val="23"/>
          <w:szCs w:val="23"/>
          <w:u w:val="none"/>
        </w:rPr>
      </w:pPr>
      <w:r w:rsidRPr="00DD7BD1">
        <w:rPr>
          <w:rFonts w:ascii="Calibri" w:eastAsiaTheme="minorHAnsi" w:hAnsi="Calibri" w:cs="Calibri"/>
          <w:b/>
          <w:bCs/>
          <w:sz w:val="23"/>
          <w:szCs w:val="23"/>
        </w:rPr>
        <w:t>NY</w:t>
      </w:r>
      <w:r w:rsidRPr="00DD7BD1">
        <w:rPr>
          <w:rFonts w:ascii="Calibri" w:eastAsiaTheme="minorHAnsi" w:hAnsi="Calibri" w:cs="Calibri"/>
          <w:b/>
          <w:bCs/>
          <w:sz w:val="23"/>
          <w:szCs w:val="23"/>
          <w:u w:val="single"/>
        </w:rPr>
        <w:t>C</w:t>
      </w:r>
      <w:r w:rsidRPr="00DD7BD1">
        <w:rPr>
          <w:rFonts w:ascii="Calibri" w:eastAsiaTheme="minorHAnsi" w:hAnsi="Calibri" w:cs="Calibri"/>
          <w:sz w:val="23"/>
          <w:szCs w:val="23"/>
        </w:rPr>
        <w:t xml:space="preserve"> – Updated </w:t>
      </w:r>
      <w:hyperlink r:id="rId56" w:history="1">
        <w:r w:rsidRPr="00DD7BD1">
          <w:rPr>
            <w:rStyle w:val="Hyperlink"/>
            <w:rFonts w:ascii="Calibri" w:eastAsiaTheme="minorHAnsi" w:hAnsi="Calibri" w:cs="Calibri"/>
            <w:sz w:val="23"/>
            <w:szCs w:val="23"/>
          </w:rPr>
          <w:t>Notice of Employee Rights</w:t>
        </w:r>
      </w:hyperlink>
      <w:r w:rsidRPr="00DD7BD1">
        <w:rPr>
          <w:rFonts w:ascii="Calibri" w:eastAsiaTheme="minorHAnsi" w:hAnsi="Calibri" w:cs="Calibri"/>
          <w:sz w:val="23"/>
          <w:szCs w:val="23"/>
        </w:rPr>
        <w:t xml:space="preserve"> related to new updated sick leave &amp; new covered uses for sick leave effective 2.22.26 (required to be distributed to employees) </w:t>
      </w:r>
    </w:p>
    <w:p w14:paraId="18A59A1F" w14:textId="601443AD"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WA</w:t>
      </w:r>
      <w:r w:rsidRPr="00DD7BD1">
        <w:rPr>
          <w:rStyle w:val="Hyperlink"/>
          <w:rFonts w:ascii="Calibri" w:eastAsiaTheme="minorHAnsi" w:hAnsi="Calibri" w:cs="Calibri"/>
          <w:color w:val="auto"/>
          <w:sz w:val="23"/>
          <w:szCs w:val="23"/>
          <w:u w:val="none"/>
        </w:rPr>
        <w:t xml:space="preserve"> – released new</w:t>
      </w:r>
      <w:r w:rsidRPr="00DD7BD1">
        <w:rPr>
          <w:rStyle w:val="Hyperlink"/>
          <w:rFonts w:ascii="Calibri" w:eastAsiaTheme="minorHAnsi" w:hAnsi="Calibri" w:cs="Calibri"/>
          <w:b/>
          <w:bCs/>
          <w:color w:val="auto"/>
          <w:sz w:val="23"/>
          <w:szCs w:val="23"/>
          <w:u w:val="none"/>
        </w:rPr>
        <w:t xml:space="preserve"> PFML Job Protections </w:t>
      </w:r>
      <w:hyperlink r:id="rId57" w:history="1">
        <w:r w:rsidRPr="00DD7BD1">
          <w:rPr>
            <w:rStyle w:val="Hyperlink"/>
            <w:rFonts w:ascii="Calibri" w:hAnsi="Calibri" w:cs="Calibri"/>
            <w:b/>
            <w:bCs/>
            <w:sz w:val="23"/>
            <w:szCs w:val="23"/>
          </w:rPr>
          <w:t>Notice</w:t>
        </w:r>
      </w:hyperlink>
    </w:p>
    <w:p w14:paraId="0AB8F2BC" w14:textId="1C28F8CD" w:rsidR="003D31A5" w:rsidRPr="00DD7BD1" w:rsidRDefault="003D31A5" w:rsidP="007D0B93">
      <w:pPr>
        <w:pStyle w:val="ParagraphBasic"/>
        <w:spacing w:after="0" w:line="240" w:lineRule="auto"/>
        <w:ind w:left="360"/>
        <w:rPr>
          <w:rStyle w:val="Hyperlink"/>
          <w:rFonts w:ascii="Calibri" w:hAnsi="Calibri" w:cs="Calibri"/>
          <w:b/>
          <w:bCs/>
          <w:color w:val="auto"/>
          <w:kern w:val="36"/>
          <w:sz w:val="16"/>
          <w:szCs w:val="16"/>
          <w:u w:val="none"/>
        </w:rPr>
      </w:pPr>
    </w:p>
    <w:p w14:paraId="1DE13A15" w14:textId="241668A3" w:rsidR="000D7723" w:rsidRPr="00DD7BD1" w:rsidRDefault="000D7723"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 xml:space="preserve">January </w:t>
      </w:r>
    </w:p>
    <w:p w14:paraId="482DC367"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AR – </w:t>
      </w:r>
      <w:r w:rsidRPr="00DD7BD1">
        <w:rPr>
          <w:rStyle w:val="Hyperlink"/>
          <w:rFonts w:ascii="Calibri" w:eastAsiaTheme="minorHAnsi" w:hAnsi="Calibri" w:cs="Calibri"/>
          <w:b w:val="0"/>
          <w:bCs w:val="0"/>
          <w:color w:val="auto"/>
          <w:sz w:val="23"/>
          <w:szCs w:val="23"/>
          <w:u w:val="none"/>
        </w:rPr>
        <w:t xml:space="preserve">new </w:t>
      </w:r>
      <w:hyperlink r:id="rId58" w:history="1">
        <w:r w:rsidRPr="00DD7BD1">
          <w:rPr>
            <w:rStyle w:val="Hyperlink"/>
            <w:rFonts w:ascii="Calibri" w:eastAsiaTheme="minorHAnsi" w:hAnsi="Calibri" w:cs="Calibri"/>
            <w:sz w:val="23"/>
            <w:szCs w:val="23"/>
          </w:rPr>
          <w:t>Veteran’s Benefits &amp; Services</w:t>
        </w:r>
      </w:hyperlink>
      <w:r w:rsidRPr="00DD7BD1">
        <w:rPr>
          <w:rStyle w:val="Hyperlink"/>
          <w:rFonts w:ascii="Calibri" w:eastAsiaTheme="minorHAnsi" w:hAnsi="Calibri" w:cs="Calibri"/>
          <w:b w:val="0"/>
          <w:bCs w:val="0"/>
          <w:color w:val="auto"/>
          <w:sz w:val="23"/>
          <w:szCs w:val="23"/>
          <w:u w:val="none"/>
        </w:rPr>
        <w:t xml:space="preserve"> notice released.  </w:t>
      </w:r>
      <w:r w:rsidRPr="00DD7BD1">
        <w:rPr>
          <w:rFonts w:ascii="Calibri" w:eastAsiaTheme="minorHAnsi" w:hAnsi="Calibri" w:cs="Calibri"/>
          <w:b w:val="0"/>
          <w:bCs w:val="0"/>
          <w:sz w:val="23"/>
          <w:szCs w:val="23"/>
        </w:rPr>
        <w:t>Employers with 50 or more full-time equivalent employees are required to display it in a conspicuous area in the workplace that’s accessible to all employees.</w:t>
      </w:r>
    </w:p>
    <w:p w14:paraId="1EAE2188"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CA –</w:t>
      </w:r>
      <w:r w:rsidRPr="00DD7BD1">
        <w:rPr>
          <w:rFonts w:ascii="Calibri" w:eastAsiaTheme="minorHAnsi" w:hAnsi="Calibri" w:cs="Calibri"/>
          <w:b w:val="0"/>
          <w:bCs w:val="0"/>
          <w:sz w:val="23"/>
          <w:szCs w:val="23"/>
        </w:rPr>
        <w:t xml:space="preserve"> updated</w:t>
      </w:r>
      <w:r w:rsidRPr="00DD7BD1">
        <w:rPr>
          <w:rFonts w:ascii="Calibri" w:eastAsiaTheme="minorHAnsi" w:hAnsi="Calibri" w:cs="Calibri"/>
          <w:sz w:val="23"/>
          <w:szCs w:val="23"/>
        </w:rPr>
        <w:t xml:space="preserve"> </w:t>
      </w:r>
      <w:hyperlink r:id="rId59" w:history="1">
        <w:r w:rsidRPr="00DD7BD1">
          <w:rPr>
            <w:rStyle w:val="Hyperlink"/>
            <w:rFonts w:ascii="Calibri" w:eastAsiaTheme="minorHAnsi" w:hAnsi="Calibri" w:cs="Calibri"/>
            <w:sz w:val="23"/>
            <w:szCs w:val="23"/>
          </w:rPr>
          <w:t>Paid Sick Leave Notice</w:t>
        </w:r>
      </w:hyperlink>
      <w:r w:rsidRPr="00DD7BD1">
        <w:rPr>
          <w:rFonts w:ascii="Calibri" w:hAnsi="Calibri" w:cs="Calibri"/>
        </w:rPr>
        <w:t xml:space="preserve"> </w:t>
      </w:r>
      <w:r w:rsidRPr="00DD7BD1">
        <w:rPr>
          <w:rFonts w:ascii="Calibri" w:hAnsi="Calibri" w:cs="Calibri"/>
          <w:b w:val="0"/>
          <w:bCs w:val="0"/>
          <w:sz w:val="22"/>
          <w:szCs w:val="22"/>
        </w:rPr>
        <w:t>and</w:t>
      </w:r>
      <w:r w:rsidRPr="00DD7BD1">
        <w:rPr>
          <w:rFonts w:ascii="Calibri" w:hAnsi="Calibri" w:cs="Calibri"/>
        </w:rPr>
        <w:t xml:space="preserve"> </w:t>
      </w:r>
      <w:hyperlink r:id="rId60" w:history="1">
        <w:r w:rsidRPr="00DD7BD1">
          <w:rPr>
            <w:rStyle w:val="Hyperlink"/>
            <w:rFonts w:ascii="Calibri" w:eastAsiaTheme="minorHAnsi" w:hAnsi="Calibri" w:cs="Calibri"/>
            <w:sz w:val="23"/>
            <w:szCs w:val="23"/>
          </w:rPr>
          <w:t>2026 Know Your Rights Notice</w:t>
        </w:r>
      </w:hyperlink>
    </w:p>
    <w:p w14:paraId="19493374"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DC – </w:t>
      </w:r>
      <w:r w:rsidRPr="00DD7BD1">
        <w:rPr>
          <w:rStyle w:val="Hyperlink"/>
          <w:rFonts w:ascii="Calibri" w:eastAsiaTheme="minorHAnsi" w:hAnsi="Calibri" w:cs="Calibri"/>
          <w:b w:val="0"/>
          <w:bCs w:val="0"/>
          <w:color w:val="auto"/>
          <w:sz w:val="23"/>
          <w:szCs w:val="23"/>
          <w:u w:val="none"/>
        </w:rPr>
        <w:t xml:space="preserve">updated </w:t>
      </w:r>
      <w:hyperlink r:id="rId61" w:history="1">
        <w:r w:rsidRPr="00DD7BD1">
          <w:rPr>
            <w:rStyle w:val="Hyperlink"/>
            <w:rFonts w:ascii="Calibri" w:eastAsiaTheme="minorHAnsi" w:hAnsi="Calibri" w:cs="Calibri"/>
            <w:sz w:val="23"/>
            <w:szCs w:val="23"/>
          </w:rPr>
          <w:t>Min Wage Labor Notice</w:t>
        </w:r>
      </w:hyperlink>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3"/>
          <w:szCs w:val="23"/>
          <w:u w:val="none"/>
        </w:rPr>
        <w:t>effective 7.2026</w:t>
      </w:r>
    </w:p>
    <w:p w14:paraId="28084540" w14:textId="54FB745A"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62" w:history="1">
        <w:r w:rsidRPr="00DD7BD1">
          <w:rPr>
            <w:rStyle w:val="Hyperlink"/>
            <w:rFonts w:ascii="Calibri" w:eastAsiaTheme="minorHAnsi" w:hAnsi="Calibri" w:cs="Calibri"/>
            <w:sz w:val="23"/>
            <w:szCs w:val="23"/>
          </w:rPr>
          <w:t>2026 Paid Family &amp; Medical Leave Notice</w:t>
        </w:r>
      </w:hyperlink>
      <w:r w:rsidRPr="00DD7BD1">
        <w:rPr>
          <w:rStyle w:val="Hyperlink"/>
          <w:rFonts w:ascii="Calibri" w:eastAsiaTheme="minorHAnsi" w:hAnsi="Calibri" w:cs="Calibri"/>
          <w:b w:val="0"/>
          <w:bCs w:val="0"/>
          <w:color w:val="auto"/>
          <w:sz w:val="23"/>
          <w:szCs w:val="23"/>
          <w:u w:val="none"/>
        </w:rPr>
        <w:t xml:space="preserve"> (</w:t>
      </w:r>
      <w:r w:rsidRPr="00DD7BD1">
        <w:rPr>
          <w:rFonts w:ascii="Calibri" w:eastAsiaTheme="minorHAnsi" w:hAnsi="Calibri" w:cs="Calibri"/>
          <w:b w:val="0"/>
          <w:bCs w:val="0"/>
          <w:sz w:val="23"/>
          <w:szCs w:val="23"/>
        </w:rPr>
        <w:t>updates weekly benefit amounts to a range of $100 to $1,647 based on prior earnings, clarifies eligibility requirements, and expands information on job protection and continuation of health care benefits, while adding required equal opportunity and accessibility disclosures.)</w:t>
      </w:r>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2"/>
          <w:szCs w:val="22"/>
          <w:u w:val="none"/>
        </w:rPr>
        <w:t>Learn more:</w:t>
      </w:r>
      <w:r w:rsidRPr="00DD7BD1">
        <w:rPr>
          <w:rStyle w:val="Hyperlink"/>
          <w:rFonts w:ascii="Calibri" w:eastAsiaTheme="minorHAnsi" w:hAnsi="Calibri" w:cs="Calibri"/>
          <w:i/>
          <w:iCs/>
          <w:color w:val="auto"/>
          <w:sz w:val="22"/>
          <w:szCs w:val="22"/>
          <w:u w:val="none"/>
        </w:rPr>
        <w:t xml:space="preserve"> </w:t>
      </w:r>
      <w:r w:rsidRPr="00DD7BD1">
        <w:rPr>
          <w:rStyle w:val="Hyperlink"/>
          <w:rFonts w:ascii="Calibri" w:eastAsiaTheme="minorHAnsi" w:hAnsi="Calibri" w:cs="Calibri"/>
          <w:b w:val="0"/>
          <w:bCs w:val="0"/>
          <w:i/>
          <w:iCs/>
          <w:sz w:val="22"/>
          <w:szCs w:val="22"/>
        </w:rPr>
        <w:t>https://paidleave.wa.gov/updates/</w:t>
      </w:r>
    </w:p>
    <w:p w14:paraId="475407BC" w14:textId="77777777" w:rsidR="00925F5D" w:rsidRPr="00DD7BD1" w:rsidRDefault="00925F5D" w:rsidP="007D0B93">
      <w:pPr>
        <w:pStyle w:val="ParagraphBasic"/>
        <w:spacing w:after="0" w:line="240" w:lineRule="auto"/>
        <w:ind w:left="360"/>
        <w:rPr>
          <w:rStyle w:val="Hyperlink"/>
          <w:rFonts w:ascii="Calibri" w:hAnsi="Calibri" w:cs="Calibri"/>
          <w:b/>
          <w:bCs/>
          <w:color w:val="auto"/>
          <w:kern w:val="36"/>
          <w:sz w:val="16"/>
          <w:szCs w:val="16"/>
          <w:u w:val="none"/>
        </w:rPr>
      </w:pPr>
    </w:p>
    <w:p w14:paraId="147F493F" w14:textId="4B7D7727" w:rsidR="00436D46" w:rsidRPr="00DD7BD1" w:rsidRDefault="00436D46"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December</w:t>
      </w:r>
    </w:p>
    <w:p w14:paraId="50507A8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CA</w:t>
      </w:r>
      <w:r w:rsidRPr="00DD7BD1">
        <w:rPr>
          <w:rStyle w:val="Hyperlink"/>
          <w:rFonts w:ascii="Calibri" w:eastAsiaTheme="minorHAnsi" w:hAnsi="Calibri" w:cs="Calibri"/>
          <w:b w:val="0"/>
          <w:bCs w:val="0"/>
          <w:color w:val="auto"/>
          <w:sz w:val="22"/>
          <w:szCs w:val="22"/>
          <w:u w:val="none"/>
        </w:rPr>
        <w:t xml:space="preserve"> – updated </w:t>
      </w:r>
      <w:hyperlink r:id="rId63" w:history="1">
        <w:r w:rsidRPr="00DD7BD1">
          <w:rPr>
            <w:rStyle w:val="Hyperlink"/>
            <w:rFonts w:ascii="Calibri" w:eastAsiaTheme="minorHAnsi" w:hAnsi="Calibri" w:cs="Calibri"/>
            <w:sz w:val="22"/>
            <w:szCs w:val="22"/>
          </w:rPr>
          <w:t>Minimum Wage Notices</w:t>
        </w:r>
      </w:hyperlink>
      <w:r w:rsidRPr="00DD7BD1">
        <w:rPr>
          <w:rFonts w:ascii="Calibri" w:hAnsi="Calibri" w:cs="Calibri"/>
        </w:rPr>
        <w:t xml:space="preserve"> </w:t>
      </w:r>
    </w:p>
    <w:p w14:paraId="3A7946A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CO</w:t>
      </w:r>
      <w:r w:rsidRPr="00DD7BD1">
        <w:rPr>
          <w:rStyle w:val="Hyperlink"/>
          <w:rFonts w:ascii="Calibri" w:eastAsiaTheme="minorHAnsi" w:hAnsi="Calibri" w:cs="Calibri"/>
          <w:b w:val="0"/>
          <w:bCs w:val="0"/>
          <w:color w:val="auto"/>
          <w:sz w:val="22"/>
          <w:szCs w:val="22"/>
          <w:u w:val="none"/>
        </w:rPr>
        <w:t xml:space="preserve"> – updated </w:t>
      </w:r>
      <w:hyperlink r:id="rId64" w:history="1">
        <w:r w:rsidRPr="00DD7BD1">
          <w:rPr>
            <w:rStyle w:val="Hyperlink"/>
            <w:rFonts w:ascii="Calibri" w:eastAsiaTheme="minorHAnsi" w:hAnsi="Calibri" w:cs="Calibri"/>
            <w:sz w:val="22"/>
            <w:szCs w:val="22"/>
          </w:rPr>
          <w:t>CO Wage &amp; Hour Rights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 xml:space="preserve">and </w:t>
      </w:r>
      <w:hyperlink r:id="rId65" w:history="1">
        <w:r w:rsidRPr="00DD7BD1">
          <w:rPr>
            <w:rStyle w:val="Hyperlink"/>
            <w:rFonts w:ascii="Calibri" w:eastAsiaTheme="minorHAnsi" w:hAnsi="Calibri" w:cs="Calibri"/>
            <w:sz w:val="22"/>
            <w:szCs w:val="22"/>
          </w:rPr>
          <w:t>FAMLI Program </w:t>
        </w:r>
      </w:hyperlink>
    </w:p>
    <w:p w14:paraId="5998B562"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DC</w:t>
      </w:r>
      <w:r w:rsidRPr="00DD7BD1">
        <w:rPr>
          <w:rStyle w:val="Hyperlink"/>
          <w:rFonts w:ascii="Calibri" w:eastAsiaTheme="minorHAnsi" w:hAnsi="Calibri" w:cs="Calibri"/>
          <w:b w:val="0"/>
          <w:bCs w:val="0"/>
          <w:color w:val="auto"/>
          <w:sz w:val="22"/>
          <w:szCs w:val="22"/>
          <w:u w:val="none"/>
        </w:rPr>
        <w:t xml:space="preserve"> – updated </w:t>
      </w:r>
      <w:hyperlink r:id="rId66" w:history="1">
        <w:r w:rsidRPr="00DD7BD1">
          <w:rPr>
            <w:rStyle w:val="Hyperlink"/>
            <w:rFonts w:ascii="Calibri" w:eastAsiaTheme="minorHAnsi" w:hAnsi="Calibri" w:cs="Calibri"/>
            <w:sz w:val="22"/>
            <w:szCs w:val="22"/>
          </w:rPr>
          <w:t>DC Paid Family Leave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(includes increased max weekly benefit amount) Employers have until 2.1.2026 to post/provide Notice</w:t>
      </w:r>
    </w:p>
    <w:p w14:paraId="52735155"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IL </w:t>
      </w:r>
      <w:r w:rsidRPr="00DD7BD1">
        <w:rPr>
          <w:rStyle w:val="Hyperlink"/>
          <w:rFonts w:ascii="Calibri" w:eastAsiaTheme="minorHAnsi" w:hAnsi="Calibri" w:cs="Calibri"/>
          <w:b w:val="0"/>
          <w:bCs w:val="0"/>
          <w:color w:val="auto"/>
          <w:sz w:val="22"/>
          <w:szCs w:val="22"/>
          <w:u w:val="none"/>
        </w:rPr>
        <w:t xml:space="preserve">– updated </w:t>
      </w:r>
      <w:hyperlink r:id="rId67" w:history="1">
        <w:r w:rsidRPr="00DD7BD1">
          <w:rPr>
            <w:rStyle w:val="Hyperlink"/>
            <w:rFonts w:ascii="Calibri" w:eastAsiaTheme="minorHAnsi" w:hAnsi="Calibri" w:cs="Calibri"/>
            <w:sz w:val="22"/>
            <w:szCs w:val="22"/>
          </w:rPr>
          <w:t>Your Rights Under Employment Laws Notice</w:t>
        </w:r>
      </w:hyperlink>
      <w:r w:rsidRPr="00DD7BD1">
        <w:rPr>
          <w:rFonts w:ascii="Calibri" w:eastAsiaTheme="minorHAnsi" w:hAnsi="Calibri" w:cs="Calibri"/>
          <w:sz w:val="22"/>
          <w:szCs w:val="22"/>
        </w:rPr>
        <w:t xml:space="preserve">, </w:t>
      </w:r>
      <w:hyperlink r:id="rId68" w:history="1">
        <w:r w:rsidRPr="00DD7BD1">
          <w:rPr>
            <w:rStyle w:val="Hyperlink"/>
            <w:rFonts w:ascii="Calibri" w:eastAsiaTheme="minorHAnsi" w:hAnsi="Calibri" w:cs="Calibri"/>
            <w:sz w:val="22"/>
            <w:szCs w:val="22"/>
          </w:rPr>
          <w:t>VESSA "Victims’ Economic Security &amp; Safety Act"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and</w:t>
      </w:r>
      <w:hyperlink r:id="rId69" w:history="1">
        <w:r w:rsidRPr="00DD7BD1">
          <w:rPr>
            <w:rStyle w:val="Hyperlink"/>
            <w:rFonts w:ascii="Calibri" w:eastAsiaTheme="minorHAnsi" w:hAnsi="Calibri" w:cs="Calibri"/>
            <w:sz w:val="22"/>
            <w:szCs w:val="22"/>
          </w:rPr>
          <w:t xml:space="preserve"> IL OSHA “It’s the Law” Notice</w:t>
        </w:r>
      </w:hyperlink>
    </w:p>
    <w:p w14:paraId="2D0416D3"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70" w:history="1">
        <w:r w:rsidRPr="00DD7BD1">
          <w:rPr>
            <w:rStyle w:val="Hyperlink"/>
            <w:rFonts w:ascii="Calibri" w:eastAsiaTheme="minorHAnsi" w:hAnsi="Calibri" w:cs="Calibri"/>
            <w:sz w:val="22"/>
            <w:szCs w:val="22"/>
          </w:rPr>
          <w:t>Unemployment Insurance Notice </w:t>
        </w:r>
      </w:hyperlink>
      <w:r w:rsidRPr="00DD7BD1">
        <w:rPr>
          <w:rFonts w:ascii="Calibri" w:eastAsiaTheme="minorHAnsi" w:hAnsi="Calibri" w:cs="Calibri"/>
          <w:b w:val="0"/>
          <w:bCs w:val="0"/>
          <w:sz w:val="22"/>
          <w:szCs w:val="22"/>
        </w:rPr>
        <w:t xml:space="preserve">now specifies that claimants complete at least five valid work-search actions each week, replacing the prior general “active work search” standard. </w:t>
      </w:r>
    </w:p>
    <w:p w14:paraId="10EC7A8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NJ – </w:t>
      </w:r>
      <w:r w:rsidRPr="00DD7BD1">
        <w:rPr>
          <w:rStyle w:val="Hyperlink"/>
          <w:rFonts w:ascii="Calibri" w:eastAsiaTheme="minorHAnsi" w:hAnsi="Calibri" w:cs="Calibri"/>
          <w:b w:val="0"/>
          <w:bCs w:val="0"/>
          <w:color w:val="auto"/>
          <w:sz w:val="22"/>
          <w:szCs w:val="22"/>
          <w:u w:val="none"/>
        </w:rPr>
        <w:t xml:space="preserve">updated </w:t>
      </w:r>
      <w:hyperlink r:id="rId71"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and Captive Audience Notice (attached)</w:t>
      </w:r>
    </w:p>
    <w:p w14:paraId="5B25CA7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NY – </w:t>
      </w:r>
      <w:r w:rsidRPr="00DD7BD1">
        <w:rPr>
          <w:rStyle w:val="Hyperlink"/>
          <w:rFonts w:ascii="Calibri" w:eastAsiaTheme="minorHAnsi" w:hAnsi="Calibri" w:cs="Calibri"/>
          <w:b w:val="0"/>
          <w:bCs w:val="0"/>
          <w:color w:val="auto"/>
          <w:sz w:val="22"/>
          <w:szCs w:val="22"/>
          <w:u w:val="none"/>
        </w:rPr>
        <w:t xml:space="preserve">updated 2026 NY </w:t>
      </w:r>
      <w:hyperlink r:id="rId72" w:history="1">
        <w:r w:rsidRPr="00DD7BD1">
          <w:rPr>
            <w:rStyle w:val="Hyperlink"/>
            <w:rFonts w:ascii="Calibri" w:eastAsiaTheme="minorHAnsi" w:hAnsi="Calibri" w:cs="Calibri"/>
            <w:sz w:val="22"/>
            <w:szCs w:val="22"/>
          </w:rPr>
          <w:t xml:space="preserve">Minium Wage Notice </w:t>
        </w:r>
      </w:hyperlink>
      <w:r w:rsidRPr="00DD7BD1">
        <w:rPr>
          <w:rStyle w:val="Hyperlink"/>
          <w:rFonts w:ascii="Calibri" w:eastAsiaTheme="minorHAnsi" w:hAnsi="Calibri" w:cs="Calibri"/>
          <w:b w:val="0"/>
          <w:bCs w:val="0"/>
          <w:color w:val="auto"/>
          <w:sz w:val="22"/>
          <w:szCs w:val="22"/>
          <w:u w:val="none"/>
        </w:rPr>
        <w:t>NOTE: like directs reader to Notices broken down by industries</w:t>
      </w:r>
    </w:p>
    <w:p w14:paraId="53D4F1E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NM – </w:t>
      </w:r>
      <w:r w:rsidRPr="00DD7BD1">
        <w:rPr>
          <w:rStyle w:val="Hyperlink"/>
          <w:rFonts w:ascii="Calibri" w:eastAsiaTheme="minorHAnsi" w:hAnsi="Calibri" w:cs="Calibri"/>
          <w:b w:val="0"/>
          <w:bCs w:val="0"/>
          <w:color w:val="auto"/>
          <w:sz w:val="22"/>
          <w:szCs w:val="22"/>
          <w:u w:val="none"/>
        </w:rPr>
        <w:t xml:space="preserve">updated </w:t>
      </w:r>
      <w:hyperlink r:id="rId73" w:history="1">
        <w:r w:rsidRPr="00DD7BD1">
          <w:rPr>
            <w:rStyle w:val="Hyperlink"/>
            <w:rFonts w:ascii="Calibri" w:eastAsiaTheme="minorHAnsi" w:hAnsi="Calibri" w:cs="Calibri"/>
            <w:sz w:val="22"/>
            <w:szCs w:val="22"/>
          </w:rPr>
          <w:t>Workers’ Compensation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Employers be sure to add your W/C Carrier name and other required details into the Notice</w:t>
      </w:r>
    </w:p>
    <w:p w14:paraId="68CEDE4F" w14:textId="4632805C" w:rsidR="00436D46"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VA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74" w:history="1">
        <w:r w:rsidRPr="00DD7BD1">
          <w:rPr>
            <w:rStyle w:val="Hyperlink"/>
            <w:rFonts w:ascii="Calibri" w:eastAsiaTheme="minorHAnsi" w:hAnsi="Calibri" w:cs="Calibri"/>
            <w:sz w:val="22"/>
            <w:szCs w:val="22"/>
          </w:rPr>
          <w:t>Minium Wage Notice</w:t>
        </w:r>
      </w:hyperlink>
    </w:p>
    <w:p w14:paraId="5FBFBD63" w14:textId="77777777" w:rsidR="004A6B5E" w:rsidRPr="00DD7BD1" w:rsidRDefault="004A6B5E" w:rsidP="007D0B93">
      <w:pPr>
        <w:pStyle w:val="ParagraphBasic"/>
        <w:spacing w:after="0" w:line="240" w:lineRule="auto"/>
        <w:ind w:left="360"/>
        <w:rPr>
          <w:rStyle w:val="Hyperlink"/>
          <w:rFonts w:ascii="Calibri" w:hAnsi="Calibri" w:cs="Calibri"/>
          <w:b/>
          <w:bCs/>
          <w:color w:val="auto"/>
          <w:kern w:val="36"/>
          <w:u w:val="none"/>
        </w:rPr>
      </w:pPr>
    </w:p>
    <w:p w14:paraId="55DEBC68" w14:textId="7A42623D" w:rsidR="00925F5D" w:rsidRPr="00DD7BD1" w:rsidRDefault="00925F5D"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November</w:t>
      </w:r>
    </w:p>
    <w:p w14:paraId="4190D0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AZ – </w:t>
      </w:r>
      <w:r w:rsidRPr="00DD7BD1">
        <w:rPr>
          <w:rStyle w:val="Hyperlink"/>
          <w:rFonts w:ascii="Calibri" w:eastAsiaTheme="minorHAnsi" w:hAnsi="Calibri" w:cs="Calibri"/>
          <w:b w:val="0"/>
          <w:bCs w:val="0"/>
          <w:color w:val="auto"/>
          <w:sz w:val="23"/>
          <w:szCs w:val="23"/>
          <w:u w:val="none"/>
        </w:rPr>
        <w:t xml:space="preserve">updated state </w:t>
      </w:r>
      <w:hyperlink r:id="rId75" w:history="1">
        <w:r w:rsidRPr="00DD7BD1">
          <w:rPr>
            <w:rStyle w:val="Hyperlink"/>
            <w:rFonts w:ascii="Calibri" w:eastAsiaTheme="minorHAnsi" w:hAnsi="Calibri" w:cs="Calibri"/>
            <w:sz w:val="23"/>
            <w:szCs w:val="23"/>
          </w:rPr>
          <w:t>Minimum Wage Notice</w:t>
        </w:r>
      </w:hyperlink>
    </w:p>
    <w:p w14:paraId="6B982BE7"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lastRenderedPageBreak/>
        <w:t>Flagstaff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76" w:history="1">
        <w:r w:rsidRPr="00DD7BD1">
          <w:rPr>
            <w:rStyle w:val="Hyperlink"/>
            <w:rFonts w:ascii="Calibri" w:eastAsiaTheme="minorHAnsi" w:hAnsi="Calibri" w:cs="Calibri"/>
            <w:sz w:val="23"/>
            <w:szCs w:val="23"/>
          </w:rPr>
          <w:t>Minimum Wage Notice</w:t>
        </w:r>
      </w:hyperlink>
    </w:p>
    <w:p w14:paraId="47D91C0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Tucson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77" w:history="1">
        <w:r w:rsidRPr="00DD7BD1">
          <w:rPr>
            <w:rStyle w:val="Hyperlink"/>
            <w:rFonts w:ascii="Calibri" w:eastAsiaTheme="minorHAnsi" w:hAnsi="Calibri" w:cs="Calibri"/>
            <w:sz w:val="23"/>
            <w:szCs w:val="23"/>
          </w:rPr>
          <w:t>Minimum Wage Notice</w:t>
        </w:r>
      </w:hyperlink>
    </w:p>
    <w:p w14:paraId="6F14192B"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78" w:history="1">
        <w:r w:rsidRPr="00DD7BD1">
          <w:rPr>
            <w:rStyle w:val="Hyperlink"/>
            <w:rFonts w:ascii="Calibri" w:eastAsiaTheme="minorHAnsi" w:hAnsi="Calibri" w:cs="Calibri"/>
            <w:sz w:val="23"/>
            <w:szCs w:val="23"/>
          </w:rPr>
          <w:t>Minimum Wage Notice</w:t>
        </w:r>
      </w:hyperlink>
      <w:r w:rsidRPr="00DD7BD1">
        <w:rPr>
          <w:rFonts w:ascii="Calibri" w:hAnsi="Calibri" w:cs="Calibri"/>
        </w:rPr>
        <w:t xml:space="preserve"> </w:t>
      </w:r>
      <w:r w:rsidRPr="00DD7BD1">
        <w:rPr>
          <w:rStyle w:val="Hyperlink"/>
          <w:rFonts w:ascii="Calibri" w:eastAsiaTheme="minorHAnsi" w:hAnsi="Calibri" w:cs="Calibri"/>
          <w:b w:val="0"/>
          <w:bCs w:val="0"/>
          <w:color w:val="auto"/>
          <w:sz w:val="23"/>
          <w:szCs w:val="23"/>
          <w:u w:val="none"/>
        </w:rPr>
        <w:t xml:space="preserve">&amp; </w:t>
      </w:r>
      <w:hyperlink r:id="rId79" w:anchor=":~:text=A%20covered%20individual's%20average%20weekly,2026%20Poster" w:history="1">
        <w:r w:rsidRPr="00DD7BD1">
          <w:rPr>
            <w:rStyle w:val="Hyperlink"/>
            <w:rFonts w:ascii="Calibri" w:eastAsiaTheme="minorHAnsi" w:hAnsi="Calibri" w:cs="Calibri"/>
            <w:sz w:val="23"/>
            <w:szCs w:val="23"/>
          </w:rPr>
          <w:t>Paid Family and Medical Leave (PFML) Notice</w:t>
        </w:r>
      </w:hyperlink>
    </w:p>
    <w:p w14:paraId="711679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MN – </w:t>
      </w:r>
    </w:p>
    <w:p w14:paraId="063C957A"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color w:val="C00000"/>
          <w:sz w:val="23"/>
          <w:szCs w:val="23"/>
          <w:u w:val="single"/>
        </w:rPr>
        <w:t>REMINDER:</w:t>
      </w:r>
      <w:r w:rsidRPr="00DD7BD1">
        <w:rPr>
          <w:rFonts w:ascii="Calibri" w:eastAsiaTheme="minorHAnsi" w:hAnsi="Calibri" w:cs="Calibri"/>
          <w:b w:val="0"/>
          <w:bCs w:val="0"/>
          <w:color w:val="C00000"/>
          <w:sz w:val="23"/>
          <w:szCs w:val="23"/>
        </w:rPr>
        <w:t xml:space="preserve"> </w:t>
      </w:r>
      <w:r w:rsidRPr="00DD7BD1">
        <w:rPr>
          <w:rFonts w:ascii="Calibri" w:eastAsiaTheme="minorHAnsi" w:hAnsi="Calibri" w:cs="Calibri"/>
          <w:b w:val="0"/>
          <w:bCs w:val="0"/>
          <w:sz w:val="23"/>
          <w:szCs w:val="23"/>
        </w:rPr>
        <w:t xml:space="preserve">Starting January 1, 2026, Minnesota’s new </w:t>
      </w:r>
      <w:r w:rsidRPr="00DD7BD1">
        <w:rPr>
          <w:rFonts w:ascii="Calibri" w:eastAsiaTheme="minorHAnsi" w:hAnsi="Calibri" w:cs="Calibri"/>
          <w:sz w:val="23"/>
          <w:szCs w:val="23"/>
        </w:rPr>
        <w:t>Paid Leave Progra</w:t>
      </w:r>
      <w:r w:rsidRPr="00DD7BD1">
        <w:rPr>
          <w:rFonts w:ascii="Calibri" w:eastAsiaTheme="minorHAnsi" w:hAnsi="Calibri" w:cs="Calibri"/>
          <w:b w:val="0"/>
          <w:bCs w:val="0"/>
          <w:sz w:val="23"/>
          <w:szCs w:val="23"/>
        </w:rPr>
        <w:t>m will allow employees to take paid time off for major life events, including caring for a new child, recovering from a serious health condition, or supporting a family member. </w:t>
      </w:r>
      <w:r w:rsidRPr="00DD7BD1">
        <w:rPr>
          <w:rFonts w:ascii="Calibri" w:eastAsiaTheme="minorHAnsi" w:hAnsi="Calibri" w:cs="Calibri"/>
          <w:color w:val="C00000"/>
          <w:sz w:val="23"/>
          <w:szCs w:val="23"/>
        </w:rPr>
        <w:t>Employers must inform employees of their rights under this program by December 1, 2025, through both a workplace posting and individual written notice.</w:t>
      </w:r>
      <w:r w:rsidRPr="00DD7BD1">
        <w:rPr>
          <w:rFonts w:ascii="Calibri" w:eastAsiaTheme="minorHAnsi" w:hAnsi="Calibri" w:cs="Calibri"/>
          <w:b w:val="0"/>
          <w:bCs w:val="0"/>
          <w:color w:val="C00000"/>
          <w:sz w:val="23"/>
          <w:szCs w:val="23"/>
        </w:rPr>
        <w:t> </w:t>
      </w:r>
      <w:r w:rsidRPr="00DD7BD1">
        <w:rPr>
          <w:rFonts w:ascii="Calibri" w:eastAsiaTheme="minorHAnsi" w:hAnsi="Calibri" w:cs="Calibri"/>
          <w:b w:val="0"/>
          <w:bCs w:val="0"/>
          <w:sz w:val="23"/>
          <w:szCs w:val="23"/>
        </w:rPr>
        <w:t>The Paid Leave Notice must be displayed in a visible location.</w:t>
      </w:r>
    </w:p>
    <w:p w14:paraId="5D3F253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sz w:val="23"/>
          <w:szCs w:val="23"/>
        </w:rPr>
        <w:t xml:space="preserve">New </w:t>
      </w:r>
      <w:hyperlink r:id="rId80" w:history="1">
        <w:r w:rsidRPr="00DD7BD1">
          <w:rPr>
            <w:rStyle w:val="Hyperlink"/>
            <w:rFonts w:ascii="Calibri" w:eastAsiaTheme="minorHAnsi" w:hAnsi="Calibri" w:cs="Calibri"/>
            <w:sz w:val="23"/>
            <w:szCs w:val="23"/>
          </w:rPr>
          <w:t>Paid Family &amp; Medical Leave Notice</w:t>
        </w:r>
      </w:hyperlink>
      <w:r w:rsidRPr="00DD7BD1">
        <w:rPr>
          <w:rFonts w:ascii="Calibri" w:eastAsiaTheme="minorHAnsi" w:hAnsi="Calibri" w:cs="Calibri"/>
          <w:sz w:val="23"/>
          <w:szCs w:val="23"/>
        </w:rPr>
        <w:t xml:space="preserve"> &amp; </w:t>
      </w:r>
      <w:hyperlink r:id="rId81" w:history="1">
        <w:r w:rsidRPr="00DD7BD1">
          <w:rPr>
            <w:rStyle w:val="Hyperlink"/>
            <w:rFonts w:ascii="Calibri" w:eastAsiaTheme="minorHAnsi" w:hAnsi="Calibri" w:cs="Calibri"/>
            <w:sz w:val="23"/>
            <w:szCs w:val="23"/>
          </w:rPr>
          <w:t>Sample Employee Notice</w:t>
        </w:r>
      </w:hyperlink>
    </w:p>
    <w:p w14:paraId="5A82814C"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Fonts w:ascii="Calibri" w:eastAsiaTheme="minorHAnsi" w:hAnsi="Calibri" w:cs="Calibri"/>
          <w:b w:val="0"/>
          <w:bCs w:val="0"/>
          <w:sz w:val="23"/>
          <w:szCs w:val="23"/>
        </w:rPr>
        <w:t xml:space="preserve">Additionally, Minnesota’s minimum wage will increase to $11.41 per hour, with a training wage of $9.31 per hour, effective the same date. Updated </w:t>
      </w:r>
      <w:hyperlink r:id="rId82"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1.1.26</w:t>
      </w:r>
    </w:p>
    <w:p w14:paraId="5BA718C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MO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83" w:history="1">
        <w:r w:rsidRPr="00DD7BD1">
          <w:rPr>
            <w:rStyle w:val="Hyperlink"/>
            <w:rFonts w:ascii="Calibri" w:eastAsiaTheme="minorHAnsi" w:hAnsi="Calibri" w:cs="Calibri"/>
            <w:sz w:val="23"/>
            <w:szCs w:val="23"/>
          </w:rPr>
          <w:t>Minimum Wage Labor Notice</w:t>
        </w:r>
      </w:hyperlink>
    </w:p>
    <w:p w14:paraId="346F424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MT -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84"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 xml:space="preserve">Beginning January 1, 2026, Montana’s Minimum Wage will increase from $10.55 to $10.85 per hour.  </w:t>
      </w:r>
    </w:p>
    <w:p w14:paraId="2B4F1E9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b w:val="0"/>
          <w:bCs w:val="0"/>
          <w:color w:val="auto"/>
          <w:sz w:val="23"/>
          <w:szCs w:val="23"/>
          <w:u w:val="none"/>
        </w:rPr>
      </w:pPr>
      <w:r w:rsidRPr="00DD7BD1">
        <w:rPr>
          <w:rStyle w:val="Hyperlink"/>
          <w:rFonts w:ascii="Calibri" w:eastAsiaTheme="minorHAnsi" w:hAnsi="Calibri" w:cs="Calibri"/>
          <w:color w:val="auto"/>
          <w:sz w:val="23"/>
          <w:szCs w:val="23"/>
          <w:u w:val="none"/>
        </w:rPr>
        <w:t xml:space="preserve">OH – </w:t>
      </w:r>
      <w:r w:rsidRPr="00DD7BD1">
        <w:rPr>
          <w:rStyle w:val="Hyperlink"/>
          <w:rFonts w:ascii="Calibri" w:eastAsiaTheme="minorHAnsi" w:hAnsi="Calibri" w:cs="Calibri"/>
          <w:b w:val="0"/>
          <w:bCs w:val="0"/>
          <w:color w:val="auto"/>
          <w:sz w:val="23"/>
          <w:szCs w:val="23"/>
          <w:u w:val="none"/>
        </w:rPr>
        <w:t xml:space="preserve">updated </w:t>
      </w:r>
      <w:hyperlink r:id="rId85" w:history="1">
        <w:r w:rsidRPr="00DD7BD1">
          <w:rPr>
            <w:rStyle w:val="Hyperlink"/>
            <w:rFonts w:ascii="Calibri" w:eastAsiaTheme="minorHAnsi" w:hAnsi="Calibri" w:cs="Calibri"/>
            <w:sz w:val="23"/>
            <w:szCs w:val="23"/>
          </w:rPr>
          <w:t>Minimum Wage Notice</w:t>
        </w:r>
      </w:hyperlink>
      <w:r w:rsidRPr="00DD7BD1">
        <w:rPr>
          <w:rStyle w:val="Hyperlink"/>
          <w:rFonts w:ascii="Calibri" w:eastAsiaTheme="minorHAnsi" w:hAnsi="Calibri" w:cs="Calibri"/>
          <w:b w:val="0"/>
          <w:bCs w:val="0"/>
          <w:color w:val="auto"/>
          <w:sz w:val="23"/>
          <w:szCs w:val="23"/>
          <w:u w:val="none"/>
        </w:rPr>
        <w:t xml:space="preserve"> for Jan 1, 2026</w:t>
      </w:r>
    </w:p>
    <w:p w14:paraId="1554B36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PA –</w:t>
      </w:r>
      <w:hyperlink r:id="rId86" w:history="1">
        <w:r w:rsidRPr="00DD7BD1">
          <w:rPr>
            <w:rStyle w:val="Hyperlink"/>
            <w:rFonts w:ascii="Calibri" w:eastAsiaTheme="minorHAnsi" w:hAnsi="Calibri" w:cs="Calibri"/>
            <w:sz w:val="23"/>
            <w:szCs w:val="23"/>
          </w:rPr>
          <w:t>Veterans’ Benefits &amp; Services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required of employers with 50 or more FTEs</w:t>
      </w:r>
    </w:p>
    <w:p w14:paraId="6D72A97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SD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87" w:history="1">
        <w:r w:rsidRPr="00DD7BD1">
          <w:rPr>
            <w:rStyle w:val="Hyperlink"/>
            <w:rFonts w:ascii="Calibri" w:eastAsiaTheme="minorHAnsi" w:hAnsi="Calibri" w:cs="Calibri"/>
            <w:sz w:val="23"/>
            <w:szCs w:val="23"/>
          </w:rPr>
          <w:t>Minimum Wage Labor Notice</w:t>
        </w:r>
      </w:hyperlink>
      <w:r w:rsidRPr="00DD7BD1">
        <w:rPr>
          <w:rStyle w:val="Hyperlink"/>
          <w:rFonts w:ascii="Calibri" w:eastAsiaTheme="minorHAnsi" w:hAnsi="Calibri" w:cs="Calibri"/>
          <w:color w:val="auto"/>
          <w:sz w:val="23"/>
          <w:szCs w:val="23"/>
          <w:u w:val="none"/>
        </w:rPr>
        <w:t xml:space="preserve">. </w:t>
      </w:r>
      <w:r w:rsidRPr="00DD7BD1">
        <w:rPr>
          <w:rFonts w:ascii="Calibri" w:eastAsiaTheme="minorHAnsi" w:hAnsi="Calibri" w:cs="Calibri"/>
          <w:b w:val="0"/>
          <w:bCs w:val="0"/>
          <w:sz w:val="23"/>
          <w:szCs w:val="23"/>
        </w:rPr>
        <w:t>Beginning January 1, 2026, South Dakota’s minimum wage will increase from $11.50 to $11.85 per hour.</w:t>
      </w:r>
      <w:r w:rsidRPr="00DD7BD1">
        <w:rPr>
          <w:rFonts w:ascii="Calibri" w:eastAsiaTheme="minorHAnsi" w:hAnsi="Calibri" w:cs="Calibri"/>
          <w:sz w:val="23"/>
          <w:szCs w:val="23"/>
        </w:rPr>
        <w:t> </w:t>
      </w:r>
    </w:p>
    <w:p w14:paraId="62DC258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VT –</w:t>
      </w:r>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88" w:history="1">
        <w:r w:rsidRPr="00DD7BD1">
          <w:rPr>
            <w:rStyle w:val="Hyperlink"/>
            <w:rFonts w:ascii="Calibri" w:eastAsiaTheme="minorHAnsi" w:hAnsi="Calibri" w:cs="Calibri"/>
            <w:sz w:val="23"/>
            <w:szCs w:val="23"/>
          </w:rPr>
          <w:t>Minimum Wage Notice</w:t>
        </w:r>
      </w:hyperlink>
    </w:p>
    <w:p w14:paraId="202785D5" w14:textId="7AF25EB2" w:rsidR="00925F5D" w:rsidRPr="00DD7BD1" w:rsidRDefault="00925F5D" w:rsidP="009869A8">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WI – </w:t>
      </w:r>
      <w:r w:rsidRPr="00DD7BD1">
        <w:rPr>
          <w:rStyle w:val="Hyperlink"/>
          <w:rFonts w:ascii="Calibri" w:eastAsiaTheme="minorHAnsi" w:hAnsi="Calibri" w:cs="Calibri"/>
          <w:b w:val="0"/>
          <w:bCs w:val="0"/>
          <w:color w:val="auto"/>
          <w:sz w:val="23"/>
          <w:szCs w:val="23"/>
          <w:u w:val="none"/>
        </w:rPr>
        <w:t xml:space="preserve">updated </w:t>
      </w:r>
      <w:hyperlink r:id="rId89" w:history="1">
        <w:r w:rsidRPr="00DD7BD1">
          <w:rPr>
            <w:rStyle w:val="Hyperlink"/>
            <w:rFonts w:ascii="Calibri" w:eastAsiaTheme="minorHAnsi" w:hAnsi="Calibri" w:cs="Calibri"/>
            <w:sz w:val="23"/>
            <w:szCs w:val="23"/>
          </w:rPr>
          <w:t>Unemployment Benefits Notice</w:t>
        </w:r>
      </w:hyperlink>
    </w:p>
    <w:p w14:paraId="540D436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u w:val="none"/>
        </w:rPr>
      </w:pPr>
    </w:p>
    <w:p w14:paraId="01C10ED8" w14:textId="62B8F28C" w:rsidR="005A4E11" w:rsidRPr="00DD7BD1" w:rsidRDefault="005A4E11"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October</w:t>
      </w:r>
    </w:p>
    <w:p w14:paraId="09EC086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VT</w:t>
      </w:r>
      <w:r w:rsidRPr="00DD7BD1">
        <w:rPr>
          <w:rFonts w:ascii="Calibri" w:eastAsiaTheme="minorHAnsi" w:hAnsi="Calibri" w:cs="Calibri"/>
          <w:b w:val="0"/>
          <w:bCs w:val="0"/>
          <w:kern w:val="0"/>
          <w:sz w:val="22"/>
          <w:szCs w:val="22"/>
        </w:rPr>
        <w:t xml:space="preserve"> – issued updated notices: </w:t>
      </w:r>
    </w:p>
    <w:p w14:paraId="3F0B7DF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0" w:history="1">
        <w:r w:rsidRPr="00DD7BD1">
          <w:rPr>
            <w:rStyle w:val="Hyperlink"/>
            <w:rFonts w:ascii="Calibri" w:eastAsiaTheme="minorHAnsi" w:hAnsi="Calibri" w:cs="Calibri"/>
            <w:b w:val="0"/>
            <w:bCs w:val="0"/>
            <w:kern w:val="0"/>
            <w:sz w:val="22"/>
            <w:szCs w:val="22"/>
          </w:rPr>
          <w:t>Unemployment Insurance</w:t>
        </w:r>
      </w:hyperlink>
      <w:r w:rsidRPr="00DD7BD1">
        <w:rPr>
          <w:rFonts w:ascii="Calibri" w:eastAsiaTheme="minorHAnsi" w:hAnsi="Calibri" w:cs="Calibri"/>
          <w:b w:val="0"/>
          <w:bCs w:val="0"/>
          <w:kern w:val="0"/>
          <w:sz w:val="22"/>
          <w:szCs w:val="22"/>
        </w:rPr>
        <w:t>,</w:t>
      </w:r>
    </w:p>
    <w:p w14:paraId="36ECFE3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1" w:history="1">
        <w:r w:rsidRPr="00DD7BD1">
          <w:rPr>
            <w:rStyle w:val="Hyperlink"/>
            <w:rFonts w:ascii="Calibri" w:eastAsiaTheme="minorHAnsi" w:hAnsi="Calibri" w:cs="Calibri"/>
            <w:b w:val="0"/>
            <w:bCs w:val="0"/>
            <w:kern w:val="0"/>
            <w:sz w:val="22"/>
            <w:szCs w:val="22"/>
          </w:rPr>
          <w:t>Accommodations for Pregnant Employees</w:t>
        </w:r>
      </w:hyperlink>
      <w:r w:rsidRPr="00DD7BD1">
        <w:rPr>
          <w:rFonts w:ascii="Calibri" w:eastAsiaTheme="minorHAnsi" w:hAnsi="Calibri" w:cs="Calibri"/>
          <w:b w:val="0"/>
          <w:bCs w:val="0"/>
          <w:kern w:val="0"/>
          <w:sz w:val="22"/>
          <w:szCs w:val="22"/>
        </w:rPr>
        <w:t xml:space="preserve">, </w:t>
      </w:r>
    </w:p>
    <w:p w14:paraId="3CE183B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2" w:history="1">
        <w:r w:rsidRPr="00DD7BD1">
          <w:rPr>
            <w:rStyle w:val="Hyperlink"/>
            <w:rFonts w:ascii="Calibri" w:eastAsiaTheme="minorHAnsi" w:hAnsi="Calibri" w:cs="Calibri"/>
            <w:b w:val="0"/>
            <w:bCs w:val="0"/>
            <w:kern w:val="0"/>
            <w:sz w:val="22"/>
            <w:szCs w:val="22"/>
          </w:rPr>
          <w:t>Child Labor Law</w:t>
        </w:r>
      </w:hyperlink>
      <w:r w:rsidRPr="00DD7BD1">
        <w:rPr>
          <w:rFonts w:ascii="Calibri" w:eastAsiaTheme="minorHAnsi" w:hAnsi="Calibri" w:cs="Calibri"/>
          <w:b w:val="0"/>
          <w:bCs w:val="0"/>
          <w:kern w:val="0"/>
          <w:sz w:val="22"/>
          <w:szCs w:val="22"/>
        </w:rPr>
        <w:t xml:space="preserve">, </w:t>
      </w:r>
    </w:p>
    <w:p w14:paraId="32879186"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3" w:history="1">
        <w:r w:rsidRPr="00DD7BD1">
          <w:rPr>
            <w:rStyle w:val="Hyperlink"/>
            <w:rFonts w:ascii="Calibri" w:eastAsiaTheme="minorHAnsi" w:hAnsi="Calibri" w:cs="Calibri"/>
            <w:b w:val="0"/>
            <w:bCs w:val="0"/>
            <w:kern w:val="0"/>
            <w:sz w:val="22"/>
            <w:szCs w:val="22"/>
          </w:rPr>
          <w:t>Employer’s Liability &amp; Workers’ Compensation,</w:t>
        </w:r>
      </w:hyperlink>
      <w:r w:rsidRPr="00DD7BD1">
        <w:rPr>
          <w:rFonts w:ascii="Calibri" w:eastAsiaTheme="minorHAnsi" w:hAnsi="Calibri" w:cs="Calibri"/>
          <w:b w:val="0"/>
          <w:bCs w:val="0"/>
          <w:kern w:val="0"/>
          <w:sz w:val="22"/>
          <w:szCs w:val="22"/>
        </w:rPr>
        <w:t xml:space="preserve"> </w:t>
      </w:r>
    </w:p>
    <w:p w14:paraId="15E68D6F"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4" w:history="1">
        <w:r w:rsidRPr="00DD7BD1">
          <w:rPr>
            <w:rStyle w:val="Hyperlink"/>
            <w:rFonts w:ascii="Calibri" w:eastAsiaTheme="minorHAnsi" w:hAnsi="Calibri" w:cs="Calibri"/>
            <w:b w:val="0"/>
            <w:bCs w:val="0"/>
            <w:kern w:val="0"/>
            <w:sz w:val="22"/>
            <w:szCs w:val="22"/>
          </w:rPr>
          <w:t>Employment Protections for Victims of Crime</w:t>
        </w:r>
      </w:hyperlink>
      <w:r w:rsidRPr="00DD7BD1">
        <w:rPr>
          <w:rFonts w:ascii="Calibri" w:eastAsiaTheme="minorHAnsi" w:hAnsi="Calibri" w:cs="Calibri"/>
          <w:b w:val="0"/>
          <w:bCs w:val="0"/>
          <w:kern w:val="0"/>
          <w:sz w:val="22"/>
          <w:szCs w:val="22"/>
        </w:rPr>
        <w:t xml:space="preserve">, </w:t>
      </w:r>
    </w:p>
    <w:p w14:paraId="48CCA74D"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5" w:history="1">
        <w:r w:rsidRPr="00DD7BD1">
          <w:rPr>
            <w:rStyle w:val="Hyperlink"/>
            <w:rFonts w:ascii="Calibri" w:eastAsiaTheme="minorHAnsi" w:hAnsi="Calibri" w:cs="Calibri"/>
            <w:b w:val="0"/>
            <w:bCs w:val="0"/>
            <w:kern w:val="0"/>
            <w:sz w:val="22"/>
            <w:szCs w:val="22"/>
          </w:rPr>
          <w:t>Healthcare Whistleblower Protection</w:t>
        </w:r>
      </w:hyperlink>
      <w:r w:rsidRPr="00DD7BD1">
        <w:rPr>
          <w:rFonts w:ascii="Calibri" w:eastAsiaTheme="minorHAnsi" w:hAnsi="Calibri" w:cs="Calibri"/>
          <w:b w:val="0"/>
          <w:bCs w:val="0"/>
          <w:kern w:val="0"/>
          <w:sz w:val="22"/>
          <w:szCs w:val="22"/>
        </w:rPr>
        <w:t xml:space="preserve">, </w:t>
      </w:r>
    </w:p>
    <w:p w14:paraId="6E3B15DA"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6" w:history="1">
        <w:r w:rsidRPr="00DD7BD1">
          <w:rPr>
            <w:rStyle w:val="Hyperlink"/>
            <w:rFonts w:ascii="Calibri" w:eastAsiaTheme="minorHAnsi" w:hAnsi="Calibri" w:cs="Calibri"/>
            <w:b w:val="0"/>
            <w:bCs w:val="0"/>
            <w:kern w:val="0"/>
            <w:sz w:val="22"/>
            <w:szCs w:val="22"/>
          </w:rPr>
          <w:t>Parental and Family Leave,</w:t>
        </w:r>
      </w:hyperlink>
      <w:r w:rsidRPr="00DD7BD1">
        <w:rPr>
          <w:rFonts w:ascii="Calibri" w:eastAsiaTheme="minorHAnsi" w:hAnsi="Calibri" w:cs="Calibri"/>
          <w:b w:val="0"/>
          <w:bCs w:val="0"/>
          <w:kern w:val="0"/>
          <w:sz w:val="22"/>
          <w:szCs w:val="22"/>
        </w:rPr>
        <w:t xml:space="preserve"> </w:t>
      </w:r>
    </w:p>
    <w:p w14:paraId="6BC24713"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7" w:history="1">
        <w:r w:rsidRPr="00DD7BD1">
          <w:rPr>
            <w:rStyle w:val="Hyperlink"/>
            <w:rFonts w:ascii="Calibri" w:eastAsiaTheme="minorHAnsi" w:hAnsi="Calibri" w:cs="Calibri"/>
            <w:b w:val="0"/>
            <w:bCs w:val="0"/>
            <w:kern w:val="0"/>
            <w:sz w:val="22"/>
            <w:szCs w:val="22"/>
          </w:rPr>
          <w:t>Safety Records Notice,</w:t>
        </w:r>
      </w:hyperlink>
      <w:r w:rsidRPr="00DD7BD1">
        <w:rPr>
          <w:rFonts w:ascii="Calibri" w:eastAsiaTheme="minorHAnsi" w:hAnsi="Calibri" w:cs="Calibri"/>
          <w:b w:val="0"/>
          <w:bCs w:val="0"/>
          <w:kern w:val="0"/>
          <w:sz w:val="22"/>
          <w:szCs w:val="22"/>
        </w:rPr>
        <w:t xml:space="preserve"> </w:t>
      </w:r>
    </w:p>
    <w:p w14:paraId="172D9FE9"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8" w:history="1">
        <w:r w:rsidRPr="00DD7BD1">
          <w:rPr>
            <w:rStyle w:val="Hyperlink"/>
            <w:rFonts w:ascii="Calibri" w:eastAsiaTheme="minorHAnsi" w:hAnsi="Calibri" w:cs="Calibri"/>
            <w:b w:val="0"/>
            <w:bCs w:val="0"/>
            <w:kern w:val="0"/>
            <w:sz w:val="22"/>
            <w:szCs w:val="22"/>
          </w:rPr>
          <w:t>Sexual Harassment Notice</w:t>
        </w:r>
      </w:hyperlink>
      <w:r w:rsidRPr="00DD7BD1">
        <w:rPr>
          <w:rFonts w:ascii="Calibri" w:eastAsiaTheme="minorHAnsi" w:hAnsi="Calibri" w:cs="Calibri"/>
          <w:b w:val="0"/>
          <w:bCs w:val="0"/>
          <w:kern w:val="0"/>
          <w:sz w:val="22"/>
          <w:szCs w:val="22"/>
        </w:rPr>
        <w:t xml:space="preserve">, </w:t>
      </w:r>
    </w:p>
    <w:p w14:paraId="4C5C78C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9" w:history="1">
        <w:r w:rsidRPr="00DD7BD1">
          <w:rPr>
            <w:rStyle w:val="Hyperlink"/>
            <w:rFonts w:ascii="Calibri" w:eastAsiaTheme="minorHAnsi" w:hAnsi="Calibri" w:cs="Calibri"/>
            <w:b w:val="0"/>
            <w:bCs w:val="0"/>
            <w:kern w:val="0"/>
            <w:sz w:val="22"/>
            <w:szCs w:val="22"/>
          </w:rPr>
          <w:t>Earned Sick Time Act</w:t>
        </w:r>
      </w:hyperlink>
      <w:r w:rsidRPr="00DD7BD1">
        <w:rPr>
          <w:rFonts w:ascii="Calibri" w:eastAsiaTheme="minorHAnsi" w:hAnsi="Calibri" w:cs="Calibri"/>
          <w:b w:val="0"/>
          <w:bCs w:val="0"/>
          <w:kern w:val="0"/>
          <w:sz w:val="22"/>
          <w:szCs w:val="22"/>
        </w:rPr>
        <w:t xml:space="preserve">, and </w:t>
      </w:r>
    </w:p>
    <w:p w14:paraId="12930B12"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100" w:history="1">
        <w:r w:rsidRPr="00DD7BD1">
          <w:rPr>
            <w:rStyle w:val="Hyperlink"/>
            <w:rFonts w:ascii="Calibri" w:eastAsiaTheme="minorHAnsi" w:hAnsi="Calibri" w:cs="Calibri"/>
            <w:b w:val="0"/>
            <w:bCs w:val="0"/>
            <w:kern w:val="0"/>
            <w:sz w:val="22"/>
            <w:szCs w:val="22"/>
          </w:rPr>
          <w:t>Workers’ Compensation Reinstatement Rights</w:t>
        </w:r>
      </w:hyperlink>
    </w:p>
    <w:p w14:paraId="2E1C66A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RI</w:t>
      </w:r>
      <w:r w:rsidRPr="00DD7BD1">
        <w:rPr>
          <w:rFonts w:ascii="Calibri" w:eastAsiaTheme="minorHAnsi" w:hAnsi="Calibri" w:cs="Calibri"/>
          <w:b w:val="0"/>
          <w:bCs w:val="0"/>
          <w:kern w:val="0"/>
          <w:sz w:val="22"/>
          <w:szCs w:val="22"/>
        </w:rPr>
        <w:t xml:space="preserve"> - Rhode Island has issued updated notices</w:t>
      </w:r>
    </w:p>
    <w:p w14:paraId="129B594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101" w:history="1">
        <w:r w:rsidRPr="00DD7BD1">
          <w:rPr>
            <w:rStyle w:val="Hyperlink"/>
            <w:rFonts w:ascii="Calibri" w:eastAsiaTheme="minorHAnsi" w:hAnsi="Calibri" w:cs="Calibri"/>
            <w:b w:val="0"/>
            <w:bCs w:val="0"/>
            <w:kern w:val="0"/>
            <w:sz w:val="22"/>
            <w:szCs w:val="22"/>
          </w:rPr>
          <w:t>Sick and Safe Leave Notice </w:t>
        </w:r>
      </w:hyperlink>
      <w:r w:rsidRPr="00DD7BD1">
        <w:rPr>
          <w:rFonts w:ascii="Calibri" w:eastAsiaTheme="minorHAnsi" w:hAnsi="Calibri" w:cs="Calibr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102" w:history="1">
        <w:r w:rsidRPr="00DD7BD1">
          <w:rPr>
            <w:rStyle w:val="Hyperlink"/>
            <w:rFonts w:ascii="Calibri" w:eastAsiaTheme="minorHAnsi" w:hAnsi="Calibri" w:cs="Calibri"/>
            <w:b w:val="0"/>
            <w:bCs w:val="0"/>
            <w:kern w:val="0"/>
            <w:sz w:val="22"/>
            <w:szCs w:val="22"/>
          </w:rPr>
          <w:t>Discrimination/Fair Employment Notice </w:t>
        </w:r>
      </w:hyperlink>
      <w:r w:rsidRPr="00DD7BD1">
        <w:rPr>
          <w:rFonts w:ascii="Calibri" w:eastAsiaTheme="minorHAnsi" w:hAnsi="Calibri" w:cs="Calibri"/>
          <w:b w:val="0"/>
          <w:bCs w:val="0"/>
          <w:kern w:val="0"/>
          <w:sz w:val="22"/>
          <w:szCs w:val="22"/>
        </w:rPr>
        <w:t>has been revised to include a new Voice Relay/711 contact number.  </w:t>
      </w:r>
    </w:p>
    <w:p w14:paraId="2681392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PA</w:t>
      </w:r>
      <w:r w:rsidRPr="00DD7BD1">
        <w:rPr>
          <w:rFonts w:ascii="Calibri" w:eastAsiaTheme="minorHAnsi" w:hAnsi="Calibri" w:cs="Calibri"/>
          <w:b w:val="0"/>
          <w:bCs w:val="0"/>
          <w:kern w:val="0"/>
          <w:sz w:val="22"/>
          <w:szCs w:val="22"/>
        </w:rPr>
        <w:t xml:space="preserve"> – updated </w:t>
      </w:r>
      <w:hyperlink r:id="rId103" w:history="1">
        <w:r w:rsidRPr="00DD7BD1">
          <w:rPr>
            <w:rStyle w:val="Hyperlink"/>
            <w:rFonts w:ascii="Calibri" w:eastAsiaTheme="minorHAnsi" w:hAnsi="Calibri" w:cs="Calibri"/>
            <w:b w:val="0"/>
            <w:bCs w:val="0"/>
            <w:kern w:val="0"/>
            <w:sz w:val="22"/>
            <w:szCs w:val="22"/>
          </w:rPr>
          <w:t>Veteran Benefits and Services</w:t>
        </w:r>
      </w:hyperlink>
      <w:r w:rsidRPr="00DD7BD1">
        <w:rPr>
          <w:rFonts w:ascii="Calibri" w:eastAsiaTheme="minorHAnsi" w:hAnsi="Calibri" w:cs="Calibri"/>
          <w:b w:val="0"/>
          <w:bCs w:val="0"/>
          <w:kern w:val="0"/>
          <w:sz w:val="22"/>
          <w:szCs w:val="22"/>
        </w:rPr>
        <w:t xml:space="preserve"> Notice.  Employers with at least one workplace in the state that has 51 or more full-time employees must post this Notice in a conspicuous place where employees can access it which includes an employer’s intranet or other employee shared technological platform.</w:t>
      </w:r>
    </w:p>
    <w:p w14:paraId="4679E53B"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MN </w:t>
      </w:r>
      <w:r w:rsidRPr="00DD7BD1">
        <w:rPr>
          <w:rFonts w:ascii="Calibri" w:eastAsiaTheme="minorHAnsi" w:hAnsi="Calibri" w:cs="Calibri"/>
          <w:b w:val="0"/>
          <w:bCs w:val="0"/>
          <w:kern w:val="0"/>
          <w:sz w:val="22"/>
          <w:szCs w:val="22"/>
        </w:rPr>
        <w:t xml:space="preserve">– new </w:t>
      </w:r>
      <w:hyperlink r:id="rId104"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 to be provided to Employees by Dec 1 and New Hires, going forward</w:t>
      </w:r>
    </w:p>
    <w:p w14:paraId="4D5BE96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DE </w:t>
      </w:r>
      <w:r w:rsidRPr="00DD7BD1">
        <w:rPr>
          <w:rFonts w:ascii="Calibri" w:eastAsiaTheme="minorHAnsi" w:hAnsi="Calibri" w:cs="Calibri"/>
          <w:b w:val="0"/>
          <w:bCs w:val="0"/>
          <w:kern w:val="0"/>
          <w:sz w:val="22"/>
          <w:szCs w:val="22"/>
        </w:rPr>
        <w:t xml:space="preserve">– new </w:t>
      </w:r>
      <w:hyperlink r:id="rId105"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(program effective Jan 1, 2026).  Applicable for employers with 10 or more employees.</w:t>
      </w:r>
    </w:p>
    <w:p w14:paraId="19115BF5" w14:textId="77777777" w:rsidR="005A4E11" w:rsidRPr="00DD7BD1" w:rsidRDefault="005A4E11" w:rsidP="009A459C">
      <w:pPr>
        <w:pStyle w:val="ParagraphBasic"/>
        <w:spacing w:after="0" w:line="240" w:lineRule="auto"/>
        <w:ind w:firstLine="360"/>
        <w:rPr>
          <w:rStyle w:val="Hyperlink"/>
          <w:rFonts w:ascii="Calibri" w:hAnsi="Calibri" w:cs="Calibri"/>
          <w:b/>
          <w:bCs/>
          <w:color w:val="auto"/>
          <w:kern w:val="36"/>
          <w:u w:val="none"/>
        </w:rPr>
      </w:pPr>
    </w:p>
    <w:p w14:paraId="6C6E46E2" w14:textId="4E25231E" w:rsidR="00484AAC" w:rsidRPr="00DD7BD1" w:rsidRDefault="00484AA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lastRenderedPageBreak/>
        <w:t>Aug/Sept</w:t>
      </w:r>
    </w:p>
    <w:p w14:paraId="66EA18C6" w14:textId="77777777" w:rsidR="00E43496" w:rsidRPr="00DD7BD1" w:rsidRDefault="00E43496" w:rsidP="00E43496">
      <w:pPr>
        <w:widowControl w:val="0"/>
        <w:tabs>
          <w:tab w:val="left" w:pos="1080"/>
        </w:tabs>
        <w:autoSpaceDE w:val="0"/>
        <w:autoSpaceDN w:val="0"/>
        <w:spacing w:before="5" w:after="0" w:line="247" w:lineRule="auto"/>
        <w:ind w:left="630" w:right="994"/>
        <w:rPr>
          <w:rFonts w:ascii="Calibri" w:hAnsi="Calibri" w:cs="Calibri"/>
        </w:rPr>
      </w:pPr>
      <w:r w:rsidRPr="00DD7BD1">
        <w:rPr>
          <w:rFonts w:ascii="Calibri" w:hAnsi="Calibri" w:cs="Calibri"/>
          <w:b/>
          <w:spacing w:val="-2"/>
          <w:w w:val="105"/>
        </w:rPr>
        <w:t>AR</w:t>
      </w:r>
      <w:r w:rsidRPr="00DD7BD1">
        <w:rPr>
          <w:rFonts w:ascii="Calibri" w:hAnsi="Calibri" w:cs="Calibri"/>
          <w:b/>
          <w:spacing w:val="-7"/>
          <w:w w:val="105"/>
        </w:rPr>
        <w:t xml:space="preserve"> </w:t>
      </w:r>
      <w:r w:rsidRPr="00DD7BD1">
        <w:rPr>
          <w:rFonts w:ascii="Calibri" w:hAnsi="Calibri" w:cs="Calibri"/>
          <w:b/>
          <w:spacing w:val="-2"/>
          <w:w w:val="105"/>
        </w:rPr>
        <w:t>–</w:t>
      </w:r>
      <w:r w:rsidRPr="00DD7BD1">
        <w:rPr>
          <w:rFonts w:ascii="Calibri" w:hAnsi="Calibri" w:cs="Calibri"/>
          <w:b/>
          <w:spacing w:val="-7"/>
          <w:w w:val="105"/>
        </w:rPr>
        <w:t xml:space="preserve"> </w:t>
      </w:r>
      <w:hyperlink r:id="rId106">
        <w:r w:rsidRPr="00DD7BD1">
          <w:rPr>
            <w:rFonts w:ascii="Calibri" w:hAnsi="Calibri" w:cs="Calibri"/>
            <w:b/>
            <w:color w:val="0000FF"/>
            <w:spacing w:val="-2"/>
            <w:w w:val="105"/>
            <w:u w:val="single" w:color="0000FF"/>
          </w:rPr>
          <w:t>Veterans'</w:t>
        </w:r>
        <w:r w:rsidRPr="00DD7BD1">
          <w:rPr>
            <w:rFonts w:ascii="Calibri" w:hAnsi="Calibri" w:cs="Calibri"/>
            <w:b/>
            <w:color w:val="0000FF"/>
            <w:spacing w:val="-7"/>
            <w:w w:val="105"/>
            <w:u w:val="single" w:color="0000FF"/>
          </w:rPr>
          <w:t xml:space="preserve"> </w:t>
        </w:r>
        <w:r w:rsidRPr="00DD7BD1">
          <w:rPr>
            <w:rFonts w:ascii="Calibri" w:hAnsi="Calibri" w:cs="Calibri"/>
            <w:b/>
            <w:color w:val="0000FF"/>
            <w:spacing w:val="-2"/>
            <w:w w:val="105"/>
            <w:u w:val="single" w:color="0000FF"/>
          </w:rPr>
          <w:t>Benefits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&amp;</w:t>
        </w:r>
        <w:r w:rsidRPr="00DD7BD1">
          <w:rPr>
            <w:rFonts w:ascii="Calibri" w:hAnsi="Calibri" w:cs="Calibri"/>
            <w:b/>
            <w:color w:val="0000FF"/>
            <w:spacing w:val="-10"/>
            <w:w w:val="105"/>
            <w:u w:val="single" w:color="0000FF"/>
          </w:rPr>
          <w:t xml:space="preserve"> </w:t>
        </w:r>
        <w:r w:rsidRPr="00DD7BD1">
          <w:rPr>
            <w:rFonts w:ascii="Calibri" w:hAnsi="Calibri" w:cs="Calibri"/>
            <w:b/>
            <w:color w:val="0000FF"/>
            <w:spacing w:val="-2"/>
            <w:w w:val="105"/>
            <w:u w:val="single" w:color="0000FF"/>
          </w:rPr>
          <w:t>Services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Notice</w:t>
        </w:r>
      </w:hyperlink>
      <w:r w:rsidRPr="00DD7BD1">
        <w:rPr>
          <w:rFonts w:ascii="Calibri" w:hAnsi="Calibri" w:cs="Calibri"/>
          <w:b/>
          <w:color w:val="0000FF"/>
          <w:spacing w:val="-6"/>
          <w:w w:val="105"/>
        </w:rPr>
        <w:t xml:space="preserve"> </w:t>
      </w:r>
      <w:r w:rsidRPr="00DD7BD1">
        <w:rPr>
          <w:rFonts w:ascii="Calibri" w:hAnsi="Calibri" w:cs="Calibri"/>
          <w:spacing w:val="-2"/>
          <w:w w:val="105"/>
        </w:rPr>
        <w:t>must</w:t>
      </w:r>
      <w:r w:rsidRPr="00DD7BD1">
        <w:rPr>
          <w:rFonts w:ascii="Calibri" w:hAnsi="Calibri" w:cs="Calibri"/>
          <w:spacing w:val="-11"/>
          <w:w w:val="105"/>
        </w:rPr>
        <w:t xml:space="preserve"> </w:t>
      </w:r>
      <w:r w:rsidRPr="00DD7BD1">
        <w:rPr>
          <w:rFonts w:ascii="Calibri" w:hAnsi="Calibri" w:cs="Calibri"/>
          <w:spacing w:val="-2"/>
          <w:w w:val="105"/>
        </w:rPr>
        <w:t>be</w:t>
      </w:r>
      <w:r w:rsidRPr="00DD7BD1">
        <w:rPr>
          <w:rFonts w:ascii="Calibri" w:hAnsi="Calibri" w:cs="Calibri"/>
          <w:spacing w:val="-10"/>
          <w:w w:val="105"/>
        </w:rPr>
        <w:t xml:space="preserve"> </w:t>
      </w:r>
      <w:r w:rsidRPr="00DD7BD1">
        <w:rPr>
          <w:rFonts w:ascii="Calibri" w:hAnsi="Calibri" w:cs="Calibri"/>
          <w:spacing w:val="-2"/>
          <w:w w:val="105"/>
        </w:rPr>
        <w:t>provided/posted</w:t>
      </w:r>
      <w:r w:rsidRPr="00DD7BD1">
        <w:rPr>
          <w:rFonts w:ascii="Calibri" w:hAnsi="Calibri" w:cs="Calibri"/>
          <w:spacing w:val="-11"/>
          <w:w w:val="105"/>
        </w:rPr>
        <w:t xml:space="preserve"> </w:t>
      </w:r>
      <w:r w:rsidRPr="00DD7BD1">
        <w:rPr>
          <w:rFonts w:ascii="Calibri" w:hAnsi="Calibri" w:cs="Calibri"/>
          <w:spacing w:val="-2"/>
          <w:w w:val="105"/>
        </w:rPr>
        <w:t>by</w:t>
      </w:r>
      <w:r w:rsidRPr="00DD7BD1">
        <w:rPr>
          <w:rFonts w:ascii="Calibri" w:hAnsi="Calibri" w:cs="Calibri"/>
          <w:spacing w:val="-7"/>
          <w:w w:val="105"/>
        </w:rPr>
        <w:t xml:space="preserve"> </w:t>
      </w:r>
      <w:r w:rsidRPr="00DD7BD1">
        <w:rPr>
          <w:rFonts w:ascii="Calibri" w:hAnsi="Calibri" w:cs="Calibri"/>
          <w:spacing w:val="-2"/>
          <w:w w:val="105"/>
        </w:rPr>
        <w:t>all</w:t>
      </w:r>
      <w:r w:rsidRPr="00DD7BD1">
        <w:rPr>
          <w:rFonts w:ascii="Calibri" w:hAnsi="Calibri" w:cs="Calibri"/>
          <w:spacing w:val="-10"/>
          <w:w w:val="105"/>
        </w:rPr>
        <w:t xml:space="preserve"> </w:t>
      </w:r>
      <w:r w:rsidRPr="00DD7BD1">
        <w:rPr>
          <w:rFonts w:ascii="Calibri" w:hAnsi="Calibri" w:cs="Calibri"/>
          <w:spacing w:val="-2"/>
          <w:w w:val="105"/>
        </w:rPr>
        <w:t>employers</w:t>
      </w:r>
      <w:r w:rsidRPr="00DD7BD1">
        <w:rPr>
          <w:rFonts w:ascii="Calibri" w:hAnsi="Calibri" w:cs="Calibri"/>
          <w:spacing w:val="-7"/>
          <w:w w:val="105"/>
        </w:rPr>
        <w:t xml:space="preserve"> </w:t>
      </w:r>
      <w:r w:rsidRPr="00DD7BD1">
        <w:rPr>
          <w:rFonts w:ascii="Calibri" w:hAnsi="Calibri" w:cs="Calibri"/>
          <w:spacing w:val="-2"/>
          <w:w w:val="105"/>
        </w:rPr>
        <w:t>with</w:t>
      </w:r>
      <w:r w:rsidRPr="00DD7BD1">
        <w:rPr>
          <w:rFonts w:ascii="Calibri" w:hAnsi="Calibri" w:cs="Calibri"/>
          <w:spacing w:val="-10"/>
          <w:w w:val="105"/>
        </w:rPr>
        <w:t xml:space="preserve"> </w:t>
      </w:r>
      <w:r w:rsidRPr="00DD7BD1">
        <w:rPr>
          <w:rFonts w:ascii="Calibri" w:hAnsi="Calibri" w:cs="Calibri"/>
          <w:spacing w:val="-2"/>
          <w:w w:val="105"/>
        </w:rPr>
        <w:t>50</w:t>
      </w:r>
      <w:r w:rsidRPr="00DD7BD1">
        <w:rPr>
          <w:rFonts w:ascii="Calibri" w:hAnsi="Calibri" w:cs="Calibri"/>
          <w:spacing w:val="-11"/>
          <w:w w:val="105"/>
        </w:rPr>
        <w:t xml:space="preserve"> </w:t>
      </w:r>
      <w:r w:rsidRPr="00DD7BD1">
        <w:rPr>
          <w:rFonts w:ascii="Calibri" w:hAnsi="Calibri" w:cs="Calibri"/>
          <w:spacing w:val="-2"/>
          <w:w w:val="105"/>
        </w:rPr>
        <w:t>or</w:t>
      </w:r>
      <w:r w:rsidRPr="00DD7BD1">
        <w:rPr>
          <w:rFonts w:ascii="Calibri" w:hAnsi="Calibri" w:cs="Calibri"/>
          <w:spacing w:val="-12"/>
          <w:w w:val="105"/>
        </w:rPr>
        <w:t xml:space="preserve"> </w:t>
      </w:r>
      <w:r w:rsidRPr="00DD7BD1">
        <w:rPr>
          <w:rFonts w:ascii="Calibri" w:hAnsi="Calibri" w:cs="Calibri"/>
          <w:spacing w:val="-2"/>
          <w:w w:val="105"/>
        </w:rPr>
        <w:t xml:space="preserve">more </w:t>
      </w:r>
      <w:proofErr w:type="gramStart"/>
      <w:r w:rsidRPr="00DD7BD1">
        <w:rPr>
          <w:rFonts w:ascii="Calibri" w:hAnsi="Calibri" w:cs="Calibri"/>
          <w:w w:val="105"/>
        </w:rPr>
        <w:t>full time</w:t>
      </w:r>
      <w:proofErr w:type="gramEnd"/>
      <w:r w:rsidRPr="00DD7BD1">
        <w:rPr>
          <w:rFonts w:ascii="Calibri" w:hAnsi="Calibri" w:cs="Calibri"/>
          <w:w w:val="105"/>
        </w:rPr>
        <w:t xml:space="preserve"> equivalent employees</w:t>
      </w:r>
    </w:p>
    <w:p w14:paraId="3DC54E7B"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FL</w:t>
      </w:r>
      <w:r w:rsidRPr="00DD7BD1">
        <w:rPr>
          <w:rFonts w:ascii="Calibri" w:hAnsi="Calibri" w:cs="Calibri"/>
          <w:b/>
          <w:spacing w:val="-15"/>
        </w:rPr>
        <w:t xml:space="preserve"> </w:t>
      </w:r>
      <w:r w:rsidRPr="00DD7BD1">
        <w:rPr>
          <w:rFonts w:ascii="Calibri" w:hAnsi="Calibri" w:cs="Calibri"/>
          <w:b/>
        </w:rPr>
        <w:t>–</w:t>
      </w:r>
      <w:r w:rsidRPr="00DD7BD1">
        <w:rPr>
          <w:rFonts w:ascii="Calibri" w:hAnsi="Calibri" w:cs="Calibri"/>
          <w:b/>
          <w:spacing w:val="-14"/>
        </w:rPr>
        <w:t xml:space="preserve"> </w:t>
      </w:r>
      <w:r w:rsidRPr="00DD7BD1">
        <w:rPr>
          <w:rFonts w:ascii="Calibri" w:hAnsi="Calibri" w:cs="Calibri"/>
        </w:rPr>
        <w:t>updated</w:t>
      </w:r>
      <w:r w:rsidRPr="00DD7BD1">
        <w:rPr>
          <w:rFonts w:ascii="Calibri" w:hAnsi="Calibri" w:cs="Calibri"/>
          <w:spacing w:val="-15"/>
        </w:rPr>
        <w:t xml:space="preserve"> </w:t>
      </w:r>
      <w:hyperlink r:id="rId107">
        <w:r w:rsidRPr="00DD7BD1">
          <w:rPr>
            <w:rFonts w:ascii="Calibri" w:hAnsi="Calibri" w:cs="Calibri"/>
            <w:b/>
            <w:color w:val="0000FF"/>
            <w:u w:val="single" w:color="0000FF"/>
          </w:rPr>
          <w:t>Minimum</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13"/>
        </w:rPr>
        <w:t xml:space="preserve"> </w:t>
      </w:r>
      <w:r w:rsidRPr="00DD7BD1">
        <w:rPr>
          <w:rFonts w:ascii="Calibri" w:hAnsi="Calibri" w:cs="Calibri"/>
        </w:rPr>
        <w:t>eff</w:t>
      </w:r>
      <w:r w:rsidRPr="00DD7BD1">
        <w:rPr>
          <w:rFonts w:ascii="Calibri" w:hAnsi="Calibri" w:cs="Calibri"/>
          <w:spacing w:val="-15"/>
        </w:rPr>
        <w:t xml:space="preserve"> </w:t>
      </w:r>
      <w:r w:rsidRPr="00DD7BD1">
        <w:rPr>
          <w:rFonts w:ascii="Calibri" w:hAnsi="Calibri" w:cs="Calibri"/>
          <w:spacing w:val="-2"/>
        </w:rPr>
        <w:t>9/30/25</w:t>
      </w:r>
    </w:p>
    <w:p w14:paraId="55608EDD"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 xml:space="preserve">KY </w:t>
      </w:r>
      <w:r w:rsidRPr="00DD7BD1">
        <w:rPr>
          <w:rFonts w:ascii="Calibri" w:hAnsi="Calibri" w:cs="Calibri"/>
          <w:spacing w:val="-7"/>
        </w:rPr>
        <w:t xml:space="preserve"> </w:t>
      </w:r>
      <w:r w:rsidRPr="00DD7BD1">
        <w:rPr>
          <w:rFonts w:ascii="Calibri" w:hAnsi="Calibri" w:cs="Calibri"/>
        </w:rPr>
        <w:t>–</w:t>
      </w:r>
      <w:r w:rsidRPr="00DD7BD1">
        <w:rPr>
          <w:rFonts w:ascii="Calibri" w:hAnsi="Calibri" w:cs="Calibri"/>
          <w:spacing w:val="-10"/>
        </w:rPr>
        <w:t xml:space="preserve"> </w:t>
      </w:r>
      <w:r w:rsidRPr="00DD7BD1">
        <w:rPr>
          <w:rFonts w:ascii="Calibri" w:hAnsi="Calibri" w:cs="Calibri"/>
        </w:rPr>
        <w:t>updated</w:t>
      </w:r>
      <w:r w:rsidRPr="00DD7BD1">
        <w:rPr>
          <w:rFonts w:ascii="Calibri" w:hAnsi="Calibri" w:cs="Calibri"/>
          <w:spacing w:val="-9"/>
        </w:rPr>
        <w:t xml:space="preserve"> </w:t>
      </w:r>
      <w:hyperlink r:id="rId108">
        <w:r w:rsidRPr="00DD7BD1">
          <w:rPr>
            <w:rFonts w:ascii="Calibri" w:hAnsi="Calibri" w:cs="Calibri"/>
            <w:color w:val="0000FF"/>
            <w:u w:val="single" w:color="0000FF"/>
          </w:rPr>
          <w:t>Safety</w:t>
        </w:r>
        <w:r w:rsidRPr="00DD7BD1">
          <w:rPr>
            <w:rFonts w:ascii="Calibri" w:hAnsi="Calibri" w:cs="Calibri"/>
            <w:color w:val="0000FF"/>
            <w:spacing w:val="-8"/>
            <w:u w:val="single" w:color="0000FF"/>
          </w:rPr>
          <w:t xml:space="preserve"> </w:t>
        </w:r>
        <w:r w:rsidRPr="00DD7BD1">
          <w:rPr>
            <w:rFonts w:ascii="Calibri" w:hAnsi="Calibri" w:cs="Calibri"/>
            <w:color w:val="0000FF"/>
            <w:u w:val="single" w:color="0000FF"/>
          </w:rPr>
          <w:t>and</w:t>
        </w:r>
        <w:r w:rsidRPr="00DD7BD1">
          <w:rPr>
            <w:rFonts w:ascii="Calibri" w:hAnsi="Calibri" w:cs="Calibri"/>
            <w:color w:val="0000FF"/>
            <w:spacing w:val="-10"/>
            <w:u w:val="single" w:color="0000FF"/>
          </w:rPr>
          <w:t xml:space="preserve"> </w:t>
        </w:r>
        <w:r w:rsidRPr="00DD7BD1">
          <w:rPr>
            <w:rFonts w:ascii="Calibri" w:hAnsi="Calibri" w:cs="Calibri"/>
            <w:color w:val="0000FF"/>
            <w:u w:val="single" w:color="0000FF"/>
          </w:rPr>
          <w:t>Health</w:t>
        </w:r>
        <w:r w:rsidRPr="00DD7BD1">
          <w:rPr>
            <w:rFonts w:ascii="Calibri" w:hAnsi="Calibri" w:cs="Calibri"/>
            <w:color w:val="0000FF"/>
            <w:spacing w:val="-9"/>
            <w:u w:val="single" w:color="0000FF"/>
          </w:rPr>
          <w:t xml:space="preserve"> </w:t>
        </w:r>
        <w:r w:rsidRPr="00DD7BD1">
          <w:rPr>
            <w:rFonts w:ascii="Calibri" w:hAnsi="Calibri" w:cs="Calibri"/>
            <w:color w:val="0000FF"/>
            <w:u w:val="single" w:color="0000FF"/>
          </w:rPr>
          <w:t>on</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the</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Job</w:t>
        </w:r>
        <w:r w:rsidRPr="00DD7BD1">
          <w:rPr>
            <w:rFonts w:ascii="Calibri" w:hAnsi="Calibri" w:cs="Calibri"/>
            <w:color w:val="0000FF"/>
            <w:spacing w:val="-9"/>
            <w:u w:val="single" w:color="0000FF"/>
          </w:rPr>
          <w:t xml:space="preserve"> </w:t>
        </w:r>
        <w:r w:rsidRPr="00DD7BD1">
          <w:rPr>
            <w:rFonts w:ascii="Calibri" w:hAnsi="Calibri" w:cs="Calibri"/>
            <w:color w:val="0000FF"/>
            <w:spacing w:val="-2"/>
            <w:u w:val="single" w:color="0000FF"/>
          </w:rPr>
          <w:t>Notice</w:t>
        </w:r>
      </w:hyperlink>
    </w:p>
    <w:p w14:paraId="74558761"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LA</w:t>
      </w:r>
      <w:r w:rsidRPr="00DD7BD1">
        <w:rPr>
          <w:rFonts w:ascii="Calibri" w:hAnsi="Calibri" w:cs="Calibri"/>
          <w:b/>
          <w:spacing w:val="-11"/>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9"/>
        </w:rPr>
        <w:t xml:space="preserve"> </w:t>
      </w:r>
      <w:hyperlink r:id="rId109">
        <w:r w:rsidRPr="00DD7BD1">
          <w:rPr>
            <w:rFonts w:ascii="Calibri" w:hAnsi="Calibri" w:cs="Calibri"/>
            <w:b/>
            <w:color w:val="0000FF"/>
            <w:spacing w:val="-4"/>
            <w:u w:val="single" w:color="0000FF"/>
          </w:rPr>
          <w:t>LA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Earned</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Income</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Credit</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10377EF0" w14:textId="77777777" w:rsidR="00E43496" w:rsidRPr="00DD7BD1" w:rsidRDefault="00E43496" w:rsidP="00E43496">
      <w:pPr>
        <w:widowControl w:val="0"/>
        <w:tabs>
          <w:tab w:val="left" w:pos="1080"/>
        </w:tabs>
        <w:autoSpaceDE w:val="0"/>
        <w:autoSpaceDN w:val="0"/>
        <w:spacing w:before="7" w:after="0" w:line="240" w:lineRule="auto"/>
        <w:ind w:left="630"/>
        <w:rPr>
          <w:rFonts w:ascii="Calibri" w:hAnsi="Calibri" w:cs="Calibri"/>
        </w:rPr>
      </w:pPr>
      <w:r w:rsidRPr="00DD7BD1">
        <w:rPr>
          <w:rFonts w:ascii="Calibri" w:hAnsi="Calibri" w:cs="Calibri"/>
          <w:b/>
        </w:rPr>
        <w:t>NE</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newly</w:t>
      </w:r>
      <w:r w:rsidRPr="00DD7BD1">
        <w:rPr>
          <w:rFonts w:ascii="Calibri" w:hAnsi="Calibri" w:cs="Calibri"/>
          <w:spacing w:val="-3"/>
        </w:rPr>
        <w:t xml:space="preserve"> </w:t>
      </w:r>
      <w:r w:rsidRPr="00DD7BD1">
        <w:rPr>
          <w:rFonts w:ascii="Calibri" w:hAnsi="Calibri" w:cs="Calibri"/>
        </w:rPr>
        <w:t>released</w:t>
      </w:r>
      <w:r w:rsidRPr="00DD7BD1">
        <w:rPr>
          <w:rFonts w:ascii="Calibri" w:hAnsi="Calibri" w:cs="Calibri"/>
          <w:spacing w:val="-4"/>
        </w:rPr>
        <w:t xml:space="preserve"> </w:t>
      </w:r>
      <w:hyperlink r:id="rId110">
        <w:r w:rsidRPr="00DD7BD1">
          <w:rPr>
            <w:rFonts w:ascii="Calibri" w:hAnsi="Calibri" w:cs="Calibri"/>
            <w:b/>
            <w:color w:val="0000FF"/>
            <w:u w:val="single" w:color="0000FF"/>
          </w:rPr>
          <w:t>NE</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Paid</w:t>
        </w:r>
        <w:r w:rsidRPr="00DD7BD1">
          <w:rPr>
            <w:rFonts w:ascii="Calibri" w:hAnsi="Calibri" w:cs="Calibri"/>
            <w:b/>
            <w:color w:val="0000FF"/>
            <w:spacing w:val="-3"/>
            <w:u w:val="single" w:color="0000FF"/>
          </w:rPr>
          <w:t xml:space="preserve"> </w:t>
        </w:r>
        <w:r w:rsidRPr="00DD7BD1">
          <w:rPr>
            <w:rFonts w:ascii="Calibri" w:hAnsi="Calibri" w:cs="Calibri"/>
            <w:b/>
            <w:color w:val="0000FF"/>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4"/>
            <w:u w:val="single" w:color="0000FF"/>
          </w:rPr>
          <w:t xml:space="preserve"> </w:t>
        </w:r>
        <w:r w:rsidRPr="00DD7BD1">
          <w:rPr>
            <w:rFonts w:ascii="Calibri" w:hAnsi="Calibri" w:cs="Calibri"/>
            <w:b/>
            <w:color w:val="0000FF"/>
            <w:spacing w:val="-2"/>
            <w:u w:val="single" w:color="0000FF"/>
          </w:rPr>
          <w:t>Notice</w:t>
        </w:r>
      </w:hyperlink>
    </w:p>
    <w:p w14:paraId="3C0D89D7"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2"/>
        </w:rPr>
        <w:t>MD</w:t>
      </w:r>
      <w:r w:rsidRPr="00DD7BD1">
        <w:rPr>
          <w:rFonts w:ascii="Calibri" w:hAnsi="Calibri" w:cs="Calibri"/>
          <w:b/>
          <w:spacing w:val="-11"/>
        </w:rPr>
        <w:t xml:space="preserve"> </w:t>
      </w:r>
      <w:r w:rsidRPr="00DD7BD1">
        <w:rPr>
          <w:rFonts w:ascii="Calibri" w:hAnsi="Calibri" w:cs="Calibri"/>
          <w:b/>
          <w:spacing w:val="-2"/>
        </w:rPr>
        <w:t>–</w:t>
      </w:r>
      <w:r w:rsidRPr="00DD7BD1">
        <w:rPr>
          <w:rFonts w:ascii="Calibri" w:hAnsi="Calibri" w:cs="Calibri"/>
          <w:b/>
          <w:spacing w:val="-8"/>
        </w:rPr>
        <w:t xml:space="preserve"> </w:t>
      </w:r>
      <w:r w:rsidRPr="00DD7BD1">
        <w:rPr>
          <w:rFonts w:ascii="Calibri" w:hAnsi="Calibri" w:cs="Calibri"/>
          <w:spacing w:val="-2"/>
        </w:rPr>
        <w:t>updated</w:t>
      </w:r>
      <w:r w:rsidRPr="00DD7BD1">
        <w:rPr>
          <w:rFonts w:ascii="Calibri" w:hAnsi="Calibri" w:cs="Calibri"/>
          <w:spacing w:val="-10"/>
        </w:rPr>
        <w:t xml:space="preserve"> </w:t>
      </w:r>
      <w:hyperlink r:id="rId111">
        <w:r w:rsidRPr="00DD7BD1">
          <w:rPr>
            <w:rFonts w:ascii="Calibri" w:hAnsi="Calibri" w:cs="Calibri"/>
            <w:b/>
            <w:color w:val="0000FF"/>
            <w:spacing w:val="-2"/>
            <w:u w:val="single" w:color="0000FF"/>
          </w:rPr>
          <w:t>Maryland</w:t>
        </w:r>
        <w:r w:rsidRPr="00DD7BD1">
          <w:rPr>
            <w:rFonts w:ascii="Calibri" w:hAnsi="Calibri" w:cs="Calibri"/>
            <w:b/>
            <w:color w:val="0000FF"/>
            <w:spacing w:val="-10"/>
            <w:u w:val="single" w:color="0000FF"/>
          </w:rPr>
          <w:t xml:space="preserve"> </w:t>
        </w:r>
        <w:r w:rsidRPr="00DD7BD1">
          <w:rPr>
            <w:rFonts w:ascii="Calibri" w:hAnsi="Calibri" w:cs="Calibri"/>
            <w:b/>
            <w:color w:val="0000FF"/>
            <w:spacing w:val="-2"/>
            <w:u w:val="single" w:color="0000FF"/>
          </w:rPr>
          <w:t>OSHA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2"/>
            <w:u w:val="single" w:color="0000FF"/>
          </w:rPr>
          <w:t>Notice</w:t>
        </w:r>
        <w:r w:rsidRPr="00DD7BD1">
          <w:rPr>
            <w:rFonts w:ascii="Calibri" w:hAnsi="Calibri" w:cs="Calibri"/>
            <w:b/>
            <w:color w:val="0000FF"/>
            <w:spacing w:val="40"/>
            <w:u w:val="single" w:color="0000FF"/>
          </w:rPr>
          <w:t xml:space="preserve"> </w:t>
        </w:r>
      </w:hyperlink>
    </w:p>
    <w:p w14:paraId="6E6DCFF9" w14:textId="77777777" w:rsidR="00E43496" w:rsidRPr="00DD7BD1" w:rsidRDefault="00E43496" w:rsidP="00E43496">
      <w:pPr>
        <w:widowControl w:val="0"/>
        <w:tabs>
          <w:tab w:val="left" w:pos="1080"/>
          <w:tab w:val="left" w:pos="1440"/>
        </w:tabs>
        <w:autoSpaceDE w:val="0"/>
        <w:autoSpaceDN w:val="0"/>
        <w:spacing w:before="4" w:after="0" w:line="247" w:lineRule="auto"/>
        <w:ind w:left="630" w:right="981"/>
        <w:rPr>
          <w:rFonts w:ascii="Calibri" w:hAnsi="Calibri" w:cs="Calibri"/>
        </w:rPr>
      </w:pPr>
      <w:r w:rsidRPr="00DD7BD1">
        <w:rPr>
          <w:rFonts w:ascii="Calibri" w:hAnsi="Calibri" w:cs="Calibri"/>
          <w:b/>
        </w:rPr>
        <w:t>MO</w:t>
      </w:r>
      <w:r w:rsidRPr="00DD7BD1">
        <w:rPr>
          <w:rFonts w:ascii="Calibri" w:hAnsi="Calibri" w:cs="Calibri"/>
          <w:b/>
          <w:spacing w:val="-5"/>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112">
        <w:r w:rsidRPr="00DD7BD1">
          <w:rPr>
            <w:rFonts w:ascii="Calibri" w:hAnsi="Calibri" w:cs="Calibri"/>
            <w:b/>
            <w:color w:val="0000FF"/>
            <w:u w:val="single" w:color="0000FF"/>
          </w:rPr>
          <w:t>Missouri</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Minimum</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Notice</w:t>
        </w:r>
        <w:r w:rsidRPr="00DD7BD1">
          <w:rPr>
            <w:rFonts w:ascii="Calibri" w:hAnsi="Calibri" w:cs="Calibri"/>
            <w:b/>
            <w:color w:val="0000FF"/>
            <w:spacing w:val="-4"/>
          </w:rPr>
          <w:t xml:space="preserve"> </w:t>
        </w:r>
        <w:r w:rsidRPr="00DD7BD1">
          <w:rPr>
            <w:rFonts w:ascii="Calibri" w:hAnsi="Calibri" w:cs="Calibri"/>
          </w:rPr>
          <w:t>(8/28/25-13/31/2025)</w:t>
        </w:r>
      </w:hyperlink>
      <w:r w:rsidRPr="00DD7BD1">
        <w:rPr>
          <w:rFonts w:ascii="Calibri" w:hAnsi="Calibri" w:cs="Calibri"/>
          <w:spacing w:val="-5"/>
        </w:rPr>
        <w:t xml:space="preserve"> </w:t>
      </w:r>
      <w:r w:rsidRPr="00DD7BD1">
        <w:rPr>
          <w:rFonts w:ascii="Calibri" w:hAnsi="Calibri" w:cs="Calibri"/>
          <w:b/>
        </w:rPr>
        <w:t>&amp;</w:t>
      </w:r>
      <w:r w:rsidRPr="00DD7BD1">
        <w:rPr>
          <w:rFonts w:ascii="Calibri" w:hAnsi="Calibri" w:cs="Calibri"/>
          <w:b/>
          <w:spacing w:val="-3"/>
        </w:rPr>
        <w:t xml:space="preserve"> </w:t>
      </w:r>
      <w:r w:rsidRPr="00DD7BD1">
        <w:rPr>
          <w:rFonts w:ascii="Calibri" w:hAnsi="Calibri" w:cs="Calibri"/>
          <w:b/>
          <w:u w:val="single"/>
        </w:rPr>
        <w:t>removing</w:t>
      </w:r>
      <w:r w:rsidRPr="00DD7BD1">
        <w:rPr>
          <w:rFonts w:ascii="Calibri" w:hAnsi="Calibri" w:cs="Calibri"/>
          <w:b/>
          <w:spacing w:val="-1"/>
        </w:rPr>
        <w:t xml:space="preserve"> </w:t>
      </w:r>
      <w:r w:rsidRPr="00DD7BD1">
        <w:rPr>
          <w:rFonts w:ascii="Calibri" w:hAnsi="Calibri" w:cs="Calibri"/>
          <w:b/>
        </w:rPr>
        <w:t>of</w:t>
      </w:r>
      <w:r w:rsidRPr="00DD7BD1">
        <w:rPr>
          <w:rFonts w:ascii="Calibri" w:hAnsi="Calibri" w:cs="Calibri"/>
          <w:b/>
          <w:spacing w:val="-4"/>
        </w:rPr>
        <w:t xml:space="preserve"> </w:t>
      </w:r>
      <w:r w:rsidRPr="00DD7BD1">
        <w:rPr>
          <w:rFonts w:ascii="Calibri" w:hAnsi="Calibri" w:cs="Calibri"/>
          <w:b/>
        </w:rPr>
        <w:t>the</w:t>
      </w:r>
      <w:r w:rsidRPr="00DD7BD1">
        <w:rPr>
          <w:rFonts w:ascii="Calibri" w:hAnsi="Calibri" w:cs="Calibri"/>
          <w:b/>
          <w:spacing w:val="-6"/>
        </w:rPr>
        <w:t xml:space="preserve"> </w:t>
      </w:r>
      <w:r w:rsidRPr="00DD7BD1">
        <w:rPr>
          <w:rFonts w:ascii="Calibri" w:hAnsi="Calibri" w:cs="Calibri"/>
          <w:b/>
        </w:rPr>
        <w:t>Earned</w:t>
      </w:r>
      <w:r w:rsidRPr="00DD7BD1">
        <w:rPr>
          <w:rFonts w:ascii="Calibri" w:hAnsi="Calibri" w:cs="Calibri"/>
          <w:b/>
          <w:spacing w:val="-7"/>
        </w:rPr>
        <w:t xml:space="preserve"> </w:t>
      </w:r>
      <w:r w:rsidRPr="00DD7BD1">
        <w:rPr>
          <w:rFonts w:ascii="Calibri" w:hAnsi="Calibri" w:cs="Calibri"/>
          <w:b/>
        </w:rPr>
        <w:t xml:space="preserve">Paid </w:t>
      </w:r>
      <w:r w:rsidRPr="00DD7BD1">
        <w:rPr>
          <w:rFonts w:ascii="Calibri" w:hAnsi="Calibri" w:cs="Calibri"/>
          <w:b/>
          <w:w w:val="105"/>
        </w:rPr>
        <w:t>Sick</w:t>
      </w:r>
      <w:r w:rsidRPr="00DD7BD1">
        <w:rPr>
          <w:rFonts w:ascii="Calibri" w:hAnsi="Calibri" w:cs="Calibri"/>
          <w:b/>
          <w:spacing w:val="-17"/>
          <w:w w:val="105"/>
        </w:rPr>
        <w:t xml:space="preserve"> </w:t>
      </w:r>
      <w:r w:rsidRPr="00DD7BD1">
        <w:rPr>
          <w:rFonts w:ascii="Calibri" w:hAnsi="Calibri" w:cs="Calibri"/>
          <w:b/>
          <w:w w:val="105"/>
        </w:rPr>
        <w:t>Time</w:t>
      </w:r>
      <w:r w:rsidRPr="00DD7BD1">
        <w:rPr>
          <w:rFonts w:ascii="Calibri" w:hAnsi="Calibri" w:cs="Calibri"/>
          <w:b/>
          <w:spacing w:val="-16"/>
          <w:w w:val="105"/>
        </w:rPr>
        <w:t xml:space="preserve"> </w:t>
      </w:r>
      <w:r w:rsidRPr="00DD7BD1">
        <w:rPr>
          <w:rFonts w:ascii="Calibri" w:hAnsi="Calibri" w:cs="Calibri"/>
          <w:b/>
          <w:w w:val="105"/>
        </w:rPr>
        <w:t>Notice</w:t>
      </w:r>
    </w:p>
    <w:p w14:paraId="05D07F9E" w14:textId="77777777" w:rsidR="00E43496" w:rsidRPr="00DD7BD1" w:rsidRDefault="00E43496" w:rsidP="00E43496">
      <w:pPr>
        <w:widowControl w:val="0"/>
        <w:tabs>
          <w:tab w:val="left" w:pos="1080"/>
        </w:tabs>
        <w:autoSpaceDE w:val="0"/>
        <w:autoSpaceDN w:val="0"/>
        <w:spacing w:after="0" w:line="269" w:lineRule="exact"/>
        <w:ind w:left="630"/>
        <w:rPr>
          <w:rFonts w:ascii="Calibri" w:hAnsi="Calibri" w:cs="Calibri"/>
        </w:rPr>
      </w:pPr>
      <w:r w:rsidRPr="00DD7BD1">
        <w:rPr>
          <w:rFonts w:ascii="Calibri" w:hAnsi="Calibri" w:cs="Calibri"/>
          <w:b/>
        </w:rPr>
        <w:t>NJ</w:t>
      </w:r>
      <w:r w:rsidRPr="00DD7BD1">
        <w:rPr>
          <w:rFonts w:ascii="Calibri" w:hAnsi="Calibri" w:cs="Calibri"/>
          <w:b/>
          <w:spacing w:val="-8"/>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113">
        <w:r w:rsidRPr="00DD7BD1">
          <w:rPr>
            <w:rFonts w:ascii="Calibri" w:hAnsi="Calibri" w:cs="Calibri"/>
            <w:b/>
            <w:color w:val="0000FF"/>
            <w:u w:val="single" w:color="0000FF"/>
          </w:rPr>
          <w:t>NJ</w:t>
        </w:r>
        <w:r w:rsidRPr="00DD7BD1">
          <w:rPr>
            <w:rFonts w:ascii="Calibri" w:hAnsi="Calibri" w:cs="Calibri"/>
            <w:b/>
            <w:color w:val="0000FF"/>
            <w:spacing w:val="-10"/>
            <w:u w:val="single" w:color="0000FF"/>
          </w:rPr>
          <w:t xml:space="preserve"> </w:t>
        </w:r>
        <w:r w:rsidRPr="00DD7BD1">
          <w:rPr>
            <w:rFonts w:ascii="Calibri" w:hAnsi="Calibri" w:cs="Calibri"/>
            <w:b/>
            <w:color w:val="0000FF"/>
            <w:u w:val="single" w:color="0000FF"/>
          </w:rPr>
          <w:t>Family</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7"/>
            <w:u w:val="single" w:color="0000FF"/>
          </w:rPr>
          <w:t xml:space="preserve"> </w:t>
        </w:r>
        <w:r w:rsidRPr="00DD7BD1">
          <w:rPr>
            <w:rFonts w:ascii="Calibri" w:hAnsi="Calibri" w:cs="Calibri"/>
            <w:b/>
            <w:color w:val="0000FF"/>
            <w:u w:val="single" w:color="0000FF"/>
          </w:rPr>
          <w:t>Insurance</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7"/>
        </w:rPr>
        <w:t xml:space="preserve"> </w:t>
      </w:r>
      <w:r w:rsidRPr="00DD7BD1">
        <w:rPr>
          <w:rFonts w:ascii="Calibri" w:hAnsi="Calibri" w:cs="Calibri"/>
          <w:spacing w:val="-2"/>
        </w:rPr>
        <w:t>(9/25)</w:t>
      </w:r>
    </w:p>
    <w:p w14:paraId="2ABC8320"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6"/>
        </w:rPr>
        <w:t>OK</w:t>
      </w:r>
      <w:r w:rsidRPr="00DD7BD1">
        <w:rPr>
          <w:rFonts w:ascii="Calibri" w:hAnsi="Calibri" w:cs="Calibri"/>
          <w:b/>
          <w:spacing w:val="4"/>
        </w:rPr>
        <w:t xml:space="preserve"> </w:t>
      </w:r>
      <w:r w:rsidRPr="00DD7BD1">
        <w:rPr>
          <w:rFonts w:ascii="Calibri" w:hAnsi="Calibri" w:cs="Calibri"/>
          <w:spacing w:val="-6"/>
        </w:rPr>
        <w:t>–</w:t>
      </w:r>
      <w:r w:rsidRPr="00DD7BD1">
        <w:rPr>
          <w:rFonts w:ascii="Calibri" w:hAnsi="Calibri" w:cs="Calibri"/>
          <w:spacing w:val="3"/>
        </w:rPr>
        <w:t xml:space="preserve"> </w:t>
      </w:r>
      <w:r w:rsidRPr="00DD7BD1">
        <w:rPr>
          <w:rFonts w:ascii="Calibri" w:hAnsi="Calibri" w:cs="Calibri"/>
          <w:spacing w:val="-6"/>
        </w:rPr>
        <w:t>updated</w:t>
      </w:r>
      <w:r w:rsidRPr="00DD7BD1">
        <w:rPr>
          <w:rFonts w:ascii="Calibri" w:hAnsi="Calibri" w:cs="Calibri"/>
          <w:spacing w:val="1"/>
        </w:rPr>
        <w:t xml:space="preserve"> </w:t>
      </w:r>
      <w:hyperlink r:id="rId114">
        <w:r w:rsidRPr="00DD7BD1">
          <w:rPr>
            <w:rFonts w:ascii="Calibri" w:hAnsi="Calibri" w:cs="Calibri"/>
            <w:b/>
            <w:color w:val="0000FF"/>
            <w:spacing w:val="-6"/>
            <w:u w:val="single" w:color="0000FF"/>
          </w:rPr>
          <w:t>Unemployment</w:t>
        </w:r>
        <w:r w:rsidRPr="00DD7BD1">
          <w:rPr>
            <w:rFonts w:ascii="Calibri" w:hAnsi="Calibri" w:cs="Calibri"/>
            <w:b/>
            <w:color w:val="0000FF"/>
            <w:spacing w:val="2"/>
            <w:u w:val="single" w:color="0000FF"/>
          </w:rPr>
          <w:t xml:space="preserve"> </w:t>
        </w:r>
        <w:r w:rsidRPr="00DD7BD1">
          <w:rPr>
            <w:rFonts w:ascii="Calibri" w:hAnsi="Calibri" w:cs="Calibri"/>
            <w:b/>
            <w:color w:val="0000FF"/>
            <w:spacing w:val="-6"/>
            <w:u w:val="single" w:color="0000FF"/>
          </w:rPr>
          <w:t>Insurance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Benefits</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Notice</w:t>
        </w:r>
        <w:r w:rsidRPr="00DD7BD1">
          <w:rPr>
            <w:rFonts w:ascii="Calibri" w:hAnsi="Calibri" w:cs="Calibri"/>
            <w:b/>
            <w:color w:val="0000FF"/>
            <w:spacing w:val="8"/>
            <w:u w:val="single" w:color="0000FF"/>
          </w:rPr>
          <w:t xml:space="preserve"> </w:t>
        </w:r>
        <w:r w:rsidRPr="00DD7BD1">
          <w:rPr>
            <w:rFonts w:ascii="Calibri" w:hAnsi="Calibri" w:cs="Calibri"/>
            <w:b/>
            <w:color w:val="0000FF"/>
            <w:spacing w:val="-6"/>
            <w:u w:val="single" w:color="0000FF"/>
          </w:rPr>
          <w:t>(OES-044)</w:t>
        </w:r>
      </w:hyperlink>
    </w:p>
    <w:p w14:paraId="1CFF3B58"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RI</w:t>
      </w:r>
      <w:r w:rsidRPr="00DD7BD1">
        <w:rPr>
          <w:rFonts w:ascii="Calibri" w:hAnsi="Calibri" w:cs="Calibri"/>
          <w:b/>
          <w:spacing w:val="-5"/>
        </w:rPr>
        <w:t xml:space="preserve"> </w:t>
      </w:r>
      <w:r w:rsidRPr="00DD7BD1">
        <w:rPr>
          <w:rFonts w:ascii="Calibri" w:hAnsi="Calibri" w:cs="Calibri"/>
          <w:b/>
          <w:spacing w:val="-4"/>
        </w:rPr>
        <w:t>–</w:t>
      </w:r>
      <w:r w:rsidRPr="00DD7BD1">
        <w:rPr>
          <w:rFonts w:ascii="Calibri" w:hAnsi="Calibri" w:cs="Calibri"/>
          <w:b/>
          <w:spacing w:val="-7"/>
        </w:rPr>
        <w:t xml:space="preserve"> </w:t>
      </w:r>
      <w:r w:rsidRPr="00DD7BD1">
        <w:rPr>
          <w:rFonts w:ascii="Calibri" w:hAnsi="Calibri" w:cs="Calibri"/>
          <w:spacing w:val="-4"/>
        </w:rPr>
        <w:t>updated</w:t>
      </w:r>
      <w:r w:rsidRPr="00DD7BD1">
        <w:rPr>
          <w:rFonts w:ascii="Calibri" w:hAnsi="Calibri" w:cs="Calibri"/>
          <w:spacing w:val="-6"/>
        </w:rPr>
        <w:t xml:space="preserve"> </w:t>
      </w:r>
      <w:hyperlink r:id="rId115">
        <w:r w:rsidRPr="00DD7BD1">
          <w:rPr>
            <w:rFonts w:ascii="Calibri" w:hAnsi="Calibri" w:cs="Calibri"/>
            <w:b/>
            <w:color w:val="0000FF"/>
            <w:spacing w:val="-4"/>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and</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Safe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Leave Notice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Discrimination/Fair</w:t>
        </w:r>
        <w:r w:rsidRPr="00DD7BD1">
          <w:rPr>
            <w:rFonts w:ascii="Calibri" w:hAnsi="Calibri" w:cs="Calibri"/>
            <w:b/>
            <w:color w:val="0000FF"/>
            <w:spacing w:val="-6"/>
            <w:u w:val="single" w:color="0000FF"/>
          </w:rPr>
          <w:t xml:space="preserve"> </w:t>
        </w:r>
        <w:r w:rsidRPr="00DD7BD1">
          <w:rPr>
            <w:rFonts w:ascii="Calibri" w:hAnsi="Calibri" w:cs="Calibri"/>
            <w:b/>
            <w:color w:val="0000FF"/>
            <w:spacing w:val="-4"/>
            <w:u w:val="single" w:color="0000FF"/>
          </w:rPr>
          <w:t>Employment</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Notice</w:t>
        </w:r>
      </w:hyperlink>
    </w:p>
    <w:p w14:paraId="069454D9"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8"/>
        </w:rPr>
        <w:t>UT</w:t>
      </w:r>
      <w:r w:rsidRPr="00DD7BD1">
        <w:rPr>
          <w:rFonts w:ascii="Calibri" w:hAnsi="Calibri" w:cs="Calibri"/>
          <w:b/>
          <w:spacing w:val="1"/>
        </w:rPr>
        <w:t xml:space="preserve"> </w:t>
      </w:r>
      <w:r w:rsidRPr="00DD7BD1">
        <w:rPr>
          <w:rFonts w:ascii="Calibri" w:hAnsi="Calibri" w:cs="Calibri"/>
          <w:b/>
          <w:spacing w:val="-8"/>
        </w:rPr>
        <w:t>–</w:t>
      </w:r>
      <w:r w:rsidRPr="00DD7BD1">
        <w:rPr>
          <w:rFonts w:ascii="Calibri" w:hAnsi="Calibri" w:cs="Calibri"/>
          <w:b/>
          <w:spacing w:val="-2"/>
        </w:rPr>
        <w:t xml:space="preserve"> </w:t>
      </w:r>
      <w:r w:rsidRPr="00DD7BD1">
        <w:rPr>
          <w:rFonts w:ascii="Calibri" w:hAnsi="Calibri" w:cs="Calibri"/>
          <w:spacing w:val="-8"/>
        </w:rPr>
        <w:t>updated</w:t>
      </w:r>
      <w:r w:rsidRPr="00DD7BD1">
        <w:rPr>
          <w:rFonts w:ascii="Calibri" w:hAnsi="Calibri" w:cs="Calibri"/>
        </w:rPr>
        <w:t xml:space="preserve"> </w:t>
      </w:r>
      <w:hyperlink r:id="rId116">
        <w:r w:rsidRPr="00DD7BD1">
          <w:rPr>
            <w:rFonts w:ascii="Calibri" w:hAnsi="Calibri" w:cs="Calibri"/>
            <w:b/>
            <w:color w:val="0000FF"/>
            <w:spacing w:val="-8"/>
            <w:u w:val="single" w:color="0000FF"/>
          </w:rPr>
          <w:t>Workplace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8"/>
            <w:u w:val="single" w:color="0000FF"/>
          </w:rPr>
          <w:t>Safety</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and</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Health</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(UOSH)</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Notice</w:t>
        </w:r>
      </w:hyperlink>
    </w:p>
    <w:p w14:paraId="0387ACF4" w14:textId="77777777" w:rsidR="00E43496" w:rsidRPr="00DD7BD1" w:rsidRDefault="00E43496" w:rsidP="00E43496">
      <w:pPr>
        <w:widowControl w:val="0"/>
        <w:tabs>
          <w:tab w:val="left" w:pos="1080"/>
          <w:tab w:val="left" w:pos="1440"/>
        </w:tabs>
        <w:autoSpaceDE w:val="0"/>
        <w:autoSpaceDN w:val="0"/>
        <w:spacing w:before="4" w:after="0" w:line="247" w:lineRule="auto"/>
        <w:ind w:left="630" w:right="831"/>
        <w:rPr>
          <w:rFonts w:ascii="Calibri" w:hAnsi="Calibri" w:cs="Calibri"/>
        </w:rPr>
      </w:pPr>
      <w:r w:rsidRPr="00DD7BD1">
        <w:rPr>
          <w:rFonts w:ascii="Calibri" w:hAnsi="Calibri" w:cs="Calibri"/>
          <w:b/>
        </w:rPr>
        <w:t>VA</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3"/>
        </w:rPr>
        <w:t xml:space="preserve"> </w:t>
      </w:r>
      <w:hyperlink r:id="rId117">
        <w:r w:rsidRPr="00DD7BD1">
          <w:rPr>
            <w:rFonts w:ascii="Calibri" w:hAnsi="Calibri" w:cs="Calibri"/>
            <w:b/>
            <w:color w:val="0000FF"/>
            <w:u w:val="single" w:color="0000FF"/>
          </w:rPr>
          <w:t>Job</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Safety</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and</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Health</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Protection</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(VOSH/OSHA)</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Additionally,</w:t>
      </w:r>
      <w:r w:rsidRPr="00DD7BD1">
        <w:rPr>
          <w:rFonts w:ascii="Calibri" w:hAnsi="Calibri" w:cs="Calibri"/>
          <w:spacing w:val="-7"/>
        </w:rPr>
        <w:t xml:space="preserve"> </w:t>
      </w:r>
      <w:r w:rsidRPr="00DD7BD1">
        <w:rPr>
          <w:rFonts w:ascii="Calibri" w:hAnsi="Calibri" w:cs="Calibri"/>
        </w:rPr>
        <w:t>the</w:t>
      </w:r>
      <w:r w:rsidRPr="00DD7BD1">
        <w:rPr>
          <w:rFonts w:ascii="Calibri" w:hAnsi="Calibri" w:cs="Calibri"/>
          <w:spacing w:val="-7"/>
        </w:rPr>
        <w:t xml:space="preserve"> </w:t>
      </w:r>
      <w:r w:rsidRPr="00DD7BD1">
        <w:rPr>
          <w:rFonts w:ascii="Calibri" w:hAnsi="Calibri" w:cs="Calibri"/>
        </w:rPr>
        <w:t>following</w:t>
      </w:r>
      <w:r w:rsidRPr="00DD7BD1">
        <w:rPr>
          <w:rFonts w:ascii="Calibri" w:hAnsi="Calibri" w:cs="Calibri"/>
          <w:spacing w:val="-8"/>
        </w:rPr>
        <w:t xml:space="preserve"> </w:t>
      </w:r>
      <w:r w:rsidRPr="00DD7BD1">
        <w:rPr>
          <w:rFonts w:ascii="Calibri" w:hAnsi="Calibri" w:cs="Calibri"/>
        </w:rPr>
        <w:t xml:space="preserve">have </w:t>
      </w:r>
      <w:r w:rsidRPr="00DD7BD1">
        <w:rPr>
          <w:rFonts w:ascii="Calibri" w:hAnsi="Calibri" w:cs="Calibri"/>
          <w:w w:val="110"/>
        </w:rPr>
        <w:t>also</w:t>
      </w:r>
      <w:r w:rsidRPr="00DD7BD1">
        <w:rPr>
          <w:rFonts w:ascii="Calibri" w:hAnsi="Calibri" w:cs="Calibri"/>
          <w:spacing w:val="-3"/>
          <w:w w:val="110"/>
        </w:rPr>
        <w:t xml:space="preserve"> </w:t>
      </w:r>
      <w:r w:rsidRPr="00DD7BD1">
        <w:rPr>
          <w:rFonts w:ascii="Calibri" w:hAnsi="Calibri" w:cs="Calibri"/>
          <w:w w:val="110"/>
        </w:rPr>
        <w:t>been</w:t>
      </w:r>
      <w:r w:rsidRPr="00DD7BD1">
        <w:rPr>
          <w:rFonts w:ascii="Calibri" w:hAnsi="Calibri" w:cs="Calibri"/>
          <w:spacing w:val="-3"/>
          <w:w w:val="110"/>
        </w:rPr>
        <w:t xml:space="preserve"> </w:t>
      </w:r>
      <w:r w:rsidRPr="00DD7BD1">
        <w:rPr>
          <w:rFonts w:ascii="Calibri" w:hAnsi="Calibri" w:cs="Calibri"/>
          <w:w w:val="110"/>
        </w:rPr>
        <w:t>updated:</w:t>
      </w:r>
      <w:r w:rsidRPr="00DD7BD1">
        <w:rPr>
          <w:rFonts w:ascii="Calibri" w:hAnsi="Calibri" w:cs="Calibri"/>
          <w:spacing w:val="-1"/>
          <w:w w:val="110"/>
        </w:rPr>
        <w:t xml:space="preserve"> </w:t>
      </w:r>
      <w:r w:rsidRPr="00DD7BD1">
        <w:rPr>
          <w:rFonts w:ascii="Calibri" w:hAnsi="Calibri" w:cs="Calibri"/>
          <w:w w:val="110"/>
        </w:rPr>
        <w:t>Unemployment</w:t>
      </w:r>
      <w:r w:rsidRPr="00DD7BD1">
        <w:rPr>
          <w:rFonts w:ascii="Calibri" w:hAnsi="Calibri" w:cs="Calibri"/>
          <w:spacing w:val="-1"/>
          <w:w w:val="110"/>
        </w:rPr>
        <w:t xml:space="preserve"> </w:t>
      </w:r>
      <w:r w:rsidRPr="00DD7BD1">
        <w:rPr>
          <w:rFonts w:ascii="Calibri" w:hAnsi="Calibri" w:cs="Calibri"/>
          <w:w w:val="110"/>
        </w:rPr>
        <w:t>Insurance,</w:t>
      </w:r>
      <w:r w:rsidRPr="00DD7BD1">
        <w:rPr>
          <w:rFonts w:ascii="Calibri" w:hAnsi="Calibri" w:cs="Calibri"/>
          <w:spacing w:val="-4"/>
          <w:w w:val="110"/>
        </w:rPr>
        <w:t xml:space="preserve"> </w:t>
      </w:r>
      <w:r w:rsidRPr="00DD7BD1">
        <w:rPr>
          <w:rFonts w:ascii="Calibri" w:hAnsi="Calibri" w:cs="Calibri"/>
          <w:w w:val="110"/>
        </w:rPr>
        <w:t>Accommodations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2"/>
          <w:w w:val="110"/>
        </w:rPr>
        <w:t xml:space="preserve"> </w:t>
      </w:r>
      <w:r w:rsidRPr="00DD7BD1">
        <w:rPr>
          <w:rFonts w:ascii="Calibri" w:hAnsi="Calibri" w:cs="Calibri"/>
          <w:w w:val="110"/>
        </w:rPr>
        <w:t>Pregnant</w:t>
      </w:r>
      <w:r w:rsidRPr="00DD7BD1">
        <w:rPr>
          <w:rFonts w:ascii="Calibri" w:hAnsi="Calibri" w:cs="Calibri"/>
          <w:spacing w:val="-2"/>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Child</w:t>
      </w:r>
      <w:r w:rsidRPr="00DD7BD1">
        <w:rPr>
          <w:rFonts w:ascii="Calibri" w:hAnsi="Calibri" w:cs="Calibri"/>
          <w:spacing w:val="-1"/>
          <w:w w:val="110"/>
        </w:rPr>
        <w:t xml:space="preserve"> </w:t>
      </w:r>
      <w:r w:rsidRPr="00DD7BD1">
        <w:rPr>
          <w:rFonts w:ascii="Calibri" w:hAnsi="Calibri" w:cs="Calibri"/>
          <w:w w:val="110"/>
        </w:rPr>
        <w:t>Labor Law,</w:t>
      </w:r>
      <w:r w:rsidRPr="00DD7BD1">
        <w:rPr>
          <w:rFonts w:ascii="Calibri" w:hAnsi="Calibri" w:cs="Calibri"/>
          <w:spacing w:val="-17"/>
          <w:w w:val="110"/>
        </w:rPr>
        <w:t xml:space="preserve"> </w:t>
      </w:r>
      <w:r w:rsidRPr="00DD7BD1">
        <w:rPr>
          <w:rFonts w:ascii="Calibri" w:hAnsi="Calibri" w:cs="Calibri"/>
          <w:w w:val="110"/>
        </w:rPr>
        <w:t>Employer’s</w:t>
      </w:r>
      <w:r w:rsidRPr="00DD7BD1">
        <w:rPr>
          <w:rFonts w:ascii="Calibri" w:hAnsi="Calibri" w:cs="Calibri"/>
          <w:spacing w:val="-17"/>
          <w:w w:val="110"/>
        </w:rPr>
        <w:t xml:space="preserve"> </w:t>
      </w:r>
      <w:r w:rsidRPr="00DD7BD1">
        <w:rPr>
          <w:rFonts w:ascii="Calibri" w:hAnsi="Calibri" w:cs="Calibri"/>
          <w:w w:val="110"/>
        </w:rPr>
        <w:t>Liability</w:t>
      </w:r>
      <w:r w:rsidRPr="00DD7BD1">
        <w:rPr>
          <w:rFonts w:ascii="Calibri" w:hAnsi="Calibri" w:cs="Calibri"/>
          <w:spacing w:val="-17"/>
          <w:w w:val="110"/>
        </w:rPr>
        <w:t xml:space="preserve"> </w:t>
      </w:r>
      <w:r w:rsidRPr="00DD7BD1">
        <w:rPr>
          <w:rFonts w:ascii="Calibri" w:hAnsi="Calibri" w:cs="Calibri"/>
          <w:w w:val="110"/>
        </w:rPr>
        <w:t>&amp;</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6"/>
          <w:w w:val="110"/>
        </w:rPr>
        <w:t xml:space="preserve"> </w:t>
      </w:r>
      <w:r w:rsidRPr="00DD7BD1">
        <w:rPr>
          <w:rFonts w:ascii="Calibri" w:hAnsi="Calibri" w:cs="Calibri"/>
          <w:w w:val="110"/>
        </w:rPr>
        <w:t>Employment</w:t>
      </w:r>
      <w:r w:rsidRPr="00DD7BD1">
        <w:rPr>
          <w:rFonts w:ascii="Calibri" w:hAnsi="Calibri" w:cs="Calibri"/>
          <w:spacing w:val="-17"/>
          <w:w w:val="110"/>
        </w:rPr>
        <w:t xml:space="preserve"> </w:t>
      </w:r>
      <w:r w:rsidRPr="00DD7BD1">
        <w:rPr>
          <w:rFonts w:ascii="Calibri" w:hAnsi="Calibri" w:cs="Calibri"/>
          <w:w w:val="110"/>
        </w:rPr>
        <w:t>Protections</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Victims</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Crime, Healthcare</w:t>
      </w:r>
      <w:r w:rsidRPr="00DD7BD1">
        <w:rPr>
          <w:rFonts w:ascii="Calibri" w:hAnsi="Calibri" w:cs="Calibri"/>
          <w:spacing w:val="-5"/>
          <w:w w:val="110"/>
        </w:rPr>
        <w:t xml:space="preserve"> </w:t>
      </w:r>
      <w:r w:rsidRPr="00DD7BD1">
        <w:rPr>
          <w:rFonts w:ascii="Calibri" w:hAnsi="Calibri" w:cs="Calibri"/>
          <w:w w:val="110"/>
        </w:rPr>
        <w:t>Whistleblower</w:t>
      </w:r>
      <w:r w:rsidRPr="00DD7BD1">
        <w:rPr>
          <w:rFonts w:ascii="Calibri" w:hAnsi="Calibri" w:cs="Calibri"/>
          <w:spacing w:val="-4"/>
          <w:w w:val="110"/>
        </w:rPr>
        <w:t xml:space="preserve"> </w:t>
      </w:r>
      <w:r w:rsidRPr="00DD7BD1">
        <w:rPr>
          <w:rFonts w:ascii="Calibri" w:hAnsi="Calibri" w:cs="Calibri"/>
          <w:w w:val="110"/>
        </w:rPr>
        <w:t>Protection,</w:t>
      </w:r>
      <w:r w:rsidRPr="00DD7BD1">
        <w:rPr>
          <w:rFonts w:ascii="Calibri" w:hAnsi="Calibri" w:cs="Calibri"/>
          <w:spacing w:val="-6"/>
          <w:w w:val="110"/>
        </w:rPr>
        <w:t xml:space="preserve"> </w:t>
      </w:r>
      <w:r w:rsidRPr="00DD7BD1">
        <w:rPr>
          <w:rFonts w:ascii="Calibri" w:hAnsi="Calibri" w:cs="Calibri"/>
          <w:w w:val="110"/>
        </w:rPr>
        <w:t>Parental</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2"/>
          <w:w w:val="110"/>
        </w:rPr>
        <w:t xml:space="preserve"> </w:t>
      </w:r>
      <w:r w:rsidRPr="00DD7BD1">
        <w:rPr>
          <w:rFonts w:ascii="Calibri" w:hAnsi="Calibri" w:cs="Calibri"/>
          <w:w w:val="110"/>
        </w:rPr>
        <w:t>Family</w:t>
      </w:r>
      <w:r w:rsidRPr="00DD7BD1">
        <w:rPr>
          <w:rFonts w:ascii="Calibri" w:hAnsi="Calibri" w:cs="Calibri"/>
          <w:spacing w:val="-5"/>
          <w:w w:val="110"/>
        </w:rPr>
        <w:t xml:space="preserve"> </w:t>
      </w:r>
      <w:r w:rsidRPr="00DD7BD1">
        <w:rPr>
          <w:rFonts w:ascii="Calibri" w:hAnsi="Calibri" w:cs="Calibri"/>
          <w:w w:val="110"/>
        </w:rPr>
        <w:t>Leave,</w:t>
      </w:r>
      <w:r w:rsidRPr="00DD7BD1">
        <w:rPr>
          <w:rFonts w:ascii="Calibri" w:hAnsi="Calibri" w:cs="Calibri"/>
          <w:spacing w:val="-6"/>
          <w:w w:val="110"/>
        </w:rPr>
        <w:t xml:space="preserve"> </w:t>
      </w:r>
      <w:r w:rsidRPr="00DD7BD1">
        <w:rPr>
          <w:rFonts w:ascii="Calibri" w:hAnsi="Calibri" w:cs="Calibri"/>
          <w:w w:val="110"/>
        </w:rPr>
        <w:t>Safety</w:t>
      </w:r>
      <w:r w:rsidRPr="00DD7BD1">
        <w:rPr>
          <w:rFonts w:ascii="Calibri" w:hAnsi="Calibri" w:cs="Calibri"/>
          <w:spacing w:val="-5"/>
          <w:w w:val="110"/>
        </w:rPr>
        <w:t xml:space="preserve"> </w:t>
      </w:r>
      <w:r w:rsidRPr="00DD7BD1">
        <w:rPr>
          <w:rFonts w:ascii="Calibri" w:hAnsi="Calibri" w:cs="Calibri"/>
          <w:w w:val="110"/>
        </w:rPr>
        <w:t>Records</w:t>
      </w:r>
      <w:r w:rsidRPr="00DD7BD1">
        <w:rPr>
          <w:rFonts w:ascii="Calibri" w:hAnsi="Calibri" w:cs="Calibri"/>
          <w:spacing w:val="-5"/>
          <w:w w:val="110"/>
        </w:rPr>
        <w:t xml:space="preserve"> </w:t>
      </w:r>
      <w:r w:rsidRPr="00DD7BD1">
        <w:rPr>
          <w:rFonts w:ascii="Calibri" w:hAnsi="Calibri" w:cs="Calibri"/>
          <w:w w:val="110"/>
        </w:rPr>
        <w:t>Notice,</w:t>
      </w:r>
      <w:r w:rsidRPr="00DD7BD1">
        <w:rPr>
          <w:rFonts w:ascii="Calibri" w:hAnsi="Calibri" w:cs="Calibri"/>
          <w:spacing w:val="-6"/>
          <w:w w:val="110"/>
        </w:rPr>
        <w:t xml:space="preserve"> </w:t>
      </w:r>
      <w:r w:rsidRPr="00DD7BD1">
        <w:rPr>
          <w:rFonts w:ascii="Calibri" w:hAnsi="Calibri" w:cs="Calibri"/>
          <w:w w:val="110"/>
        </w:rPr>
        <w:t>Sexual Harassment</w:t>
      </w:r>
      <w:r w:rsidRPr="00DD7BD1">
        <w:rPr>
          <w:rFonts w:ascii="Calibri" w:hAnsi="Calibri" w:cs="Calibri"/>
          <w:spacing w:val="-17"/>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Earned</w:t>
      </w:r>
      <w:r w:rsidRPr="00DD7BD1">
        <w:rPr>
          <w:rFonts w:ascii="Calibri" w:hAnsi="Calibri" w:cs="Calibri"/>
          <w:spacing w:val="-17"/>
          <w:w w:val="110"/>
        </w:rPr>
        <w:t xml:space="preserve"> </w:t>
      </w:r>
      <w:r w:rsidRPr="00DD7BD1">
        <w:rPr>
          <w:rFonts w:ascii="Calibri" w:hAnsi="Calibri" w:cs="Calibri"/>
          <w:w w:val="110"/>
        </w:rPr>
        <w:t>Sick</w:t>
      </w:r>
      <w:r w:rsidRPr="00DD7BD1">
        <w:rPr>
          <w:rFonts w:ascii="Calibri" w:hAnsi="Calibri" w:cs="Calibri"/>
          <w:spacing w:val="-17"/>
          <w:w w:val="110"/>
        </w:rPr>
        <w:t xml:space="preserve"> </w:t>
      </w:r>
      <w:r w:rsidRPr="00DD7BD1">
        <w:rPr>
          <w:rFonts w:ascii="Calibri" w:hAnsi="Calibri" w:cs="Calibri"/>
          <w:w w:val="110"/>
        </w:rPr>
        <w:t>Time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6"/>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7"/>
          <w:w w:val="110"/>
        </w:rPr>
        <w:t xml:space="preserve"> </w:t>
      </w:r>
      <w:r w:rsidRPr="00DD7BD1">
        <w:rPr>
          <w:rFonts w:ascii="Calibri" w:hAnsi="Calibri" w:cs="Calibri"/>
          <w:w w:val="110"/>
        </w:rPr>
        <w:t>Reinstatement</w:t>
      </w:r>
      <w:r w:rsidRPr="00DD7BD1">
        <w:rPr>
          <w:rFonts w:ascii="Calibri" w:hAnsi="Calibri" w:cs="Calibri"/>
          <w:spacing w:val="-17"/>
          <w:w w:val="110"/>
        </w:rPr>
        <w:t xml:space="preserve"> </w:t>
      </w:r>
      <w:r w:rsidRPr="00DD7BD1">
        <w:rPr>
          <w:rFonts w:ascii="Calibri" w:hAnsi="Calibri" w:cs="Calibri"/>
          <w:w w:val="110"/>
        </w:rPr>
        <w:t>Rights.</w:t>
      </w:r>
      <w:r w:rsidRPr="00DD7BD1">
        <w:rPr>
          <w:rFonts w:ascii="Calibri" w:hAnsi="Calibri" w:cs="Calibri"/>
          <w:spacing w:val="12"/>
          <w:w w:val="110"/>
        </w:rPr>
        <w:t xml:space="preserve"> </w:t>
      </w:r>
      <w:r w:rsidRPr="00DD7BD1">
        <w:rPr>
          <w:rFonts w:ascii="Calibri" w:hAnsi="Calibri" w:cs="Calibri"/>
          <w:w w:val="110"/>
        </w:rPr>
        <w:t xml:space="preserve">Access State released Labor Notices/Posters </w:t>
      </w:r>
      <w:hyperlink r:id="rId118">
        <w:r w:rsidRPr="00DD7BD1">
          <w:rPr>
            <w:rFonts w:ascii="Calibri" w:hAnsi="Calibri" w:cs="Calibri"/>
            <w:b/>
            <w:color w:val="0000FF"/>
            <w:w w:val="110"/>
            <w:u w:val="single" w:color="0000FF"/>
          </w:rPr>
          <w:t>HERE</w:t>
        </w:r>
        <w:r w:rsidRPr="00DD7BD1">
          <w:rPr>
            <w:rFonts w:ascii="Calibri" w:hAnsi="Calibri" w:cs="Calibri"/>
            <w:b/>
            <w:color w:val="0000FF"/>
            <w:spacing w:val="40"/>
            <w:w w:val="110"/>
            <w:u w:val="single" w:color="0000FF"/>
          </w:rPr>
          <w:t xml:space="preserve"> </w:t>
        </w:r>
      </w:hyperlink>
    </w:p>
    <w:p w14:paraId="5DC54D98" w14:textId="0702AEE3" w:rsidR="00484AAC" w:rsidRPr="00DD7BD1" w:rsidRDefault="00E43496" w:rsidP="00E43496">
      <w:pPr>
        <w:pStyle w:val="ParagraphBasic"/>
        <w:tabs>
          <w:tab w:val="left" w:pos="1080"/>
        </w:tabs>
        <w:spacing w:after="0" w:line="240" w:lineRule="auto"/>
        <w:ind w:left="630"/>
        <w:rPr>
          <w:rStyle w:val="Hyperlink"/>
          <w:rFonts w:ascii="Calibri" w:hAnsi="Calibri" w:cs="Calibri"/>
          <w:b/>
          <w:bCs/>
          <w:color w:val="auto"/>
          <w:kern w:val="36"/>
          <w:sz w:val="28"/>
          <w:szCs w:val="28"/>
          <w:u w:val="none"/>
        </w:rPr>
      </w:pPr>
      <w:r w:rsidRPr="00DD7BD1">
        <w:rPr>
          <w:rFonts w:ascii="Calibri" w:hAnsi="Calibri" w:cs="Calibri"/>
          <w:b/>
          <w:spacing w:val="-4"/>
        </w:rPr>
        <w:t>WA</w:t>
      </w:r>
      <w:r w:rsidRPr="00DD7BD1">
        <w:rPr>
          <w:rFonts w:ascii="Calibri" w:hAnsi="Calibri" w:cs="Calibri"/>
          <w:b/>
          <w:spacing w:val="-12"/>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10"/>
        </w:rPr>
        <w:t xml:space="preserve"> </w:t>
      </w:r>
      <w:hyperlink r:id="rId119">
        <w:r w:rsidRPr="00DD7BD1">
          <w:rPr>
            <w:rFonts w:ascii="Calibri" w:hAnsi="Calibri" w:cs="Calibri"/>
            <w:b/>
            <w:color w:val="0000FF"/>
            <w:spacing w:val="-4"/>
            <w:u w:val="single" w:color="0000FF"/>
          </w:rPr>
          <w:t>Job</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Safety</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9"/>
            <w:u w:val="single" w:color="0000FF"/>
          </w:rPr>
          <w:t xml:space="preserve"> </w:t>
        </w:r>
        <w:r w:rsidRPr="00DD7BD1">
          <w:rPr>
            <w:rFonts w:ascii="Calibri" w:hAnsi="Calibri" w:cs="Calibri"/>
            <w:b/>
            <w:color w:val="0000FF"/>
            <w:spacing w:val="-4"/>
            <w:u w:val="single" w:color="0000FF"/>
          </w:rPr>
          <w:t>Health</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(DOSH)</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347333CF" w14:textId="77777777" w:rsidR="00484AAC" w:rsidRPr="00DD7BD1" w:rsidRDefault="00484AAC" w:rsidP="009A459C">
      <w:pPr>
        <w:pStyle w:val="ParagraphBasic"/>
        <w:spacing w:after="0" w:line="240" w:lineRule="auto"/>
        <w:ind w:firstLine="360"/>
        <w:rPr>
          <w:rStyle w:val="Hyperlink"/>
          <w:rFonts w:ascii="Calibri" w:hAnsi="Calibri" w:cs="Calibri"/>
          <w:b/>
          <w:bCs/>
          <w:color w:val="auto"/>
          <w:kern w:val="36"/>
          <w:u w:val="none"/>
        </w:rPr>
      </w:pPr>
    </w:p>
    <w:p w14:paraId="7183699D" w14:textId="5DA23FB7" w:rsidR="002C1B32" w:rsidRPr="00DD7BD1" w:rsidRDefault="002C1B32"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July</w:t>
      </w:r>
    </w:p>
    <w:p w14:paraId="78E9305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CA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 xml:space="preserve">The California Civil Rights Department (CRD) released its </w:t>
      </w:r>
      <w:hyperlink r:id="rId120" w:history="1">
        <w:r w:rsidRPr="00DD7BD1">
          <w:rPr>
            <w:rStyle w:val="Hyperlink"/>
            <w:rFonts w:ascii="Calibri" w:eastAsiaTheme="minorHAnsi" w:hAnsi="Calibri" w:cs="Calibri"/>
            <w:sz w:val="22"/>
            <w:szCs w:val="22"/>
          </w:rPr>
          <w:t>Survivors of Violence &amp; Family Members of Victims’ Rights to Leave &amp; Accommodations Notice</w:t>
        </w:r>
      </w:hyperlink>
      <w:r w:rsidRPr="00DD7BD1">
        <w:rPr>
          <w:rFonts w:ascii="Calibri" w:eastAsiaTheme="minorHAnsi" w:hAnsi="Calibri" w:cs="Calibri"/>
          <w:b w:val="0"/>
          <w:bCs w:val="0"/>
          <w:sz w:val="22"/>
          <w:szCs w:val="22"/>
        </w:rPr>
        <w:t xml:space="preserve"> </w:t>
      </w:r>
      <w:r w:rsidRPr="00DD7BD1">
        <w:rPr>
          <w:rFonts w:ascii="Calibri" w:eastAsiaTheme="minorHAnsi" w:hAnsi="Calibri" w:cs="Calibri"/>
          <w:b w:val="0"/>
          <w:bCs w:val="0"/>
          <w:i/>
          <w:iCs/>
          <w:sz w:val="22"/>
          <w:szCs w:val="22"/>
        </w:rPr>
        <w:t>employee notice</w:t>
      </w:r>
      <w:r w:rsidRPr="00DD7BD1">
        <w:rPr>
          <w:rFonts w:ascii="Calibri" w:eastAsiaTheme="minorHAnsi" w:hAnsi="Calibri" w:cs="Calibri"/>
          <w:b w:val="0"/>
          <w:bCs w:val="0"/>
          <w:sz w:val="22"/>
          <w:szCs w:val="22"/>
        </w:rPr>
        <w:t> triggering a new compliance obligation for all California employers regarding the rights of employees who are victims of qualifying acts of violence.</w:t>
      </w:r>
    </w:p>
    <w:p w14:paraId="24F147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IA - </w:t>
      </w:r>
      <w:r w:rsidRPr="00DD7BD1">
        <w:rPr>
          <w:rFonts w:ascii="Calibri" w:eastAsiaTheme="minorHAnsi" w:hAnsi="Calibri" w:cs="Calibri"/>
          <w:b w:val="0"/>
          <w:bCs w:val="0"/>
          <w:sz w:val="22"/>
          <w:szCs w:val="22"/>
        </w:rPr>
        <w:t>The "</w:t>
      </w:r>
      <w:hyperlink r:id="rId121" w:history="1">
        <w:r w:rsidRPr="00DD7BD1">
          <w:rPr>
            <w:rStyle w:val="Hyperlink"/>
            <w:rFonts w:ascii="Calibri" w:eastAsiaTheme="minorHAnsi" w:hAnsi="Calibri" w:cs="Calibri"/>
            <w:sz w:val="22"/>
            <w:szCs w:val="22"/>
          </w:rPr>
          <w:t>Your Rights Under the Iowa Minimum Wage Law</w:t>
        </w:r>
      </w:hyperlink>
      <w:r w:rsidRPr="00DD7BD1">
        <w:rPr>
          <w:rFonts w:ascii="Calibri" w:eastAsiaTheme="minorHAnsi" w:hAnsi="Calibri" w:cs="Calibri"/>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MN</w:t>
      </w:r>
      <w:r w:rsidRPr="00DD7BD1">
        <w:rPr>
          <w:rStyle w:val="Hyperlink"/>
          <w:rFonts w:ascii="Calibri" w:eastAsiaTheme="minorHAnsi" w:hAnsi="Calibri" w:cs="Calibri"/>
          <w:b w:val="0"/>
          <w:bCs w:val="0"/>
          <w:color w:val="auto"/>
          <w:sz w:val="22"/>
          <w:szCs w:val="22"/>
          <w:u w:val="none"/>
        </w:rPr>
        <w:t xml:space="preserve"> – State’s</w:t>
      </w:r>
      <w:r w:rsidRPr="00DD7BD1">
        <w:rPr>
          <w:rStyle w:val="Hyperlink"/>
          <w:rFonts w:ascii="Calibri" w:eastAsiaTheme="minorHAnsi" w:hAnsi="Calibri" w:cs="Calibri"/>
          <w:color w:val="auto"/>
          <w:sz w:val="22"/>
          <w:szCs w:val="22"/>
          <w:u w:val="none"/>
        </w:rPr>
        <w:t xml:space="preserve"> </w:t>
      </w:r>
      <w:hyperlink r:id="rId122" w:history="1">
        <w:r w:rsidRPr="00DD7BD1">
          <w:rPr>
            <w:rStyle w:val="Hyperlink"/>
            <w:rFonts w:ascii="Calibri" w:eastAsiaTheme="minorHAnsi" w:hAnsi="Calibri" w:cs="Calibri"/>
            <w:sz w:val="22"/>
            <w:szCs w:val="22"/>
          </w:rPr>
          <w:t>Paid Leave require Notice</w:t>
        </w:r>
      </w:hyperlink>
      <w:r w:rsidRPr="00DD7BD1">
        <w:rPr>
          <w:rStyle w:val="Hyperlink"/>
          <w:rFonts w:ascii="Calibri" w:eastAsiaTheme="minorHAnsi" w:hAnsi="Calibri" w:cs="Calibri"/>
          <w:b w:val="0"/>
          <w:bCs w:val="0"/>
          <w:color w:val="auto"/>
          <w:sz w:val="22"/>
          <w:szCs w:val="22"/>
          <w:u w:val="none"/>
        </w:rPr>
        <w:t xml:space="preserve"> has been published</w:t>
      </w:r>
    </w:p>
    <w:p w14:paraId="42B72A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NC</w:t>
      </w:r>
      <w:r w:rsidRPr="00DD7BD1">
        <w:rPr>
          <w:rStyle w:val="Hyperlink"/>
          <w:rFonts w:ascii="Calibri" w:eastAsiaTheme="minorHAnsi" w:hAnsi="Calibri" w:cs="Calibri"/>
          <w:b w:val="0"/>
          <w:bCs w:val="0"/>
          <w:color w:val="auto"/>
          <w:sz w:val="22"/>
          <w:szCs w:val="22"/>
          <w:u w:val="none"/>
        </w:rPr>
        <w:t xml:space="preserve"> – updated Notices: </w:t>
      </w:r>
      <w:hyperlink r:id="rId123" w:history="1">
        <w:r w:rsidRPr="00DD7BD1">
          <w:rPr>
            <w:rStyle w:val="Hyperlink"/>
            <w:rFonts w:ascii="Calibri" w:eastAsiaTheme="minorHAnsi" w:hAnsi="Calibri" w:cs="Calibri"/>
            <w:sz w:val="22"/>
            <w:szCs w:val="22"/>
          </w:rPr>
          <w:t>Wage &amp; Hour Notice to Employees</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and the </w:t>
      </w:r>
      <w:hyperlink r:id="rId124" w:history="1">
        <w:r w:rsidRPr="00DD7BD1">
          <w:rPr>
            <w:rStyle w:val="Hyperlink"/>
            <w:rFonts w:ascii="Calibri" w:eastAsiaTheme="minorHAnsi" w:hAnsi="Calibri" w:cs="Calibri"/>
            <w:sz w:val="22"/>
            <w:szCs w:val="22"/>
          </w:rPr>
          <w:t>Occupational Safety and Health (OSH) Notice to Employees</w:t>
        </w:r>
      </w:hyperlink>
      <w:r w:rsidRPr="00DD7BD1">
        <w:rPr>
          <w:rFonts w:ascii="Calibri" w:eastAsiaTheme="minorHAnsi" w:hAnsi="Calibri" w:cs="Calibri"/>
          <w:b w:val="0"/>
          <w:bCs w:val="0"/>
          <w:sz w:val="22"/>
          <w:szCs w:val="22"/>
        </w:rPr>
        <w:t>.</w:t>
      </w:r>
    </w:p>
    <w:p w14:paraId="07D778F3"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NV</w:t>
      </w:r>
      <w:r w:rsidRPr="00DD7BD1">
        <w:rPr>
          <w:rStyle w:val="Hyperlink"/>
          <w:rFonts w:ascii="Calibri" w:eastAsiaTheme="minorHAnsi" w:hAnsi="Calibri" w:cs="Calibri"/>
          <w:b w:val="0"/>
          <w:bCs w:val="0"/>
          <w:color w:val="auto"/>
          <w:sz w:val="22"/>
          <w:szCs w:val="22"/>
          <w:u w:val="none"/>
        </w:rPr>
        <w:t xml:space="preserve"> – updated labor notices to include </w:t>
      </w:r>
      <w:hyperlink r:id="rId125"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w:t>
      </w:r>
      <w:hyperlink r:id="rId126" w:history="1">
        <w:r w:rsidRPr="00DD7BD1">
          <w:rPr>
            <w:rStyle w:val="Hyperlink"/>
            <w:rFonts w:ascii="Calibri" w:eastAsiaTheme="minorHAnsi" w:hAnsi="Calibri" w:cs="Calibri"/>
            <w:sz w:val="22"/>
            <w:szCs w:val="22"/>
          </w:rPr>
          <w:t>Daily Overtime Notice</w:t>
        </w:r>
      </w:hyperlink>
      <w:r w:rsidRPr="00DD7BD1">
        <w:rPr>
          <w:rStyle w:val="Hyperlink"/>
          <w:rFonts w:ascii="Calibri" w:eastAsiaTheme="minorHAnsi" w:hAnsi="Calibri" w:cs="Calibri"/>
          <w:color w:val="auto"/>
          <w:sz w:val="22"/>
          <w:szCs w:val="22"/>
          <w:u w:val="none"/>
        </w:rPr>
        <w:t xml:space="preserve">, </w:t>
      </w:r>
      <w:hyperlink r:id="rId127" w:history="1">
        <w:r w:rsidRPr="00DD7BD1">
          <w:rPr>
            <w:rStyle w:val="Hyperlink"/>
            <w:rFonts w:ascii="Calibri" w:eastAsiaTheme="minorHAnsi" w:hAnsi="Calibri" w:cs="Calibri"/>
            <w:sz w:val="22"/>
            <w:szCs w:val="22"/>
          </w:rPr>
          <w:t>Rules to be Observed by Employers</w:t>
        </w:r>
      </w:hyperlink>
    </w:p>
    <w:p w14:paraId="7047B0A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RI</w:t>
      </w:r>
      <w:r w:rsidRPr="00DD7BD1">
        <w:rPr>
          <w:rStyle w:val="Hyperlink"/>
          <w:rFonts w:ascii="Calibri" w:eastAsiaTheme="minorHAnsi" w:hAnsi="Calibri" w:cs="Calibri"/>
          <w:b w:val="0"/>
          <w:bCs w:val="0"/>
          <w:color w:val="auto"/>
          <w:sz w:val="22"/>
          <w:szCs w:val="22"/>
          <w:u w:val="none"/>
        </w:rPr>
        <w:t xml:space="preserve"> - </w:t>
      </w:r>
      <w:hyperlink r:id="rId128" w:tgtFrame="_blank" w:history="1">
        <w:r w:rsidRPr="00DD7BD1">
          <w:rPr>
            <w:rStyle w:val="Hyperlink"/>
            <w:rFonts w:ascii="Calibri" w:hAnsi="Calibri" w:cs="Calibri"/>
            <w:b w:val="0"/>
            <w:bCs w:val="0"/>
            <w:color w:val="auto"/>
            <w:sz w:val="22"/>
            <w:szCs w:val="22"/>
            <w:u w:val="none"/>
            <w:shd w:val="clear" w:color="auto" w:fill="FFFFFF"/>
          </w:rPr>
          <w:t xml:space="preserve">updated </w:t>
        </w:r>
        <w:r w:rsidRPr="00DD7BD1">
          <w:rPr>
            <w:rStyle w:val="Hyperlink"/>
            <w:rFonts w:ascii="Calibri" w:hAnsi="Calibri" w:cs="Calibri"/>
            <w:sz w:val="22"/>
            <w:szCs w:val="22"/>
            <w:shd w:val="clear" w:color="auto" w:fill="FFFFFF"/>
          </w:rPr>
          <w:t>Written Notice of Employee Rights</w:t>
        </w:r>
      </w:hyperlink>
      <w:r w:rsidRPr="00DD7BD1">
        <w:rPr>
          <w:rFonts w:ascii="Calibri" w:hAnsi="Calibri" w:cs="Calibri"/>
          <w:sz w:val="22"/>
          <w:szCs w:val="22"/>
          <w:shd w:val="clear" w:color="auto" w:fill="FFFFFF"/>
        </w:rPr>
        <w:t xml:space="preserve">. </w:t>
      </w:r>
      <w:r w:rsidRPr="00DD7BD1">
        <w:rPr>
          <w:rFonts w:ascii="Calibri" w:hAnsi="Calibri" w:cs="Calibri"/>
          <w:b w:val="0"/>
          <w:bCs w:val="0"/>
          <w:sz w:val="22"/>
          <w:szCs w:val="22"/>
          <w:shd w:val="clear" w:color="auto" w:fill="FFFFFF"/>
        </w:rPr>
        <w:t>State law protects employees and applicants from discrimination based on pregnancy, childbirth, menopause and related conditions.</w:t>
      </w:r>
      <w:r w:rsidRPr="00DD7BD1">
        <w:rPr>
          <w:rFonts w:ascii="Calibri" w:hAnsi="Calibri" w:cs="Calibri"/>
          <w:sz w:val="22"/>
          <w:szCs w:val="22"/>
          <w:shd w:val="clear" w:color="auto" w:fill="FFFFFF"/>
        </w:rPr>
        <w:t xml:space="preserve"> </w:t>
      </w:r>
    </w:p>
    <w:p w14:paraId="09510795"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VT – </w:t>
      </w:r>
    </w:p>
    <w:p w14:paraId="049C9DFF" w14:textId="77777777" w:rsidR="002C1B32" w:rsidRPr="00DD7BD1" w:rsidRDefault="002C1B32" w:rsidP="002C1B32">
      <w:pPr>
        <w:pStyle w:val="Heading1"/>
        <w:shd w:val="clear" w:color="auto" w:fill="FFFFFF"/>
        <w:tabs>
          <w:tab w:val="left" w:pos="1080"/>
        </w:tabs>
        <w:spacing w:before="0" w:beforeAutospacing="0" w:after="0" w:afterAutospacing="0"/>
        <w:ind w:left="63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new </w:t>
      </w:r>
      <w:hyperlink r:id="rId129" w:history="1">
        <w:r w:rsidRPr="00DD7BD1">
          <w:rPr>
            <w:rStyle w:val="Hyperlink"/>
            <w:rFonts w:ascii="Calibri" w:eastAsiaTheme="minorHAnsi" w:hAnsi="Calibri" w:cs="Calibri"/>
            <w:sz w:val="22"/>
            <w:szCs w:val="22"/>
          </w:rPr>
          <w:t>Meals &amp; Lodging Allowance Notice</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 xml:space="preserve">outlines the specific amounts employers may deduct from employee wages for meals and lodging that are </w:t>
      </w:r>
      <w:proofErr w:type="gramStart"/>
      <w:r w:rsidRPr="00DD7BD1">
        <w:rPr>
          <w:rFonts w:ascii="Calibri" w:eastAsiaTheme="minorHAnsi" w:hAnsi="Calibri" w:cs="Calibri"/>
          <w:b w:val="0"/>
          <w:bCs w:val="0"/>
          <w:sz w:val="22"/>
          <w:szCs w:val="22"/>
        </w:rPr>
        <w:t>actually provided</w:t>
      </w:r>
      <w:proofErr w:type="gramEnd"/>
      <w:r w:rsidRPr="00DD7BD1">
        <w:rPr>
          <w:rFonts w:ascii="Calibri" w:eastAsiaTheme="minorHAnsi" w:hAnsi="Calibri" w:cs="Calibri"/>
          <w:b w:val="0"/>
          <w:bCs w:val="0"/>
          <w:sz w:val="22"/>
          <w:szCs w:val="22"/>
        </w:rPr>
        <w:t xml:space="preserve"> and voluntarily accepted. </w:t>
      </w:r>
    </w:p>
    <w:p w14:paraId="0766025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updated </w:t>
      </w:r>
      <w:hyperlink r:id="rId130" w:history="1">
        <w:r w:rsidRPr="00DD7BD1">
          <w:rPr>
            <w:rStyle w:val="Hyperlink"/>
            <w:rFonts w:ascii="Calibri" w:eastAsiaTheme="minorHAnsi" w:hAnsi="Calibri" w:cs="Calibri"/>
            <w:sz w:val="22"/>
            <w:szCs w:val="22"/>
          </w:rPr>
          <w:t>Parental &amp; Family Leave Notice </w:t>
        </w:r>
      </w:hyperlink>
      <w:r w:rsidRPr="00DD7BD1">
        <w:rPr>
          <w:rFonts w:ascii="Calibri" w:eastAsiaTheme="minorHAnsi" w:hAnsi="Calibri" w:cs="Calibri"/>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WY – </w:t>
      </w:r>
      <w:r w:rsidRPr="00DD7BD1">
        <w:rPr>
          <w:rStyle w:val="Hyperlink"/>
          <w:rFonts w:ascii="Calibri" w:eastAsiaTheme="minorHAnsi" w:hAnsi="Calibri" w:cs="Calibri"/>
          <w:b w:val="0"/>
          <w:bCs w:val="0"/>
          <w:color w:val="auto"/>
          <w:sz w:val="22"/>
          <w:szCs w:val="22"/>
          <w:u w:val="none"/>
        </w:rPr>
        <w:t xml:space="preserve">New </w:t>
      </w:r>
      <w:hyperlink r:id="rId131" w:history="1">
        <w:r w:rsidRPr="00DD7BD1">
          <w:rPr>
            <w:rStyle w:val="Hyperlink"/>
            <w:rFonts w:ascii="Calibri" w:eastAsiaTheme="minorHAnsi" w:hAnsi="Calibri" w:cs="Calibri"/>
            <w:sz w:val="22"/>
            <w:szCs w:val="22"/>
          </w:rPr>
          <w:t>Non-Compete Agreements Labor Notice </w:t>
        </w:r>
      </w:hyperlink>
      <w:r w:rsidRPr="00DD7BD1">
        <w:rPr>
          <w:rFonts w:ascii="Calibri" w:eastAsiaTheme="minorHAnsi" w:hAnsi="Calibri" w:cs="Calibri"/>
          <w:b w:val="0"/>
          <w:bCs w:val="0"/>
          <w:sz w:val="22"/>
          <w:szCs w:val="22"/>
        </w:rPr>
        <w:t>– reflective of 7.1.25</w:t>
      </w:r>
      <w:r w:rsidRPr="00DD7BD1">
        <w:rPr>
          <w:rFonts w:ascii="Calibri" w:hAnsi="Calibri" w:cs="Calibri"/>
          <w:b w:val="0"/>
          <w:bCs w:val="0"/>
          <w:color w:val="0F092C"/>
          <w:kern w:val="0"/>
          <w:sz w:val="22"/>
          <w:szCs w:val="22"/>
          <w:shd w:val="clear" w:color="auto" w:fill="FFFFFF"/>
        </w:rPr>
        <w:t xml:space="preserve"> </w:t>
      </w:r>
      <w:r w:rsidRPr="00DD7BD1">
        <w:rPr>
          <w:rFonts w:ascii="Calibri" w:eastAsiaTheme="minorHAnsi" w:hAnsi="Calibri" w:cs="Calibri"/>
          <w:b w:val="0"/>
          <w:bCs w:val="0"/>
          <w:sz w:val="22"/>
          <w:szCs w:val="22"/>
        </w:rPr>
        <w:t xml:space="preserve">state ban on most non-compete agreements </w:t>
      </w:r>
      <w:proofErr w:type="gramStart"/>
      <w:r w:rsidRPr="00DD7BD1">
        <w:rPr>
          <w:rFonts w:ascii="Calibri" w:eastAsiaTheme="minorHAnsi" w:hAnsi="Calibri" w:cs="Calibri"/>
          <w:b w:val="0"/>
          <w:bCs w:val="0"/>
          <w:sz w:val="22"/>
          <w:szCs w:val="22"/>
        </w:rPr>
        <w:t>entered into</w:t>
      </w:r>
      <w:proofErr w:type="gramEnd"/>
      <w:r w:rsidRPr="00DD7BD1">
        <w:rPr>
          <w:rFonts w:ascii="Calibri" w:eastAsiaTheme="minorHAnsi" w:hAnsi="Calibri" w:cs="Calibri"/>
          <w:b w:val="0"/>
          <w:bCs w:val="0"/>
          <w:sz w:val="22"/>
          <w:szCs w:val="22"/>
        </w:rPr>
        <w:t xml:space="preserve"> on or after this date.</w:t>
      </w:r>
    </w:p>
    <w:p w14:paraId="3AA92A74" w14:textId="77777777" w:rsidR="002C1B32" w:rsidRPr="00DD7BD1" w:rsidRDefault="002C1B32" w:rsidP="009A459C">
      <w:pPr>
        <w:pStyle w:val="ParagraphBasic"/>
        <w:spacing w:after="0" w:line="240" w:lineRule="auto"/>
        <w:ind w:firstLine="360"/>
        <w:rPr>
          <w:rStyle w:val="Hyperlink"/>
          <w:rFonts w:ascii="Calibri" w:hAnsi="Calibri" w:cs="Calibri"/>
          <w:b/>
          <w:bCs/>
          <w:color w:val="auto"/>
          <w:kern w:val="36"/>
          <w:u w:val="none"/>
        </w:rPr>
      </w:pPr>
    </w:p>
    <w:p w14:paraId="5D52EB17" w14:textId="22A365C1"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June</w:t>
      </w:r>
    </w:p>
    <w:p w14:paraId="3E5AE197"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CA – </w:t>
      </w:r>
      <w:r w:rsidRPr="00DD7BD1">
        <w:rPr>
          <w:rFonts w:ascii="Calibri" w:eastAsiaTheme="minorHAnsi" w:hAnsi="Calibri" w:cs="Calibri"/>
          <w:b w:val="0"/>
          <w:bCs w:val="0"/>
          <w:sz w:val="22"/>
          <w:szCs w:val="22"/>
        </w:rPr>
        <w:t>Various, local Min Wage Notices (See California Section of June HR WIRE)</w:t>
      </w:r>
    </w:p>
    <w:p w14:paraId="3F8D3A9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DC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 xml:space="preserve">Effective July 1, 2025, the District of Columbia minimum wage will increase from $17.50 to $17.95 per hour, and the tipped minimum wage will rise from $10.00 to $12.00 per hour. These updates impact the following required </w:t>
      </w:r>
      <w:r w:rsidRPr="00DD7BD1">
        <w:rPr>
          <w:rFonts w:ascii="Calibri" w:eastAsiaTheme="minorHAnsi" w:hAnsi="Calibri" w:cs="Calibri"/>
          <w:b w:val="0"/>
          <w:bCs w:val="0"/>
          <w:sz w:val="22"/>
          <w:szCs w:val="22"/>
        </w:rPr>
        <w:lastRenderedPageBreak/>
        <w:t>notices: the </w:t>
      </w:r>
      <w:hyperlink r:id="rId132" w:history="1">
        <w:r w:rsidRPr="00DD7BD1">
          <w:rPr>
            <w:rStyle w:val="Hyperlink"/>
            <w:rFonts w:ascii="Calibri" w:eastAsiaTheme="minorHAnsi" w:hAnsi="Calibri" w:cs="Calibri"/>
            <w:b w:val="0"/>
            <w:bCs w:val="0"/>
            <w:sz w:val="22"/>
            <w:szCs w:val="22"/>
          </w:rPr>
          <w:t>D.C. Minimum Wage Amendment Act</w:t>
        </w:r>
      </w:hyperlink>
      <w:r w:rsidRPr="00DD7BD1">
        <w:rPr>
          <w:rFonts w:ascii="Calibri" w:eastAsiaTheme="minorHAnsi" w:hAnsi="Calibri" w:cs="Calibri"/>
          <w:b w:val="0"/>
          <w:bCs w:val="0"/>
          <w:sz w:val="22"/>
          <w:szCs w:val="22"/>
        </w:rPr>
        <w:t xml:space="preserve">, the </w:t>
      </w:r>
      <w:hyperlink r:id="rId133" w:history="1">
        <w:r w:rsidRPr="00DD7BD1">
          <w:rPr>
            <w:rStyle w:val="Hyperlink"/>
            <w:rFonts w:ascii="Calibri" w:eastAsiaTheme="minorHAnsi" w:hAnsi="Calibri" w:cs="Calibri"/>
            <w:b w:val="0"/>
            <w:bCs w:val="0"/>
            <w:sz w:val="22"/>
            <w:szCs w:val="22"/>
          </w:rPr>
          <w:t>D.C. Living Wage Act Notice</w:t>
        </w:r>
      </w:hyperlink>
      <w:r w:rsidRPr="00DD7BD1">
        <w:rPr>
          <w:rFonts w:ascii="Calibri" w:eastAsiaTheme="minorHAnsi" w:hAnsi="Calibri" w:cs="Calibri"/>
          <w:b w:val="0"/>
          <w:bCs w:val="0"/>
          <w:sz w:val="22"/>
          <w:szCs w:val="22"/>
        </w:rPr>
        <w:t xml:space="preserve">, and the </w:t>
      </w:r>
      <w:hyperlink r:id="rId134" w:history="1">
        <w:r w:rsidRPr="00DD7BD1">
          <w:rPr>
            <w:rStyle w:val="Hyperlink"/>
            <w:rFonts w:ascii="Calibri" w:eastAsiaTheme="minorHAnsi" w:hAnsi="Calibri" w:cs="Calibri"/>
            <w:b w:val="0"/>
            <w:bCs w:val="0"/>
            <w:sz w:val="22"/>
            <w:szCs w:val="22"/>
          </w:rPr>
          <w:t>D.C. Universal Paid Leave Act</w:t>
        </w:r>
      </w:hyperlink>
      <w:r w:rsidRPr="00DD7BD1">
        <w:rPr>
          <w:rFonts w:ascii="Calibri" w:eastAsiaTheme="minorHAnsi" w:hAnsi="Calibri" w:cs="Calibri"/>
          <w:b w:val="0"/>
          <w:bCs w:val="0"/>
          <w:sz w:val="22"/>
          <w:szCs w:val="22"/>
        </w:rPr>
        <w:t>.</w:t>
      </w:r>
    </w:p>
    <w:p w14:paraId="280E944B"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NY City – </w:t>
      </w:r>
      <w:r w:rsidRPr="00DD7BD1">
        <w:rPr>
          <w:rFonts w:ascii="Calibri" w:eastAsiaTheme="minorHAnsi" w:hAnsi="Calibri" w:cs="Calibri"/>
          <w:b w:val="0"/>
          <w:bCs w:val="0"/>
          <w:sz w:val="22"/>
          <w:szCs w:val="22"/>
        </w:rPr>
        <w:t>The State</w:t>
      </w:r>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has released an updated </w:t>
      </w:r>
      <w:hyperlink r:id="rId135" w:history="1">
        <w:r w:rsidRPr="00DD7BD1">
          <w:rPr>
            <w:rStyle w:val="Hyperlink"/>
            <w:rFonts w:ascii="Calibri" w:eastAsiaTheme="minorHAnsi" w:hAnsi="Calibri" w:cs="Calibri"/>
            <w:b w:val="0"/>
            <w:bCs w:val="0"/>
            <w:sz w:val="22"/>
            <w:szCs w:val="22"/>
          </w:rPr>
          <w:t>Paid Safe and Sick Leave Notice</w:t>
        </w:r>
      </w:hyperlink>
      <w:r w:rsidRPr="00DD7BD1">
        <w:rPr>
          <w:rFonts w:ascii="Calibri" w:eastAsiaTheme="minorHAnsi" w:hAnsi="Calibri" w:cs="Calibri"/>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OR –</w:t>
      </w:r>
      <w:r w:rsidRPr="00DD7BD1">
        <w:rPr>
          <w:rFonts w:ascii="Calibri" w:eastAsiaTheme="minorHAnsi" w:hAnsi="Calibri" w:cs="Calibri"/>
          <w:b w:val="0"/>
          <w:bCs w:val="0"/>
          <w:sz w:val="22"/>
          <w:szCs w:val="22"/>
        </w:rPr>
        <w:t xml:space="preserve"> updated labor notices:  </w:t>
      </w:r>
      <w:r w:rsidRPr="00DD7BD1">
        <w:rPr>
          <w:rStyle w:val="Hyperlink"/>
          <w:rFonts w:ascii="Calibri" w:hAnsi="Calibri" w:cs="Calibri"/>
          <w:b w:val="0"/>
          <w:bCs w:val="0"/>
          <w:i/>
          <w:iCs/>
          <w:sz w:val="22"/>
          <w:szCs w:val="22"/>
        </w:rPr>
        <w:t>https://www.oregon.gov/boli/employers/Pages/required-worksite-postings.aspx</w:t>
      </w:r>
    </w:p>
    <w:p w14:paraId="27C899FD"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36" w:history="1">
        <w:r w:rsidRPr="00DD7BD1">
          <w:rPr>
            <w:rStyle w:val="Hyperlink"/>
            <w:rFonts w:ascii="Calibri" w:eastAsiaTheme="minorHAnsi" w:hAnsi="Calibri" w:cs="Calibri"/>
            <w:b w:val="0"/>
            <w:bCs w:val="0"/>
            <w:sz w:val="22"/>
            <w:szCs w:val="22"/>
          </w:rPr>
          <w:t>Minimum Wage Notice</w:t>
        </w:r>
      </w:hyperlink>
    </w:p>
    <w:p w14:paraId="55C83468"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37" w:history="1">
        <w:r w:rsidRPr="00DD7BD1">
          <w:rPr>
            <w:rStyle w:val="Hyperlink"/>
            <w:rFonts w:ascii="Calibri" w:eastAsiaTheme="minorHAnsi" w:hAnsi="Calibri" w:cs="Calibri"/>
            <w:b w:val="0"/>
            <w:bCs w:val="0"/>
            <w:sz w:val="22"/>
            <w:szCs w:val="22"/>
          </w:rPr>
          <w:t>Breaks, Meals &amp; Overtime Notice</w:t>
        </w:r>
      </w:hyperlink>
    </w:p>
    <w:p w14:paraId="7C8F6E24"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38" w:history="1">
        <w:r w:rsidRPr="00DD7BD1">
          <w:rPr>
            <w:rStyle w:val="Hyperlink"/>
            <w:rFonts w:ascii="Calibri" w:eastAsiaTheme="minorHAnsi" w:hAnsi="Calibri" w:cs="Calibri"/>
            <w:b w:val="0"/>
            <w:bCs w:val="0"/>
            <w:sz w:val="22"/>
            <w:szCs w:val="22"/>
          </w:rPr>
          <w:t>Equal Pay Notice</w:t>
        </w:r>
      </w:hyperlink>
    </w:p>
    <w:p w14:paraId="25815EA7"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39" w:history="1">
        <w:r w:rsidRPr="00DD7BD1">
          <w:rPr>
            <w:rStyle w:val="Hyperlink"/>
            <w:rFonts w:ascii="Calibri" w:eastAsiaTheme="minorHAnsi" w:hAnsi="Calibri" w:cs="Calibri"/>
            <w:b w:val="0"/>
            <w:bCs w:val="0"/>
            <w:sz w:val="22"/>
            <w:szCs w:val="22"/>
          </w:rPr>
          <w:t>Family Leave Notice</w:t>
        </w:r>
      </w:hyperlink>
    </w:p>
    <w:p w14:paraId="0A5D74EA" w14:textId="4DA602BD"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Calibri" w:eastAsiaTheme="minorHAnsi" w:hAnsi="Calibri" w:cs="Calibri"/>
          <w:b w:val="0"/>
          <w:bCs w:val="0"/>
          <w:color w:val="auto"/>
          <w:sz w:val="22"/>
          <w:szCs w:val="22"/>
          <w:u w:val="none"/>
        </w:rPr>
      </w:pPr>
      <w:hyperlink r:id="rId140" w:history="1">
        <w:r w:rsidRPr="00DD7BD1">
          <w:rPr>
            <w:rStyle w:val="Hyperlink"/>
            <w:rFonts w:ascii="Calibri" w:eastAsiaTheme="minorHAnsi" w:hAnsi="Calibri" w:cs="Calibri"/>
            <w:b w:val="0"/>
            <w:bCs w:val="0"/>
            <w:sz w:val="22"/>
            <w:szCs w:val="22"/>
          </w:rPr>
          <w:t>Sexual Harassment &amp; Domestic Violence Notice</w:t>
        </w:r>
      </w:hyperlink>
    </w:p>
    <w:p w14:paraId="79D3FDB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16"/>
          <w:szCs w:val="16"/>
          <w:u w:val="none"/>
        </w:rPr>
      </w:pPr>
    </w:p>
    <w:p w14:paraId="535F721E" w14:textId="1BDF3723" w:rsidR="009D1F57" w:rsidRPr="00DD7BD1" w:rsidRDefault="009D1F57"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May</w:t>
      </w:r>
    </w:p>
    <w:p w14:paraId="3C39DA7F" w14:textId="0D3F564F" w:rsidR="009D1F57" w:rsidRPr="00DD7BD1" w:rsidRDefault="009D1F57" w:rsidP="009D1F57">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Fonts w:ascii="Calibri" w:eastAsiaTheme="minorHAnsi" w:hAnsi="Calibri" w:cs="Calibri"/>
          <w:b w:val="0"/>
          <w:bCs w:val="0"/>
          <w:sz w:val="22"/>
          <w:szCs w:val="22"/>
        </w:rPr>
        <w:t xml:space="preserve">updated </w:t>
      </w:r>
      <w:hyperlink r:id="rId141" w:history="1">
        <w:r w:rsidRPr="00DD7BD1">
          <w:rPr>
            <w:rStyle w:val="Hyperlink"/>
            <w:rFonts w:ascii="Calibri" w:eastAsiaTheme="minorHAnsi" w:hAnsi="Calibri" w:cs="Calibri"/>
            <w:sz w:val="22"/>
            <w:szCs w:val="22"/>
          </w:rPr>
          <w:t>Louisiana Unemployment Insurance Notice</w:t>
        </w:r>
      </w:hyperlink>
    </w:p>
    <w:p w14:paraId="128008D1" w14:textId="77777777" w:rsidR="009D1F57" w:rsidRPr="00DD7BD1" w:rsidRDefault="009D1F57" w:rsidP="009D1F57">
      <w:pPr>
        <w:pStyle w:val="Heading1"/>
        <w:shd w:val="clear" w:color="auto" w:fill="FFFFFF"/>
        <w:tabs>
          <w:tab w:val="left" w:pos="1080"/>
        </w:tabs>
        <w:spacing w:before="0" w:beforeAutospacing="0" w:after="0" w:afterAutospacing="0"/>
        <w:ind w:left="1080" w:hanging="450"/>
        <w:rPr>
          <w:rFonts w:ascii="Calibri" w:hAnsi="Calibri" w:cs="Calibri"/>
        </w:rPr>
      </w:pPr>
      <w:r w:rsidRPr="00DD7BD1">
        <w:rPr>
          <w:rStyle w:val="Hyperlink"/>
          <w:rFonts w:ascii="Calibri" w:eastAsiaTheme="minorHAnsi" w:hAnsi="Calibri" w:cs="Calibri"/>
          <w:color w:val="auto"/>
          <w:sz w:val="22"/>
          <w:szCs w:val="22"/>
          <w:u w:val="none"/>
        </w:rPr>
        <w:t xml:space="preserve">MA – </w:t>
      </w:r>
      <w:r w:rsidRPr="00DD7BD1">
        <w:rPr>
          <w:rFonts w:ascii="Calibri" w:eastAsiaTheme="minorHAnsi" w:hAnsi="Calibri" w:cs="Calibri"/>
          <w:b w:val="0"/>
          <w:bCs w:val="0"/>
          <w:sz w:val="22"/>
          <w:szCs w:val="22"/>
        </w:rPr>
        <w:t xml:space="preserve">updated </w:t>
      </w:r>
      <w:hyperlink r:id="rId142" w:history="1">
        <w:r w:rsidRPr="00DD7BD1">
          <w:rPr>
            <w:rStyle w:val="Hyperlink"/>
            <w:rFonts w:ascii="Calibri" w:eastAsiaTheme="minorHAnsi" w:hAnsi="Calibri" w:cs="Calibri"/>
            <w:sz w:val="22"/>
            <w:szCs w:val="22"/>
          </w:rPr>
          <w:t>Fair Employment Notice </w:t>
        </w:r>
      </w:hyperlink>
      <w:r w:rsidRPr="00DD7BD1">
        <w:rPr>
          <w:rFonts w:ascii="Calibri" w:eastAsiaTheme="minorHAnsi" w:hAnsi="Calibri" w:cs="Calibri"/>
          <w:sz w:val="22"/>
          <w:szCs w:val="22"/>
        </w:rPr>
        <w:t xml:space="preserve">and </w:t>
      </w:r>
      <w:hyperlink r:id="rId143" w:history="1">
        <w:r w:rsidRPr="00DD7BD1">
          <w:rPr>
            <w:rStyle w:val="Hyperlink"/>
            <w:rFonts w:ascii="Calibri" w:eastAsiaTheme="minorHAnsi" w:hAnsi="Calibri" w:cs="Calibri"/>
            <w:sz w:val="22"/>
            <w:szCs w:val="22"/>
          </w:rPr>
          <w:t>Unemployment Insurance Notice</w:t>
        </w:r>
      </w:hyperlink>
    </w:p>
    <w:p w14:paraId="3F14C98D" w14:textId="2AFF6236"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6"/>
          <w:szCs w:val="26"/>
        </w:rPr>
      </w:pPr>
      <w:r w:rsidRPr="00DD7BD1">
        <w:rPr>
          <w:rStyle w:val="Hyperlink"/>
          <w:rFonts w:ascii="Calibri" w:eastAsiaTheme="minorHAnsi" w:hAnsi="Calibri" w:cs="Calibri"/>
          <w:color w:val="auto"/>
          <w:sz w:val="26"/>
          <w:szCs w:val="26"/>
          <w:u w:val="none"/>
        </w:rPr>
        <w:t xml:space="preserve">VA </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 xml:space="preserve">As of </w:t>
      </w:r>
      <w:r w:rsidRPr="00DD7BD1">
        <w:rPr>
          <w:rFonts w:ascii="Calibri" w:eastAsiaTheme="minorHAnsi" w:hAnsi="Calibri" w:cs="Calibri"/>
          <w:b w:val="0"/>
          <w:bCs w:val="0"/>
          <w:sz w:val="22"/>
          <w:szCs w:val="22"/>
        </w:rPr>
        <w:t xml:space="preserve">July 1, 2025, employers are required to post a copy of Virginia Code § 40.1-28.7:8 or an approved summary in the workplace as the result of revised state law regarding non-competes broadening the definition to include all employees eligible for overtime under federal law, regardless of their income level.  Access to the state’s covenants accessible </w:t>
      </w:r>
      <w:hyperlink r:id="rId144"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Attached file will serve as Notice.  Impacted employers should post the Notice by the effective date.</w:t>
      </w:r>
    </w:p>
    <w:p w14:paraId="6D465AC3" w14:textId="76FB4F14"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6"/>
          <w:szCs w:val="26"/>
          <w:u w:val="none"/>
        </w:rPr>
        <w:t xml:space="preserve">WA - </w:t>
      </w:r>
      <w:r w:rsidRPr="00DD7BD1">
        <w:rPr>
          <w:rFonts w:ascii="Calibri" w:eastAsiaTheme="minorHAnsi" w:hAnsi="Calibri" w:cs="Calibri"/>
          <w:b w:val="0"/>
          <w:bCs w:val="0"/>
          <w:sz w:val="22"/>
          <w:szCs w:val="22"/>
        </w:rPr>
        <w:t>The Washington Workers’ Compensation Notices have been updated to reflect recent changes. Beginning July 1</w:t>
      </w:r>
      <w:proofErr w:type="gramStart"/>
      <w:r w:rsidRPr="00DD7BD1">
        <w:rPr>
          <w:rFonts w:ascii="Calibri" w:eastAsiaTheme="minorHAnsi" w:hAnsi="Calibri" w:cs="Calibri"/>
          <w:b w:val="0"/>
          <w:bCs w:val="0"/>
          <w:sz w:val="22"/>
          <w:szCs w:val="22"/>
        </w:rPr>
        <w:t xml:space="preserve"> 2025</w:t>
      </w:r>
      <w:proofErr w:type="gramEnd"/>
      <w:r w:rsidRPr="00DD7BD1">
        <w:rPr>
          <w:rFonts w:ascii="Calibri" w:eastAsiaTheme="minorHAnsi" w:hAnsi="Calibri" w:cs="Calibri"/>
          <w:b w:val="0"/>
          <w:bCs w:val="0"/>
          <w:sz w:val="22"/>
          <w:szCs w:val="22"/>
        </w:rPr>
        <w:t>,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DD7BD1" w:rsidRDefault="008631FB" w:rsidP="008631FB">
      <w:pPr>
        <w:pStyle w:val="Heading1"/>
        <w:shd w:val="clear" w:color="auto" w:fill="FFFFFF"/>
        <w:tabs>
          <w:tab w:val="left" w:pos="1080"/>
        </w:tabs>
        <w:spacing w:before="0" w:beforeAutospacing="0" w:after="0" w:afterAutospacing="0"/>
        <w:ind w:left="1080"/>
        <w:rPr>
          <w:rStyle w:val="Hyperlink"/>
          <w:rFonts w:ascii="Calibri" w:eastAsiaTheme="minorHAnsi" w:hAnsi="Calibri" w:cs="Calibri"/>
          <w:b w:val="0"/>
          <w:bCs w:val="0"/>
          <w:color w:val="auto"/>
          <w:sz w:val="22"/>
          <w:szCs w:val="22"/>
          <w:u w:val="none"/>
        </w:rPr>
      </w:pPr>
      <w:hyperlink r:id="rId145" w:history="1">
        <w:r w:rsidRPr="00DD7BD1">
          <w:rPr>
            <w:rStyle w:val="Hyperlink"/>
            <w:rFonts w:ascii="Calibri" w:eastAsiaTheme="minorHAnsi" w:hAnsi="Calibri" w:cs="Calibri"/>
            <w:b w:val="0"/>
            <w:bCs w:val="0"/>
            <w:sz w:val="22"/>
            <w:szCs w:val="22"/>
          </w:rPr>
          <w:t>Work Comp Notice – State Insured Businesses (WA04E)</w:t>
        </w:r>
      </w:hyperlink>
    </w:p>
    <w:p w14:paraId="7F167907" w14:textId="2F7F6513" w:rsidR="009D1F57" w:rsidRPr="00DD7BD1" w:rsidRDefault="008631FB" w:rsidP="008631FB">
      <w:pPr>
        <w:pStyle w:val="Heading1"/>
        <w:shd w:val="clear" w:color="auto" w:fill="FFFFFF"/>
        <w:tabs>
          <w:tab w:val="left" w:pos="1080"/>
        </w:tabs>
        <w:spacing w:before="0" w:beforeAutospacing="0" w:after="0" w:afterAutospacing="0"/>
        <w:ind w:left="1080"/>
        <w:rPr>
          <w:rFonts w:ascii="Calibri" w:hAnsi="Calibri" w:cs="Calibri"/>
        </w:rPr>
      </w:pPr>
      <w:hyperlink r:id="rId146" w:history="1">
        <w:r w:rsidRPr="00DD7BD1">
          <w:rPr>
            <w:rStyle w:val="Hyperlink"/>
            <w:rFonts w:ascii="Calibri" w:eastAsiaTheme="minorHAnsi" w:hAnsi="Calibri" w:cs="Calibri"/>
            <w:b w:val="0"/>
            <w:bCs w:val="0"/>
            <w:sz w:val="22"/>
            <w:szCs w:val="22"/>
          </w:rPr>
          <w:t>Work Comp Notice – Self-Insured Businesses (WA05E)</w:t>
        </w:r>
      </w:hyperlink>
    </w:p>
    <w:p w14:paraId="4DEF9A86" w14:textId="77777777" w:rsidR="00AB5BE1" w:rsidRPr="00DD7BD1" w:rsidRDefault="00AB5BE1" w:rsidP="002C701F">
      <w:pPr>
        <w:pStyle w:val="ParagraphBasic"/>
        <w:spacing w:after="0" w:line="240" w:lineRule="auto"/>
        <w:rPr>
          <w:rStyle w:val="Hyperlink"/>
          <w:rFonts w:ascii="Calibri" w:hAnsi="Calibri" w:cs="Calibri"/>
          <w:b/>
          <w:bCs/>
          <w:color w:val="auto"/>
          <w:kern w:val="36"/>
          <w:sz w:val="16"/>
          <w:szCs w:val="16"/>
          <w:u w:val="none"/>
        </w:rPr>
      </w:pPr>
    </w:p>
    <w:p w14:paraId="1EB887A4" w14:textId="0B837A18"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April</w:t>
      </w:r>
    </w:p>
    <w:p w14:paraId="1E809432"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ME – 1) </w:t>
      </w:r>
      <w:r w:rsidRPr="00DD7BD1">
        <w:rPr>
          <w:rFonts w:ascii="Calibri" w:eastAsiaTheme="minorHAnsi" w:hAnsi="Calibri" w:cs="Calibri"/>
          <w:b w:val="0"/>
          <w:bCs w:val="0"/>
          <w:sz w:val="22"/>
          <w:szCs w:val="22"/>
        </w:rPr>
        <w:t>Revised </w:t>
      </w:r>
      <w:hyperlink r:id="rId147" w:history="1">
        <w:r w:rsidRPr="00DD7BD1">
          <w:rPr>
            <w:rStyle w:val="Hyperlink"/>
            <w:rFonts w:ascii="Calibri" w:eastAsiaTheme="minorHAnsi" w:hAnsi="Calibri" w:cs="Calibri"/>
            <w:sz w:val="22"/>
            <w:szCs w:val="22"/>
          </w:rPr>
          <w:t>Paid Family and Medical Leave Notice </w:t>
        </w:r>
      </w:hyperlink>
      <w:r w:rsidRPr="00DD7BD1">
        <w:rPr>
          <w:rFonts w:ascii="Calibri" w:eastAsiaTheme="minorHAnsi" w:hAnsi="Calibri" w:cs="Calibri"/>
          <w:b w:val="0"/>
          <w:bCs w:val="0"/>
          <w:sz w:val="22"/>
          <w:szCs w:val="22"/>
        </w:rPr>
        <w:t>now includes the expanded list of qualifying reasons for taking family leave.</w:t>
      </w:r>
    </w:p>
    <w:p w14:paraId="45C20C45"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2) </w:t>
      </w:r>
      <w:r w:rsidRPr="00DD7BD1">
        <w:rPr>
          <w:rFonts w:ascii="Calibri" w:eastAsiaTheme="minorHAnsi" w:hAnsi="Calibri" w:cs="Calibri"/>
          <w:b w:val="0"/>
          <w:bCs w:val="0"/>
          <w:sz w:val="22"/>
          <w:szCs w:val="22"/>
        </w:rPr>
        <w:t xml:space="preserve">newly released </w:t>
      </w:r>
      <w:hyperlink r:id="rId148" w:history="1">
        <w:r w:rsidRPr="00DD7BD1">
          <w:rPr>
            <w:rStyle w:val="Hyperlink"/>
            <w:rFonts w:ascii="Calibri" w:eastAsiaTheme="minorHAnsi" w:hAnsi="Calibri" w:cs="Calibri"/>
            <w:sz w:val="22"/>
            <w:szCs w:val="22"/>
          </w:rPr>
          <w:t>Sexual Harassment Education and Training Notice</w:t>
        </w:r>
      </w:hyperlink>
    </w:p>
    <w:p w14:paraId="405D7F32"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color w:val="C00000"/>
          <w:sz w:val="22"/>
          <w:szCs w:val="22"/>
          <w:u w:val="none"/>
        </w:rPr>
        <w:t xml:space="preserve">New! </w:t>
      </w:r>
      <w:r w:rsidRPr="00DD7BD1">
        <w:rPr>
          <w:rFonts w:ascii="Calibri" w:eastAsiaTheme="minorHAnsi" w:hAnsi="Calibri" w:cs="Calibri"/>
          <w:b w:val="0"/>
          <w:bCs w:val="0"/>
          <w:sz w:val="22"/>
          <w:szCs w:val="22"/>
        </w:rPr>
        <w:t>Effective April 2, 2025, Michigan employers are required under HB 5736 to display the new </w:t>
      </w:r>
      <w:hyperlink r:id="rId149" w:history="1">
        <w:r w:rsidRPr="00DD7BD1">
          <w:rPr>
            <w:rStyle w:val="Hyperlink"/>
            <w:rFonts w:ascii="Calibri" w:eastAsiaTheme="minorHAnsi" w:hAnsi="Calibri" w:cs="Calibri"/>
            <w:sz w:val="22"/>
            <w:szCs w:val="22"/>
          </w:rPr>
          <w:t>Resources for Michigan Veterans Notice</w:t>
        </w:r>
      </w:hyperlink>
      <w:r w:rsidRPr="00DD7BD1">
        <w:rPr>
          <w:rFonts w:ascii="Calibri" w:eastAsiaTheme="minorHAnsi" w:hAnsi="Calibri" w:cs="Calibri"/>
          <w:b w:val="0"/>
          <w:bCs w:val="0"/>
          <w:sz w:val="22"/>
          <w:szCs w:val="22"/>
        </w:rPr>
        <w:t>.</w:t>
      </w:r>
      <w:r w:rsidRPr="00DD7BD1">
        <w:rPr>
          <w:rFonts w:ascii="Calibri" w:eastAsiaTheme="minorHAnsi" w:hAnsi="Calibri" w:cs="Calibri"/>
          <w:sz w:val="22"/>
          <w:szCs w:val="22"/>
        </w:rPr>
        <w:t> </w:t>
      </w:r>
    </w:p>
    <w:p w14:paraId="5DE5699E"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C00000"/>
          <w:sz w:val="22"/>
          <w:szCs w:val="22"/>
          <w:u w:val="none"/>
        </w:rPr>
        <w:t>Reminder</w:t>
      </w:r>
      <w:r w:rsidRPr="00DD7BD1">
        <w:rPr>
          <w:rStyle w:val="Hyperlink"/>
          <w:rFonts w:ascii="Calibri" w:eastAsiaTheme="minorHAnsi" w:hAnsi="Calibri" w:cs="Calibri"/>
          <w:b w:val="0"/>
          <w:bCs w:val="0"/>
          <w:color w:val="auto"/>
          <w:sz w:val="22"/>
          <w:szCs w:val="22"/>
          <w:u w:val="none"/>
        </w:rPr>
        <w:t xml:space="preserve"> State’s </w:t>
      </w:r>
      <w:hyperlink r:id="rId150"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C00000"/>
          <w:sz w:val="22"/>
          <w:szCs w:val="22"/>
          <w:u w:val="none"/>
        </w:rPr>
        <w:t>April 15</w:t>
      </w:r>
    </w:p>
    <w:p w14:paraId="5D09830A" w14:textId="755D3790"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NYC – New York City</w:t>
      </w:r>
      <w:r w:rsidRPr="00DD7BD1">
        <w:rPr>
          <w:rStyle w:val="Hyperlink"/>
          <w:rFonts w:ascii="Calibri" w:eastAsiaTheme="minorHAnsi" w:hAnsi="Calibri" w:cs="Calibri"/>
          <w:b w:val="0"/>
          <w:bCs w:val="0"/>
          <w:color w:val="auto"/>
          <w:sz w:val="22"/>
          <w:szCs w:val="22"/>
          <w:u w:val="none"/>
        </w:rPr>
        <w:t xml:space="preserve"> – Updated </w:t>
      </w:r>
      <w:hyperlink r:id="rId151" w:history="1">
        <w:r w:rsidRPr="00DD7BD1">
          <w:rPr>
            <w:rStyle w:val="Hyperlink"/>
            <w:rFonts w:ascii="Calibri" w:eastAsiaTheme="minorHAnsi" w:hAnsi="Calibri" w:cs="Calibri"/>
            <w:sz w:val="22"/>
            <w:szCs w:val="22"/>
          </w:rPr>
          <w:t>Pregnancy Accommodation Notice</w:t>
        </w:r>
      </w:hyperlink>
      <w:r w:rsidRPr="00DD7BD1">
        <w:rPr>
          <w:rStyle w:val="Hyperlink"/>
          <w:rFonts w:ascii="Calibri" w:eastAsiaTheme="minorHAnsi" w:hAnsi="Calibri" w:cs="Calibri"/>
          <w:b w:val="0"/>
          <w:bCs w:val="0"/>
          <w:color w:val="auto"/>
          <w:sz w:val="22"/>
          <w:szCs w:val="22"/>
          <w:u w:val="none"/>
        </w:rPr>
        <w:t xml:space="preserve"> with Paid Lactation Break information, post or provide may</w:t>
      </w:r>
      <w:r w:rsidRPr="00DD7BD1">
        <w:rPr>
          <w:rStyle w:val="Hyperlink"/>
          <w:rFonts w:ascii="Calibri" w:eastAsiaTheme="minorHAnsi" w:hAnsi="Calibri" w:cs="Calibri"/>
          <w:b w:val="0"/>
          <w:bCs w:val="0"/>
          <w:color w:val="C00000"/>
          <w:sz w:val="22"/>
          <w:szCs w:val="22"/>
          <w:u w:val="none"/>
        </w:rPr>
        <w:t xml:space="preserve"> May 8</w:t>
      </w:r>
    </w:p>
    <w:p w14:paraId="18CF79CA" w14:textId="77777777"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A06B3E0" w14:textId="704CEB9A" w:rsidR="00052D10" w:rsidRPr="00DD7BD1" w:rsidRDefault="00052D10"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Mar</w:t>
      </w:r>
      <w:r w:rsidR="00F1262E">
        <w:rPr>
          <w:rStyle w:val="Hyperlink"/>
          <w:rFonts w:ascii="Calibri" w:hAnsi="Calibri" w:cs="Calibri"/>
          <w:b/>
          <w:bCs/>
          <w:color w:val="auto"/>
          <w:kern w:val="36"/>
          <w:sz w:val="28"/>
          <w:szCs w:val="28"/>
          <w:u w:val="none"/>
        </w:rPr>
        <w:t>ch</w:t>
      </w:r>
    </w:p>
    <w:p w14:paraId="0CFB8DC3"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IL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Illinois issued an updated </w:t>
      </w:r>
      <w:hyperlink r:id="rId152" w:history="1">
        <w:r w:rsidRPr="00DD7BD1">
          <w:rPr>
            <w:rStyle w:val="Hyperlink"/>
            <w:rFonts w:ascii="Calibri" w:eastAsiaTheme="minorHAnsi" w:hAnsi="Calibri" w:cs="Calibri"/>
            <w:sz w:val="22"/>
            <w:szCs w:val="22"/>
          </w:rPr>
          <w:t>Victim's Economic Security and Safety Act (VESSA) Notice</w:t>
        </w:r>
      </w:hyperlink>
      <w:r w:rsidRPr="00DD7BD1">
        <w:rPr>
          <w:rFonts w:ascii="Calibri" w:eastAsiaTheme="minorHAnsi" w:hAnsi="Calibri" w:cs="Calibri"/>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b w:val="0"/>
          <w:bCs w:val="0"/>
          <w:color w:val="auto"/>
          <w:sz w:val="22"/>
          <w:szCs w:val="22"/>
          <w:u w:val="none"/>
        </w:rPr>
        <w:t xml:space="preserve">Reminder </w:t>
      </w:r>
      <w:r w:rsidRPr="00DD7BD1">
        <w:rPr>
          <w:rFonts w:ascii="Calibri" w:eastAsiaTheme="minorHAnsi" w:hAnsi="Calibri" w:cs="Calibri"/>
          <w:b w:val="0"/>
          <w:bCs w:val="0"/>
          <w:sz w:val="22"/>
          <w:szCs w:val="22"/>
        </w:rPr>
        <w:t>Sate’s</w:t>
      </w:r>
      <w:r w:rsidRPr="00DD7BD1">
        <w:rPr>
          <w:rStyle w:val="Hyperlink"/>
          <w:rFonts w:ascii="Calibri" w:eastAsiaTheme="minorHAnsi" w:hAnsi="Calibri" w:cs="Calibri"/>
          <w:color w:val="auto"/>
          <w:sz w:val="22"/>
          <w:szCs w:val="22"/>
          <w:u w:val="none"/>
        </w:rPr>
        <w:t xml:space="preserve"> </w:t>
      </w:r>
      <w:hyperlink r:id="rId153"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b w:val="0"/>
          <w:bCs w:val="0"/>
          <w:sz w:val="22"/>
          <w:szCs w:val="22"/>
        </w:rPr>
        <w:t xml:space="preserve"> to be distributed to MI employees by March 23.</w:t>
      </w:r>
    </w:p>
    <w:p w14:paraId="3A327CB3" w14:textId="6F83B07B" w:rsidR="00052D10" w:rsidRPr="00DD7BD1" w:rsidRDefault="00052D10" w:rsidP="00B03A9C">
      <w:pPr>
        <w:pStyle w:val="Heading1"/>
        <w:shd w:val="clear" w:color="auto" w:fill="FFFFFF"/>
        <w:tabs>
          <w:tab w:val="left" w:pos="1080"/>
        </w:tabs>
        <w:spacing w:before="0" w:beforeAutospacing="0" w:after="0" w:afterAutospacing="0"/>
        <w:ind w:left="117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auto"/>
          <w:sz w:val="22"/>
          <w:szCs w:val="22"/>
          <w:u w:val="none"/>
        </w:rPr>
        <w:t xml:space="preserve">Reminder State’s </w:t>
      </w:r>
      <w:hyperlink r:id="rId154"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April 15</w:t>
      </w:r>
    </w:p>
    <w:p w14:paraId="3DCD9894" w14:textId="77777777" w:rsidR="00B53287" w:rsidRPr="00DD7BD1" w:rsidRDefault="00B53287"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4704E83" w14:textId="2EF0B786"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w:t>
      </w:r>
      <w:r w:rsidR="00F1262E">
        <w:rPr>
          <w:rStyle w:val="Hyperlink"/>
          <w:rFonts w:ascii="Calibri" w:hAnsi="Calibri" w:cs="Calibri"/>
          <w:b/>
          <w:bCs/>
          <w:color w:val="auto"/>
          <w:kern w:val="36"/>
          <w:sz w:val="28"/>
          <w:szCs w:val="28"/>
          <w:u w:val="none"/>
        </w:rPr>
        <w:t>ruary</w:t>
      </w:r>
    </w:p>
    <w:p w14:paraId="7E73F87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lastRenderedPageBreak/>
        <w:t xml:space="preserve">CA – </w:t>
      </w:r>
      <w:r w:rsidRPr="00DD7BD1">
        <w:rPr>
          <w:rFonts w:ascii="Calibri" w:eastAsiaTheme="minorHAnsi" w:hAnsi="Calibri" w:cs="Calibri"/>
          <w:b w:val="0"/>
          <w:bCs w:val="0"/>
          <w:sz w:val="22"/>
          <w:szCs w:val="22"/>
        </w:rPr>
        <w:t>Updated Family &amp; Medical Leave &amp; Pregnancy Disability</w:t>
      </w:r>
      <w:r w:rsidRPr="00DD7BD1">
        <w:rPr>
          <w:rFonts w:ascii="Calibri" w:eastAsiaTheme="minorHAnsi" w:hAnsi="Calibri" w:cs="Calibri"/>
          <w:sz w:val="22"/>
          <w:szCs w:val="22"/>
        </w:rPr>
        <w:t xml:space="preserve"> </w:t>
      </w:r>
      <w:hyperlink r:id="rId155" w:history="1">
        <w:r w:rsidRPr="00DD7BD1">
          <w:rPr>
            <w:rStyle w:val="Hyperlink"/>
            <w:rFonts w:ascii="Calibri" w:eastAsiaTheme="minorHAnsi" w:hAnsi="Calibri" w:cs="Calibri"/>
            <w:sz w:val="22"/>
            <w:szCs w:val="22"/>
          </w:rPr>
          <w:t>Employee Leave Poster</w:t>
        </w:r>
      </w:hyperlink>
      <w:r w:rsidRPr="00DD7BD1">
        <w:rPr>
          <w:rFonts w:ascii="Calibri" w:eastAsiaTheme="minorHAnsi" w:hAnsi="Calibri" w:cs="Calibri"/>
          <w:sz w:val="22"/>
          <w:szCs w:val="22"/>
        </w:rPr>
        <w:t xml:space="preserve"> </w:t>
      </w:r>
    </w:p>
    <w:p w14:paraId="420FA80D" w14:textId="77777777" w:rsidR="009A459C" w:rsidRPr="00DD7BD1" w:rsidRDefault="009A459C" w:rsidP="00B03A9C">
      <w:pPr>
        <w:pStyle w:val="Heading1"/>
        <w:shd w:val="clear" w:color="auto" w:fill="FFFFFF"/>
        <w:spacing w:before="0" w:beforeAutospacing="0" w:after="0" w:afterAutospacing="0" w:line="264" w:lineRule="atLeast"/>
        <w:ind w:left="1260"/>
        <w:rPr>
          <w:rFonts w:ascii="Calibri" w:eastAsiaTheme="minorHAnsi" w:hAnsi="Calibri" w:cs="Calibri"/>
          <w:sz w:val="22"/>
          <w:szCs w:val="22"/>
        </w:rPr>
      </w:pPr>
      <w:r w:rsidRPr="00DD7BD1">
        <w:rPr>
          <w:rFonts w:ascii="Calibri" w:eastAsiaTheme="minorHAnsi" w:hAnsi="Calibri" w:cs="Calibri"/>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DC – Employers must post the state’s Universal Paid Leave/ Paud Family Leave Act Notice by Feb 2025 AND provide the Notice to Covered Employees - </w:t>
      </w:r>
      <w:hyperlink r:id="rId156" w:history="1">
        <w:r w:rsidRPr="00DD7BD1">
          <w:rPr>
            <w:rStyle w:val="Hyperlink"/>
            <w:rFonts w:ascii="Calibri" w:eastAsiaTheme="minorHAnsi" w:hAnsi="Calibri" w:cs="Calibri"/>
            <w:sz w:val="22"/>
            <w:szCs w:val="22"/>
          </w:rPr>
          <w:t>Paid Family Leave Notice</w:t>
        </w:r>
        <w:r w:rsidRPr="00DD7BD1">
          <w:rPr>
            <w:rStyle w:val="Hyperlink"/>
            <w:rFonts w:ascii="Calibri" w:eastAsiaTheme="minorHAnsi" w:hAnsi="Calibri" w:cs="Calibri"/>
            <w:b w:val="0"/>
            <w:bCs w:val="0"/>
            <w:sz w:val="22"/>
            <w:szCs w:val="22"/>
          </w:rPr>
          <w:t> </w:t>
        </w:r>
      </w:hyperlink>
      <w:r w:rsidRPr="00DD7BD1">
        <w:rPr>
          <w:rFonts w:ascii="Calibri" w:hAnsi="Calibri" w:cs="Calibri"/>
          <w:sz w:val="22"/>
          <w:szCs w:val="22"/>
        </w:rPr>
        <w:t xml:space="preserve"> </w:t>
      </w:r>
      <w:r w:rsidRPr="00DD7BD1">
        <w:rPr>
          <w:rFonts w:ascii="Calibri" w:eastAsiaTheme="minorHAnsi" w:hAnsi="Calibri" w:cs="Calibri"/>
          <w:b w:val="0"/>
          <w:bCs w:val="0"/>
          <w:sz w:val="22"/>
          <w:szCs w:val="22"/>
        </w:rPr>
        <w:t>(previously published)</w:t>
      </w:r>
    </w:p>
    <w:p w14:paraId="64C1C524"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MA – </w:t>
      </w:r>
      <w:r w:rsidRPr="00DD7BD1">
        <w:rPr>
          <w:rFonts w:ascii="Calibri" w:eastAsiaTheme="minorHAnsi" w:hAnsi="Calibri" w:cs="Calibri"/>
          <w:b w:val="0"/>
          <w:bCs w:val="0"/>
          <w:sz w:val="22"/>
          <w:szCs w:val="22"/>
        </w:rPr>
        <w:t>Updated</w:t>
      </w:r>
      <w:r w:rsidRPr="00DD7BD1">
        <w:rPr>
          <w:rFonts w:ascii="Calibri" w:eastAsiaTheme="minorHAnsi" w:hAnsi="Calibri" w:cs="Calibri"/>
          <w:sz w:val="22"/>
          <w:szCs w:val="22"/>
        </w:rPr>
        <w:t xml:space="preserve"> </w:t>
      </w:r>
      <w:hyperlink r:id="rId157" w:history="1">
        <w:r w:rsidRPr="00DD7BD1">
          <w:rPr>
            <w:rStyle w:val="Hyperlink"/>
            <w:rFonts w:ascii="Calibri" w:eastAsiaTheme="minorHAnsi" w:hAnsi="Calibri" w:cs="Calibri"/>
            <w:sz w:val="22"/>
            <w:szCs w:val="22"/>
          </w:rPr>
          <w:t>Veterans Services Poster</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(distributed/posted by employers with 51 or more full-time employees.)</w:t>
      </w:r>
      <w:r w:rsidRPr="00DD7BD1">
        <w:rPr>
          <w:rFonts w:ascii="Calibri" w:eastAsiaTheme="minorHAnsi" w:hAnsi="Calibri" w:cs="Calibri"/>
          <w:sz w:val="22"/>
          <w:szCs w:val="22"/>
        </w:rPr>
        <w:t xml:space="preserve"> and </w:t>
      </w:r>
      <w:hyperlink r:id="rId158"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sz w:val="22"/>
          <w:szCs w:val="22"/>
        </w:rPr>
        <w:t xml:space="preserve"> </w:t>
      </w:r>
    </w:p>
    <w:p w14:paraId="78B4E4E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MI – updated </w:t>
      </w:r>
      <w:hyperlink r:id="rId159" w:history="1">
        <w:r w:rsidRPr="00DD7BD1">
          <w:rPr>
            <w:rStyle w:val="Hyperlink"/>
            <w:rFonts w:ascii="Calibri" w:eastAsiaTheme="minorHAnsi" w:hAnsi="Calibri" w:cs="Calibri"/>
            <w:sz w:val="22"/>
            <w:szCs w:val="22"/>
          </w:rPr>
          <w:t>Earned Sick Time Act Notice</w:t>
        </w:r>
      </w:hyperlink>
      <w:r w:rsidRPr="00DD7BD1">
        <w:rPr>
          <w:rFonts w:ascii="Calibri" w:eastAsiaTheme="minorHAnsi" w:hAnsi="Calibri" w:cs="Calibri"/>
          <w:sz w:val="22"/>
          <w:szCs w:val="22"/>
        </w:rPr>
        <w:t xml:space="preserve"> &amp; </w:t>
      </w:r>
      <w:hyperlink r:id="rId160" w:history="1">
        <w:r w:rsidRPr="00DD7BD1">
          <w:rPr>
            <w:rStyle w:val="Hyperlink"/>
            <w:rFonts w:ascii="Calibri" w:eastAsiaTheme="minorHAnsi" w:hAnsi="Calibri" w:cs="Calibri"/>
            <w:sz w:val="22"/>
            <w:szCs w:val="22"/>
          </w:rPr>
          <w:t>Minimum Wage Notice</w:t>
        </w:r>
      </w:hyperlink>
    </w:p>
    <w:p w14:paraId="4EBE17D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RI</w:t>
      </w:r>
      <w:r w:rsidRPr="00DD7BD1">
        <w:rPr>
          <w:rFonts w:ascii="Calibri" w:eastAsiaTheme="minorHAnsi" w:hAnsi="Calibri" w:cs="Calibri"/>
          <w:b w:val="0"/>
          <w:bCs w:val="0"/>
          <w:sz w:val="22"/>
          <w:szCs w:val="22"/>
        </w:rPr>
        <w:t xml:space="preserve"> – New </w:t>
      </w:r>
      <w:hyperlink r:id="rId161" w:history="1">
        <w:r w:rsidRPr="00DD7BD1">
          <w:rPr>
            <w:rStyle w:val="Hyperlink"/>
            <w:rFonts w:ascii="Calibri" w:eastAsiaTheme="minorHAnsi" w:hAnsi="Calibri" w:cs="Calibri"/>
            <w:sz w:val="22"/>
            <w:szCs w:val="22"/>
          </w:rPr>
          <w:t>Veterans Benefit &amp; Service Poster</w:t>
        </w:r>
      </w:hyperlink>
      <w:r w:rsidRPr="00DD7BD1">
        <w:rPr>
          <w:rFonts w:ascii="Calibri" w:eastAsiaTheme="minorHAnsi" w:hAnsi="Calibri" w:cs="Calibri"/>
          <w:b w:val="0"/>
          <w:bCs w:val="0"/>
          <w:sz w:val="22"/>
          <w:szCs w:val="22"/>
        </w:rPr>
        <w:t xml:space="preserve"> (distributed/posted by employers with 51 or more full-time equivalent employees.</w:t>
      </w:r>
    </w:p>
    <w:p w14:paraId="6DA51CEB" w14:textId="77777777" w:rsidR="009A459C" w:rsidRPr="00DD7BD1" w:rsidRDefault="009A459C" w:rsidP="00B03A9C">
      <w:pPr>
        <w:pStyle w:val="Heading1"/>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 xml:space="preserve">NV </w:t>
      </w:r>
      <w:r w:rsidRPr="00DD7BD1">
        <w:rPr>
          <w:rFonts w:ascii="Calibri" w:eastAsiaTheme="minorHAnsi" w:hAnsi="Calibri" w:cs="Calibri"/>
          <w:b w:val="0"/>
          <w:bCs w:val="0"/>
          <w:sz w:val="22"/>
          <w:szCs w:val="22"/>
        </w:rPr>
        <w:t xml:space="preserve">– updated notices: </w:t>
      </w:r>
      <w:hyperlink r:id="rId162" w:anchor="Required%20Notices%20and%20Bulletins" w:history="1">
        <w:r w:rsidRPr="00DD7BD1">
          <w:rPr>
            <w:rStyle w:val="Hyperlink"/>
            <w:rFonts w:ascii="Calibri" w:eastAsiaTheme="minorHAnsi" w:hAnsi="Calibri" w:cs="Calibri"/>
            <w:b w:val="0"/>
            <w:bCs w:val="0"/>
            <w:sz w:val="22"/>
            <w:szCs w:val="22"/>
          </w:rPr>
          <w:t>https://labor.nv.gov/Employer/Employer_Posters/#Required%20Notices%20and%20Bulletins</w:t>
        </w:r>
      </w:hyperlink>
      <w:r w:rsidRPr="00DD7BD1">
        <w:rPr>
          <w:rFonts w:ascii="Calibri" w:eastAsiaTheme="minorHAnsi" w:hAnsi="Calibri" w:cs="Calibri"/>
          <w:sz w:val="22"/>
          <w:szCs w:val="22"/>
        </w:rPr>
        <w:t xml:space="preserve">Rules to be Observed by Employers Notice; Domestic Violence Leave; AB 307 Training Programs Notice; </w:t>
      </w:r>
      <w:hyperlink r:id="rId163" w:history="1">
        <w:r w:rsidRPr="00DD7BD1">
          <w:rPr>
            <w:rStyle w:val="Hyperlink"/>
            <w:rFonts w:ascii="Calibri" w:eastAsiaTheme="minorHAnsi" w:hAnsi="Calibri" w:cs="Calibri"/>
            <w:sz w:val="22"/>
            <w:szCs w:val="22"/>
          </w:rPr>
          <w:t>The Pregnant Workers' Fairness Act Notice</w:t>
        </w:r>
      </w:hyperlink>
      <w:r w:rsidRPr="00DD7BD1">
        <w:rPr>
          <w:rFonts w:ascii="Calibri" w:eastAsiaTheme="minorHAnsi" w:hAnsi="Calibri" w:cs="Calibri"/>
          <w:sz w:val="22"/>
          <w:szCs w:val="22"/>
        </w:rPr>
        <w:t xml:space="preserve">; </w:t>
      </w:r>
      <w:hyperlink r:id="rId164" w:history="1">
        <w:r w:rsidRPr="00DD7BD1">
          <w:rPr>
            <w:rStyle w:val="Hyperlink"/>
            <w:rFonts w:ascii="Calibri" w:eastAsiaTheme="minorHAnsi" w:hAnsi="Calibri" w:cs="Calibri"/>
            <w:sz w:val="22"/>
            <w:szCs w:val="22"/>
          </w:rPr>
          <w:t>Nevada OSHA Notice</w:t>
        </w:r>
      </w:hyperlink>
      <w:r w:rsidRPr="00DD7BD1">
        <w:rPr>
          <w:rFonts w:ascii="Calibri" w:eastAsiaTheme="minorHAnsi" w:hAnsi="Calibri" w:cs="Calibri"/>
          <w:sz w:val="22"/>
          <w:szCs w:val="22"/>
        </w:rPr>
        <w:t xml:space="preserve">; </w:t>
      </w:r>
    </w:p>
    <w:p w14:paraId="0CC86268" w14:textId="764269FA" w:rsidR="009A459C" w:rsidRPr="00DD7BD1" w:rsidRDefault="009A459C" w:rsidP="00B03A9C">
      <w:pPr>
        <w:pStyle w:val="Heading1"/>
        <w:shd w:val="clear" w:color="auto" w:fill="FFFFFF"/>
        <w:spacing w:before="0" w:beforeAutospacing="0" w:after="0" w:afterAutospacing="0" w:line="264" w:lineRule="atLeast"/>
        <w:ind w:left="1260" w:hanging="54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CT </w:t>
      </w:r>
      <w:r w:rsidRPr="00DD7BD1">
        <w:rPr>
          <w:rFonts w:ascii="Calibri" w:eastAsiaTheme="minorHAnsi" w:hAnsi="Calibri" w:cs="Calibri"/>
          <w:b w:val="0"/>
          <w:bCs w:val="0"/>
          <w:sz w:val="22"/>
          <w:szCs w:val="22"/>
        </w:rPr>
        <w:t xml:space="preserve">– updated </w:t>
      </w:r>
      <w:hyperlink r:id="rId165" w:history="1">
        <w:r w:rsidRPr="00DD7BD1">
          <w:rPr>
            <w:rStyle w:val="Hyperlink"/>
            <w:rFonts w:ascii="Calibri" w:eastAsiaTheme="minorHAnsi" w:hAnsi="Calibri" w:cs="Calibri"/>
            <w:sz w:val="22"/>
            <w:szCs w:val="22"/>
          </w:rPr>
          <w:t>Discrimination is Illegal</w:t>
        </w:r>
      </w:hyperlink>
      <w:r w:rsidRPr="00DD7BD1">
        <w:rPr>
          <w:rFonts w:ascii="Calibri" w:eastAsiaTheme="minorHAnsi" w:hAnsi="Calibri" w:cs="Calibri"/>
          <w:b w:val="0"/>
          <w:bCs w:val="0"/>
          <w:sz w:val="22"/>
          <w:szCs w:val="22"/>
        </w:rPr>
        <w:t xml:space="preserve"> Notice</w:t>
      </w:r>
    </w:p>
    <w:p w14:paraId="0217EF83" w14:textId="77777777" w:rsidR="00B03A9C" w:rsidRPr="00DD7BD1" w:rsidRDefault="00B03A9C" w:rsidP="009A459C">
      <w:pPr>
        <w:pStyle w:val="ParagraphBasic"/>
        <w:spacing w:after="0" w:line="240" w:lineRule="auto"/>
        <w:ind w:firstLine="360"/>
        <w:rPr>
          <w:rStyle w:val="Hyperlink"/>
          <w:rFonts w:ascii="Calibri" w:hAnsi="Calibri" w:cs="Calibri"/>
          <w:b/>
          <w:bCs/>
          <w:color w:val="auto"/>
          <w:kern w:val="36"/>
          <w:sz w:val="28"/>
          <w:szCs w:val="28"/>
          <w:u w:val="none"/>
        </w:rPr>
      </w:pPr>
    </w:p>
    <w:p w14:paraId="59076A2B" w14:textId="0A790784"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Jan</w:t>
      </w:r>
      <w:r w:rsidR="00F1262E">
        <w:rPr>
          <w:rStyle w:val="Hyperlink"/>
          <w:rFonts w:ascii="Calibri" w:hAnsi="Calibri" w:cs="Calibri"/>
          <w:b/>
          <w:bCs/>
          <w:color w:val="auto"/>
          <w:kern w:val="36"/>
          <w:sz w:val="28"/>
          <w:szCs w:val="28"/>
          <w:u w:val="none"/>
        </w:rPr>
        <w:t>uary</w:t>
      </w:r>
    </w:p>
    <w:p w14:paraId="04136CA0"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IL – </w:t>
      </w:r>
      <w:hyperlink r:id="rId166" w:history="1">
        <w:r w:rsidRPr="00DD7BD1">
          <w:rPr>
            <w:rStyle w:val="Hyperlink"/>
            <w:rFonts w:ascii="Calibri" w:eastAsiaTheme="minorHAnsi" w:hAnsi="Calibri" w:cs="Calibri"/>
            <w:b w:val="0"/>
            <w:bCs w:val="0"/>
            <w:sz w:val="22"/>
            <w:szCs w:val="22"/>
          </w:rPr>
          <w:t>Min Wage Notice</w:t>
        </w:r>
      </w:hyperlink>
      <w:r w:rsidRPr="00DD7BD1">
        <w:rPr>
          <w:rFonts w:ascii="Calibri" w:eastAsiaTheme="minorHAnsi" w:hAnsi="Calibri" w:cs="Calibri"/>
          <w:b w:val="0"/>
          <w:bCs w:val="0"/>
          <w:sz w:val="22"/>
          <w:szCs w:val="22"/>
        </w:rPr>
        <w:t xml:space="preserve">, </w:t>
      </w:r>
      <w:hyperlink r:id="rId167" w:history="1">
        <w:r w:rsidRPr="00DD7BD1">
          <w:rPr>
            <w:rStyle w:val="Hyperlink"/>
            <w:rFonts w:ascii="Calibri" w:eastAsiaTheme="minorHAnsi" w:hAnsi="Calibri" w:cs="Calibri"/>
            <w:b w:val="0"/>
            <w:bCs w:val="0"/>
            <w:sz w:val="22"/>
            <w:szCs w:val="22"/>
          </w:rPr>
          <w:t>Pay Transparency Notice</w:t>
        </w:r>
      </w:hyperlink>
      <w:r w:rsidRPr="00DD7BD1">
        <w:rPr>
          <w:rFonts w:ascii="Calibri" w:eastAsiaTheme="minorHAnsi" w:hAnsi="Calibri" w:cs="Calibri"/>
          <w:b w:val="0"/>
          <w:bCs w:val="0"/>
          <w:sz w:val="22"/>
          <w:szCs w:val="22"/>
        </w:rPr>
        <w:t xml:space="preserve">, </w:t>
      </w:r>
      <w:hyperlink r:id="rId168" w:history="1">
        <w:r w:rsidRPr="00DD7BD1">
          <w:rPr>
            <w:rStyle w:val="Hyperlink"/>
            <w:rFonts w:ascii="Calibri" w:eastAsiaTheme="minorHAnsi" w:hAnsi="Calibri" w:cs="Calibri"/>
            <w:b w:val="0"/>
            <w:bCs w:val="0"/>
            <w:sz w:val="22"/>
            <w:szCs w:val="22"/>
          </w:rPr>
          <w:t>E-Verify Notice</w:t>
        </w:r>
      </w:hyperlink>
    </w:p>
    <w:p w14:paraId="783AD8E3"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b w:val="0"/>
          <w:bCs w:val="0"/>
          <w:sz w:val="22"/>
          <w:szCs w:val="22"/>
        </w:rPr>
      </w:pPr>
      <w:r w:rsidRPr="00DD7BD1">
        <w:rPr>
          <w:rFonts w:ascii="Calibri" w:eastAsiaTheme="minorHAnsi" w:hAnsi="Calibri" w:cs="Calibri"/>
          <w:sz w:val="22"/>
          <w:szCs w:val="22"/>
        </w:rPr>
        <w:t>NE -  </w:t>
      </w:r>
      <w:hyperlink r:id="rId169" w:history="1">
        <w:r w:rsidRPr="00DD7BD1">
          <w:rPr>
            <w:rStyle w:val="Hyperlink"/>
            <w:rFonts w:ascii="Calibri" w:eastAsiaTheme="minorHAnsi" w:hAnsi="Calibri" w:cs="Calibri"/>
            <w:b w:val="0"/>
            <w:bCs w:val="0"/>
            <w:sz w:val="22"/>
            <w:szCs w:val="22"/>
          </w:rPr>
          <w:t>Nebraska Equal Pay</w:t>
        </w:r>
      </w:hyperlink>
      <w:r w:rsidRPr="00DD7BD1">
        <w:rPr>
          <w:rFonts w:ascii="Calibri" w:eastAsiaTheme="minorHAnsi" w:hAnsi="Calibri" w:cs="Calibri"/>
          <w:b w:val="0"/>
          <w:bCs w:val="0"/>
          <w:sz w:val="22"/>
          <w:szCs w:val="22"/>
        </w:rPr>
        <w:t xml:space="preserve"> regulations and an updated office address. </w:t>
      </w:r>
    </w:p>
    <w:p w14:paraId="049F8776"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MI – </w:t>
      </w:r>
      <w:hyperlink r:id="rId170" w:history="1">
        <w:r w:rsidRPr="00DD7BD1">
          <w:rPr>
            <w:rStyle w:val="Hyperlink"/>
            <w:rFonts w:ascii="Calibri" w:eastAsiaTheme="minorHAnsi" w:hAnsi="Calibri" w:cs="Calibri"/>
            <w:b w:val="0"/>
            <w:bCs w:val="0"/>
            <w:sz w:val="22"/>
            <w:szCs w:val="22"/>
          </w:rPr>
          <w:t>Paid Sick Leave Model Notice</w:t>
        </w:r>
      </w:hyperlink>
      <w:r w:rsidRPr="00DD7BD1">
        <w:rPr>
          <w:rFonts w:ascii="Calibri" w:eastAsiaTheme="minorHAnsi" w:hAnsi="Calibri" w:cs="Calibri"/>
          <w:sz w:val="22"/>
          <w:szCs w:val="22"/>
        </w:rPr>
        <w:t xml:space="preserve"> </w:t>
      </w:r>
    </w:p>
    <w:p w14:paraId="53F96834" w14:textId="0DBF6A4E" w:rsidR="00BD445F" w:rsidRPr="00DD7BD1" w:rsidRDefault="00BD445F" w:rsidP="00B03A9C">
      <w:pPr>
        <w:pStyle w:val="Heading1"/>
        <w:tabs>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CA – </w:t>
      </w:r>
      <w:hyperlink r:id="rId171" w:history="1">
        <w:r w:rsidRPr="00DD7BD1">
          <w:rPr>
            <w:rStyle w:val="Hyperlink"/>
            <w:rFonts w:ascii="Calibri" w:eastAsiaTheme="minorHAnsi" w:hAnsi="Calibri" w:cs="Calibri"/>
            <w:b w:val="0"/>
            <w:bCs w:val="0"/>
            <w:sz w:val="22"/>
            <w:szCs w:val="22"/>
          </w:rPr>
          <w:t>Model Whistle Blowers Notice</w:t>
        </w:r>
      </w:hyperlink>
      <w:r w:rsidRPr="00DD7BD1">
        <w:rPr>
          <w:rFonts w:ascii="Calibri" w:eastAsiaTheme="minorHAnsi" w:hAnsi="Calibri" w:cs="Calibri"/>
          <w:b w:val="0"/>
          <w:bCs w:val="0"/>
          <w:sz w:val="22"/>
          <w:szCs w:val="22"/>
        </w:rPr>
        <w:t xml:space="preserve">   </w:t>
      </w:r>
    </w:p>
    <w:p w14:paraId="7E6DEA8F" w14:textId="77777777" w:rsidR="009A459C" w:rsidRPr="00DD7BD1" w:rsidRDefault="009A459C" w:rsidP="009A459C">
      <w:pPr>
        <w:pStyle w:val="Heading1"/>
        <w:shd w:val="clear" w:color="auto" w:fill="FFFFFF"/>
        <w:spacing w:before="0" w:beforeAutospacing="0" w:after="0" w:afterAutospacing="0" w:line="264" w:lineRule="atLeast"/>
        <w:rPr>
          <w:rFonts w:ascii="Calibri" w:eastAsiaTheme="minorHAnsi" w:hAnsi="Calibri" w:cs="Calibri"/>
          <w:sz w:val="20"/>
          <w:szCs w:val="20"/>
          <w:u w:val="single"/>
        </w:rPr>
      </w:pPr>
    </w:p>
    <w:p w14:paraId="12F759EB" w14:textId="6193597D" w:rsidR="009A459C" w:rsidRPr="00DD7BD1" w:rsidRDefault="009A459C" w:rsidP="009A459C">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Resources:</w:t>
      </w:r>
    </w:p>
    <w:p w14:paraId="33BC88D0" w14:textId="5A2CA761" w:rsidR="009A459C" w:rsidRPr="00DD7BD1" w:rsidRDefault="009A459C" w:rsidP="009A459C">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Feb</w:t>
      </w:r>
      <w:r w:rsidR="00344D2E" w:rsidRPr="00DD7BD1">
        <w:rPr>
          <w:rStyle w:val="Hyperlink"/>
          <w:rFonts w:ascii="Calibri" w:eastAsiaTheme="minorHAnsi" w:hAnsi="Calibri" w:cs="Calibri"/>
          <w:color w:val="auto"/>
          <w:sz w:val="28"/>
          <w:szCs w:val="28"/>
          <w:u w:val="none"/>
        </w:rPr>
        <w:t xml:space="preserve"> 2025</w:t>
      </w:r>
      <w:r w:rsidRPr="00DD7BD1">
        <w:rPr>
          <w:rStyle w:val="Hyperlink"/>
          <w:rFonts w:ascii="Calibri" w:eastAsiaTheme="minorHAnsi" w:hAnsi="Calibri" w:cs="Calibri"/>
          <w:color w:val="auto"/>
          <w:sz w:val="28"/>
          <w:szCs w:val="28"/>
          <w:u w:val="none"/>
        </w:rPr>
        <w:t>:</w:t>
      </w:r>
    </w:p>
    <w:p w14:paraId="210E5564"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Reducing Wage &amp; Hour Claims</w:t>
      </w:r>
    </w:p>
    <w:p w14:paraId="3DEE94C7"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Immigration Raids</w:t>
      </w:r>
    </w:p>
    <w:p w14:paraId="04CE59A8"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SHRM Checklists: What to Do to Prepare For &amp; During an ICE Immigration Visit</w:t>
      </w:r>
    </w:p>
    <w:p w14:paraId="6C9E9E91" w14:textId="77777777" w:rsidR="00BD445F" w:rsidRPr="00DD7BD1" w:rsidRDefault="00BD445F" w:rsidP="009A459C">
      <w:pPr>
        <w:pStyle w:val="Heading1"/>
        <w:shd w:val="clear" w:color="auto" w:fill="FFFFFF"/>
        <w:spacing w:before="0" w:beforeAutospacing="0" w:after="0" w:afterAutospacing="0" w:line="264" w:lineRule="atLeast"/>
        <w:ind w:left="360"/>
        <w:rPr>
          <w:rStyle w:val="Hyperlink"/>
          <w:rFonts w:ascii="Calibri" w:eastAsiaTheme="minorHAnsi" w:hAnsi="Calibri" w:cs="Calibri"/>
          <w:color w:val="auto"/>
          <w:sz w:val="20"/>
          <w:szCs w:val="20"/>
        </w:rPr>
      </w:pPr>
    </w:p>
    <w:p w14:paraId="1ED15722" w14:textId="77777777" w:rsidR="002711CA" w:rsidRDefault="002711CA"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p>
    <w:p w14:paraId="4CFFAB11" w14:textId="77777777" w:rsidR="002711CA" w:rsidRDefault="002711CA"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p>
    <w:p w14:paraId="0280EABE" w14:textId="77777777" w:rsidR="002711CA" w:rsidRDefault="002711CA"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p>
    <w:p w14:paraId="50518DC4" w14:textId="77777777" w:rsidR="002711CA" w:rsidRDefault="002711CA"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p>
    <w:p w14:paraId="3811A59A" w14:textId="26BA335F" w:rsidR="009040C5" w:rsidRPr="00471110" w:rsidRDefault="002833B7"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36"/>
          <w:szCs w:val="36"/>
          <w:u w:val="none"/>
        </w:rPr>
      </w:pPr>
      <w:r w:rsidRPr="00471110">
        <w:rPr>
          <w:rStyle w:val="Hyperlink"/>
          <w:rFonts w:ascii="Calibri" w:eastAsiaTheme="minorHAnsi" w:hAnsi="Calibri" w:cs="Calibri"/>
          <w:color w:val="auto"/>
          <w:sz w:val="36"/>
          <w:szCs w:val="36"/>
          <w:u w:val="none"/>
        </w:rPr>
        <w:t>Updated State Handbook Addendums</w:t>
      </w:r>
    </w:p>
    <w:p w14:paraId="7E6CFEC3" w14:textId="4E47C7EA" w:rsidR="00471110" w:rsidRDefault="00471110" w:rsidP="002711CA">
      <w:pPr>
        <w:pStyle w:val="Heading1"/>
        <w:shd w:val="clear" w:color="auto" w:fill="FFFFFF"/>
        <w:spacing w:before="0" w:beforeAutospacing="0" w:after="0" w:afterAutospacing="0"/>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 xml:space="preserve">Released </w:t>
      </w:r>
      <w:r w:rsidRPr="00471110">
        <w:rPr>
          <w:rStyle w:val="Hyperlink"/>
          <w:rFonts w:ascii="Calibri" w:eastAsiaTheme="minorHAnsi" w:hAnsi="Calibri" w:cs="Calibri"/>
          <w:color w:val="C00000"/>
          <w:sz w:val="22"/>
          <w:szCs w:val="22"/>
          <w:u w:val="none"/>
        </w:rPr>
        <w:t>August 2026</w:t>
      </w:r>
    </w:p>
    <w:p w14:paraId="6E967D68" w14:textId="77777777" w:rsidR="00471110" w:rsidRPr="00471110" w:rsidRDefault="00471110" w:rsidP="00471110">
      <w:pPr>
        <w:pStyle w:val="MainSectionHead"/>
        <w:numPr>
          <w:ilvl w:val="0"/>
          <w:numId w:val="363"/>
        </w:numPr>
        <w:tabs>
          <w:tab w:val="num" w:pos="720"/>
        </w:tabs>
        <w:spacing w:before="0" w:after="0"/>
        <w:rPr>
          <w:sz w:val="22"/>
          <w:szCs w:val="22"/>
        </w:rPr>
      </w:pPr>
      <w:r w:rsidRPr="00471110">
        <w:rPr>
          <w:sz w:val="22"/>
          <w:szCs w:val="22"/>
        </w:rPr>
        <w:t>South Carolina</w:t>
      </w:r>
    </w:p>
    <w:p w14:paraId="058C1806" w14:textId="500F1B48" w:rsidR="00471110" w:rsidRPr="00471110" w:rsidRDefault="00471110" w:rsidP="00471110">
      <w:pPr>
        <w:pStyle w:val="MainSectionHead"/>
        <w:numPr>
          <w:ilvl w:val="1"/>
          <w:numId w:val="363"/>
        </w:numPr>
        <w:spacing w:before="0" w:after="0"/>
        <w:rPr>
          <w:rStyle w:val="Hyperlink"/>
          <w:color w:val="0E425C"/>
          <w:sz w:val="26"/>
          <w:szCs w:val="26"/>
          <w:u w:val="none"/>
        </w:rPr>
      </w:pPr>
      <w:r w:rsidRPr="00963366">
        <w:rPr>
          <w:b w:val="0"/>
          <w:bCs w:val="0"/>
          <w:color w:val="auto"/>
          <w:sz w:val="24"/>
          <w:szCs w:val="24"/>
        </w:rPr>
        <w:t>u</w:t>
      </w:r>
      <w:r w:rsidRPr="005C5BF0">
        <w:rPr>
          <w:b w:val="0"/>
          <w:bCs w:val="0"/>
          <w:color w:val="auto"/>
          <w:sz w:val="24"/>
          <w:szCs w:val="24"/>
        </w:rPr>
        <w:t>pdated State Handbook Addendum adding</w:t>
      </w:r>
      <w:r>
        <w:rPr>
          <w:b w:val="0"/>
          <w:bCs w:val="0"/>
          <w:color w:val="auto"/>
          <w:sz w:val="24"/>
          <w:szCs w:val="24"/>
        </w:rPr>
        <w:t xml:space="preserve"> Civil Air Patrol</w:t>
      </w:r>
      <w:r w:rsidRPr="00963366">
        <w:rPr>
          <w:b w:val="0"/>
          <w:bCs w:val="0"/>
          <w:color w:val="auto"/>
          <w:sz w:val="24"/>
          <w:szCs w:val="24"/>
        </w:rPr>
        <w:t xml:space="preserve"> Leave Policy</w:t>
      </w:r>
      <w:r>
        <w:rPr>
          <w:b w:val="0"/>
          <w:bCs w:val="0"/>
          <w:color w:val="auto"/>
          <w:sz w:val="24"/>
          <w:szCs w:val="24"/>
        </w:rPr>
        <w:t xml:space="preserve"> applicable to public and private employers.</w:t>
      </w:r>
    </w:p>
    <w:p w14:paraId="26EA9007" w14:textId="77777777" w:rsidR="00471110" w:rsidRDefault="00471110" w:rsidP="002711CA">
      <w:pPr>
        <w:pStyle w:val="Heading1"/>
        <w:shd w:val="clear" w:color="auto" w:fill="FFFFFF"/>
        <w:spacing w:before="0" w:beforeAutospacing="0" w:after="0" w:afterAutospacing="0"/>
        <w:ind w:firstLine="360"/>
        <w:rPr>
          <w:rStyle w:val="Hyperlink"/>
          <w:rFonts w:ascii="Calibri" w:eastAsiaTheme="minorHAnsi" w:hAnsi="Calibri" w:cs="Calibri"/>
          <w:color w:val="auto"/>
          <w:sz w:val="22"/>
          <w:szCs w:val="22"/>
          <w:u w:val="none"/>
        </w:rPr>
      </w:pPr>
    </w:p>
    <w:p w14:paraId="180496E1" w14:textId="1E996965" w:rsidR="002711CA" w:rsidRDefault="002711CA" w:rsidP="002711CA">
      <w:pPr>
        <w:pStyle w:val="Heading1"/>
        <w:shd w:val="clear" w:color="auto" w:fill="FFFFFF"/>
        <w:spacing w:before="0" w:beforeAutospacing="0" w:after="0" w:afterAutospacing="0"/>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Released</w:t>
      </w:r>
      <w:r w:rsidRPr="002711CA">
        <w:rPr>
          <w:rStyle w:val="Hyperlink"/>
          <w:rFonts w:ascii="Calibri" w:eastAsiaTheme="minorHAnsi" w:hAnsi="Calibri" w:cs="Calibri"/>
          <w:color w:val="C00000"/>
          <w:sz w:val="22"/>
          <w:szCs w:val="22"/>
          <w:u w:val="none"/>
        </w:rPr>
        <w:t xml:space="preserve"> July 2026</w:t>
      </w:r>
    </w:p>
    <w:p w14:paraId="73A53E8D" w14:textId="77777777" w:rsidR="002711CA" w:rsidRDefault="002711CA">
      <w:pPr>
        <w:pStyle w:val="MainSectionHead"/>
        <w:numPr>
          <w:ilvl w:val="0"/>
          <w:numId w:val="377"/>
        </w:numPr>
        <w:spacing w:before="0" w:after="0" w:line="240" w:lineRule="auto"/>
        <w:rPr>
          <w:b w:val="0"/>
          <w:bCs w:val="0"/>
          <w:color w:val="auto"/>
          <w:sz w:val="22"/>
          <w:szCs w:val="22"/>
        </w:rPr>
      </w:pPr>
      <w:r w:rsidRPr="002711CA">
        <w:rPr>
          <w:sz w:val="22"/>
          <w:szCs w:val="22"/>
        </w:rPr>
        <w:t xml:space="preserve">Louisiana </w:t>
      </w:r>
    </w:p>
    <w:p w14:paraId="36051E8B" w14:textId="57264EAE" w:rsidR="002711CA" w:rsidRPr="002711CA" w:rsidRDefault="002711CA">
      <w:pPr>
        <w:pStyle w:val="MainSectionHead"/>
        <w:numPr>
          <w:ilvl w:val="1"/>
          <w:numId w:val="377"/>
        </w:numPr>
        <w:spacing w:before="0" w:after="0" w:line="240" w:lineRule="auto"/>
        <w:rPr>
          <w:b w:val="0"/>
          <w:bCs w:val="0"/>
          <w:color w:val="auto"/>
          <w:sz w:val="22"/>
          <w:szCs w:val="22"/>
        </w:rPr>
      </w:pPr>
      <w:r w:rsidRPr="002711CA">
        <w:rPr>
          <w:b w:val="0"/>
          <w:bCs w:val="0"/>
          <w:color w:val="auto"/>
          <w:sz w:val="22"/>
          <w:szCs w:val="22"/>
        </w:rPr>
        <w:t xml:space="preserve">updated to include new Organ &amp; Bone Marrow Donation Leaves in effect as of August 1. </w:t>
      </w:r>
    </w:p>
    <w:p w14:paraId="7734A0F3" w14:textId="77777777" w:rsidR="002711CA" w:rsidRPr="002711CA" w:rsidRDefault="002711CA">
      <w:pPr>
        <w:pStyle w:val="MainSectionHead"/>
        <w:numPr>
          <w:ilvl w:val="0"/>
          <w:numId w:val="377"/>
        </w:numPr>
        <w:spacing w:before="0" w:after="0" w:line="240" w:lineRule="auto"/>
        <w:rPr>
          <w:color w:val="auto"/>
          <w:sz w:val="22"/>
          <w:szCs w:val="22"/>
        </w:rPr>
      </w:pPr>
      <w:r w:rsidRPr="002711CA">
        <w:rPr>
          <w:sz w:val="22"/>
          <w:szCs w:val="22"/>
        </w:rPr>
        <w:t>New York</w:t>
      </w:r>
      <w:r w:rsidRPr="002711CA">
        <w:rPr>
          <w:b w:val="0"/>
          <w:bCs w:val="0"/>
          <w:color w:val="auto"/>
          <w:sz w:val="22"/>
          <w:szCs w:val="22"/>
        </w:rPr>
        <w:t xml:space="preserve"> </w:t>
      </w:r>
    </w:p>
    <w:p w14:paraId="7D7191F9" w14:textId="4EA3A66E" w:rsidR="002711CA" w:rsidRPr="002711CA" w:rsidRDefault="002711CA">
      <w:pPr>
        <w:pStyle w:val="MainSectionHead"/>
        <w:numPr>
          <w:ilvl w:val="1"/>
          <w:numId w:val="377"/>
        </w:numPr>
        <w:spacing w:before="0" w:after="0" w:line="240" w:lineRule="auto"/>
        <w:rPr>
          <w:color w:val="auto"/>
          <w:sz w:val="22"/>
          <w:szCs w:val="22"/>
        </w:rPr>
      </w:pPr>
      <w:r w:rsidRPr="002711CA">
        <w:rPr>
          <w:b w:val="0"/>
          <w:bCs w:val="0"/>
          <w:color w:val="auto"/>
          <w:sz w:val="22"/>
          <w:szCs w:val="22"/>
        </w:rPr>
        <w:t>updated New York City’s Safe &amp; Sick Time Policy to add SST reinstatement provisions should an employee be rehired.</w:t>
      </w:r>
    </w:p>
    <w:p w14:paraId="064F949E" w14:textId="77777777" w:rsidR="002711CA" w:rsidRDefault="002711CA" w:rsidP="002711CA">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2"/>
          <w:szCs w:val="22"/>
          <w:u w:val="none"/>
        </w:rPr>
      </w:pPr>
    </w:p>
    <w:p w14:paraId="5FC79185" w14:textId="2451709E" w:rsidR="00817781" w:rsidRDefault="00817781"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C00000"/>
          <w:sz w:val="22"/>
          <w:szCs w:val="22"/>
          <w:u w:val="none"/>
        </w:rPr>
      </w:pPr>
      <w:r>
        <w:rPr>
          <w:rStyle w:val="Hyperlink"/>
          <w:rFonts w:ascii="Calibri" w:eastAsiaTheme="minorHAnsi" w:hAnsi="Calibri" w:cs="Calibri"/>
          <w:color w:val="auto"/>
          <w:sz w:val="22"/>
          <w:szCs w:val="22"/>
          <w:u w:val="none"/>
        </w:rPr>
        <w:t xml:space="preserve">Released </w:t>
      </w:r>
      <w:r>
        <w:rPr>
          <w:rStyle w:val="Hyperlink"/>
          <w:rFonts w:ascii="Calibri" w:eastAsiaTheme="minorHAnsi" w:hAnsi="Calibri" w:cs="Calibri"/>
          <w:color w:val="C00000"/>
          <w:sz w:val="22"/>
          <w:szCs w:val="22"/>
          <w:u w:val="none"/>
        </w:rPr>
        <w:t>June</w:t>
      </w:r>
      <w:r w:rsidRPr="00817781">
        <w:rPr>
          <w:rStyle w:val="Hyperlink"/>
          <w:rFonts w:ascii="Calibri" w:eastAsiaTheme="minorHAnsi" w:hAnsi="Calibri" w:cs="Calibri"/>
          <w:color w:val="C00000"/>
          <w:sz w:val="22"/>
          <w:szCs w:val="22"/>
          <w:u w:val="none"/>
        </w:rPr>
        <w:t xml:space="preserve"> 2026</w:t>
      </w:r>
    </w:p>
    <w:p w14:paraId="4A433C77" w14:textId="77777777" w:rsidR="00817781" w:rsidRPr="00817781" w:rsidRDefault="00817781" w:rsidP="002711CA">
      <w:pPr>
        <w:pStyle w:val="MainSectionHead"/>
        <w:numPr>
          <w:ilvl w:val="0"/>
          <w:numId w:val="363"/>
        </w:numPr>
        <w:tabs>
          <w:tab w:val="num" w:pos="720"/>
        </w:tabs>
        <w:spacing w:before="0" w:after="0" w:line="240" w:lineRule="auto"/>
        <w:rPr>
          <w:sz w:val="22"/>
          <w:szCs w:val="22"/>
        </w:rPr>
      </w:pPr>
      <w:r w:rsidRPr="00817781">
        <w:rPr>
          <w:sz w:val="22"/>
          <w:szCs w:val="22"/>
        </w:rPr>
        <w:t xml:space="preserve">Deleware </w:t>
      </w:r>
    </w:p>
    <w:p w14:paraId="127D8C33" w14:textId="50E708A3" w:rsidR="00817781" w:rsidRPr="00817781" w:rsidRDefault="00817781" w:rsidP="002711CA">
      <w:pPr>
        <w:pStyle w:val="MainSectionHead"/>
        <w:numPr>
          <w:ilvl w:val="1"/>
          <w:numId w:val="363"/>
        </w:numPr>
        <w:spacing w:before="0" w:after="0" w:line="240" w:lineRule="auto"/>
        <w:rPr>
          <w:sz w:val="22"/>
          <w:szCs w:val="22"/>
        </w:rPr>
      </w:pPr>
      <w:r w:rsidRPr="00817781">
        <w:rPr>
          <w:b w:val="0"/>
          <w:bCs w:val="0"/>
          <w:color w:val="auto"/>
          <w:sz w:val="22"/>
          <w:szCs w:val="22"/>
        </w:rPr>
        <w:lastRenderedPageBreak/>
        <w:t>updated State Handbook Addendum adding Crime Victim Leave Policy applicable to employer with 50 or more employees, meeting threshold requirements, companywide</w:t>
      </w:r>
    </w:p>
    <w:p w14:paraId="2452F22E" w14:textId="77777777" w:rsidR="00817781" w:rsidRDefault="00817781" w:rsidP="002711CA">
      <w:pPr>
        <w:pStyle w:val="MainSectionHead"/>
        <w:numPr>
          <w:ilvl w:val="0"/>
          <w:numId w:val="363"/>
        </w:numPr>
        <w:tabs>
          <w:tab w:val="num" w:pos="720"/>
        </w:tabs>
        <w:spacing w:before="0" w:after="0" w:line="240" w:lineRule="auto"/>
        <w:rPr>
          <w:b w:val="0"/>
          <w:bCs w:val="0"/>
          <w:color w:val="auto"/>
          <w:sz w:val="22"/>
          <w:szCs w:val="22"/>
        </w:rPr>
      </w:pPr>
      <w:r w:rsidRPr="00817781">
        <w:rPr>
          <w:sz w:val="22"/>
          <w:szCs w:val="22"/>
        </w:rPr>
        <w:t>Colorado</w:t>
      </w:r>
      <w:r w:rsidRPr="00817781">
        <w:rPr>
          <w:b w:val="0"/>
          <w:bCs w:val="0"/>
          <w:color w:val="auto"/>
          <w:sz w:val="22"/>
          <w:szCs w:val="22"/>
        </w:rPr>
        <w:t xml:space="preserve"> </w:t>
      </w:r>
    </w:p>
    <w:p w14:paraId="75783FFD" w14:textId="05262B2C" w:rsidR="00817781" w:rsidRPr="00817781" w:rsidRDefault="00817781" w:rsidP="002711CA">
      <w:pPr>
        <w:pStyle w:val="MainSectionHead"/>
        <w:numPr>
          <w:ilvl w:val="1"/>
          <w:numId w:val="363"/>
        </w:numPr>
        <w:spacing w:before="0" w:after="0" w:line="240" w:lineRule="auto"/>
        <w:rPr>
          <w:b w:val="0"/>
          <w:bCs w:val="0"/>
          <w:color w:val="auto"/>
          <w:sz w:val="22"/>
          <w:szCs w:val="22"/>
        </w:rPr>
      </w:pPr>
      <w:r w:rsidRPr="00817781">
        <w:rPr>
          <w:b w:val="0"/>
          <w:bCs w:val="0"/>
          <w:color w:val="auto"/>
          <w:sz w:val="22"/>
          <w:szCs w:val="22"/>
        </w:rPr>
        <w:t>updated State Handbook Addendum adding Civil Air Patrol Leave Policy (best practice)</w:t>
      </w:r>
    </w:p>
    <w:p w14:paraId="68D1DA0A" w14:textId="77777777" w:rsidR="00817781" w:rsidRDefault="00817781" w:rsidP="002711CA">
      <w:pPr>
        <w:pStyle w:val="MainSectionHead"/>
        <w:numPr>
          <w:ilvl w:val="0"/>
          <w:numId w:val="363"/>
        </w:numPr>
        <w:tabs>
          <w:tab w:val="num" w:pos="720"/>
        </w:tabs>
        <w:spacing w:before="0" w:after="0" w:line="240" w:lineRule="auto"/>
        <w:rPr>
          <w:b w:val="0"/>
          <w:bCs w:val="0"/>
          <w:color w:val="auto"/>
          <w:sz w:val="22"/>
          <w:szCs w:val="22"/>
        </w:rPr>
      </w:pPr>
      <w:r w:rsidRPr="00817781">
        <w:rPr>
          <w:sz w:val="22"/>
          <w:szCs w:val="22"/>
        </w:rPr>
        <w:t xml:space="preserve">Connecticut </w:t>
      </w:r>
    </w:p>
    <w:p w14:paraId="213BC758" w14:textId="6DEE44CA" w:rsidR="00817781" w:rsidRPr="00817781" w:rsidRDefault="00817781" w:rsidP="002711CA">
      <w:pPr>
        <w:pStyle w:val="MainSectionHead"/>
        <w:numPr>
          <w:ilvl w:val="1"/>
          <w:numId w:val="363"/>
        </w:numPr>
        <w:spacing w:before="0" w:after="0" w:line="240" w:lineRule="auto"/>
        <w:rPr>
          <w:b w:val="0"/>
          <w:bCs w:val="0"/>
          <w:color w:val="auto"/>
          <w:sz w:val="22"/>
          <w:szCs w:val="22"/>
        </w:rPr>
      </w:pPr>
      <w:r w:rsidRPr="00817781">
        <w:rPr>
          <w:b w:val="0"/>
          <w:bCs w:val="0"/>
          <w:color w:val="auto"/>
          <w:sz w:val="22"/>
          <w:szCs w:val="22"/>
        </w:rPr>
        <w:t>updated State Handbook Addendum adding General Crime Victim &amp; Witness Leave Policy applicable to all employers regardless of size</w:t>
      </w:r>
    </w:p>
    <w:p w14:paraId="5D02DE4A" w14:textId="77777777" w:rsidR="00817781" w:rsidRPr="00817781" w:rsidRDefault="00817781" w:rsidP="002711CA">
      <w:pPr>
        <w:pStyle w:val="MainSectionHead"/>
        <w:numPr>
          <w:ilvl w:val="0"/>
          <w:numId w:val="363"/>
        </w:numPr>
        <w:tabs>
          <w:tab w:val="num" w:pos="720"/>
        </w:tabs>
        <w:spacing w:before="0" w:after="0" w:line="240" w:lineRule="auto"/>
        <w:rPr>
          <w:sz w:val="22"/>
          <w:szCs w:val="22"/>
        </w:rPr>
      </w:pPr>
      <w:r w:rsidRPr="00817781">
        <w:rPr>
          <w:sz w:val="22"/>
          <w:szCs w:val="22"/>
        </w:rPr>
        <w:t>Florida</w:t>
      </w:r>
      <w:r w:rsidRPr="00817781">
        <w:rPr>
          <w:b w:val="0"/>
          <w:bCs w:val="0"/>
          <w:color w:val="auto"/>
          <w:sz w:val="22"/>
          <w:szCs w:val="22"/>
        </w:rPr>
        <w:t xml:space="preserve"> </w:t>
      </w:r>
    </w:p>
    <w:p w14:paraId="0D5B4D52" w14:textId="1BF339F3" w:rsidR="00817781" w:rsidRPr="00817781" w:rsidRDefault="00817781" w:rsidP="002711CA">
      <w:pPr>
        <w:pStyle w:val="MainSectionHead"/>
        <w:numPr>
          <w:ilvl w:val="1"/>
          <w:numId w:val="363"/>
        </w:numPr>
        <w:spacing w:before="0" w:after="0" w:line="240" w:lineRule="auto"/>
        <w:rPr>
          <w:sz w:val="22"/>
          <w:szCs w:val="22"/>
        </w:rPr>
      </w:pPr>
      <w:r w:rsidRPr="00817781">
        <w:rPr>
          <w:b w:val="0"/>
          <w:bCs w:val="0"/>
          <w:color w:val="auto"/>
          <w:sz w:val="22"/>
          <w:szCs w:val="22"/>
        </w:rPr>
        <w:t>updated State Handbook Addendum adding Civil Air Patrol Leave Policy (best practice)</w:t>
      </w:r>
    </w:p>
    <w:p w14:paraId="59710D45" w14:textId="77777777" w:rsidR="00817781" w:rsidRDefault="00817781" w:rsidP="002711CA">
      <w:pPr>
        <w:pStyle w:val="MainSectionHead"/>
        <w:numPr>
          <w:ilvl w:val="0"/>
          <w:numId w:val="363"/>
        </w:numPr>
        <w:tabs>
          <w:tab w:val="num" w:pos="720"/>
        </w:tabs>
        <w:spacing w:before="0" w:after="0" w:line="240" w:lineRule="auto"/>
        <w:rPr>
          <w:sz w:val="22"/>
          <w:szCs w:val="22"/>
        </w:rPr>
      </w:pPr>
      <w:r w:rsidRPr="00817781">
        <w:rPr>
          <w:sz w:val="22"/>
          <w:szCs w:val="22"/>
        </w:rPr>
        <w:t>Hawaii</w:t>
      </w:r>
    </w:p>
    <w:p w14:paraId="02B1E7CF" w14:textId="7FCF9416" w:rsidR="00817781" w:rsidRPr="00817781" w:rsidRDefault="00817781" w:rsidP="002711CA">
      <w:pPr>
        <w:pStyle w:val="MainSectionHead"/>
        <w:numPr>
          <w:ilvl w:val="1"/>
          <w:numId w:val="363"/>
        </w:numPr>
        <w:spacing w:before="0" w:after="0" w:line="240" w:lineRule="auto"/>
        <w:rPr>
          <w:sz w:val="22"/>
          <w:szCs w:val="22"/>
        </w:rPr>
      </w:pPr>
      <w:r w:rsidRPr="00817781">
        <w:rPr>
          <w:b w:val="0"/>
          <w:bCs w:val="0"/>
          <w:color w:val="auto"/>
          <w:sz w:val="22"/>
          <w:szCs w:val="22"/>
        </w:rPr>
        <w:t>updated State Handbook Addendum adding State Family Leave applicable to employers with 100 or more workers in the state, Bone Marrow, Stem Cell, or Organ Donation Leave Policy applicable to employers with 50 or more employees in Hawaii, Witness Leave Policy and Temporary Diasability Policies.</w:t>
      </w:r>
    </w:p>
    <w:p w14:paraId="6FE5D620" w14:textId="77777777" w:rsidR="00817781" w:rsidRPr="00817781" w:rsidRDefault="00817781" w:rsidP="002711CA">
      <w:pPr>
        <w:pStyle w:val="MainSectionHead"/>
        <w:numPr>
          <w:ilvl w:val="0"/>
          <w:numId w:val="363"/>
        </w:numPr>
        <w:tabs>
          <w:tab w:val="num" w:pos="720"/>
        </w:tabs>
        <w:spacing w:before="0" w:after="0" w:line="240" w:lineRule="auto"/>
        <w:rPr>
          <w:sz w:val="22"/>
          <w:szCs w:val="22"/>
        </w:rPr>
      </w:pPr>
      <w:r w:rsidRPr="00817781">
        <w:rPr>
          <w:sz w:val="22"/>
          <w:szCs w:val="22"/>
        </w:rPr>
        <w:t>Minnesota</w:t>
      </w:r>
      <w:r w:rsidRPr="00817781">
        <w:rPr>
          <w:b w:val="0"/>
          <w:bCs w:val="0"/>
          <w:color w:val="auto"/>
          <w:sz w:val="22"/>
          <w:szCs w:val="22"/>
        </w:rPr>
        <w:t xml:space="preserve"> </w:t>
      </w:r>
    </w:p>
    <w:p w14:paraId="7E169955" w14:textId="1A9F64AC" w:rsidR="00817781" w:rsidRPr="00817781" w:rsidRDefault="00817781" w:rsidP="002711CA">
      <w:pPr>
        <w:pStyle w:val="MainSectionHead"/>
        <w:numPr>
          <w:ilvl w:val="1"/>
          <w:numId w:val="363"/>
        </w:numPr>
        <w:spacing w:before="0" w:after="0" w:line="240" w:lineRule="auto"/>
        <w:rPr>
          <w:sz w:val="22"/>
          <w:szCs w:val="22"/>
        </w:rPr>
      </w:pPr>
      <w:r w:rsidRPr="00817781">
        <w:rPr>
          <w:b w:val="0"/>
          <w:bCs w:val="0"/>
          <w:color w:val="auto"/>
          <w:sz w:val="22"/>
          <w:szCs w:val="22"/>
        </w:rPr>
        <w:t>updated to remove Bloomington Sick &amp; Safe Time Policy will the repeal of related regulations. Employers default to State’s Sick &amp; Safe Time Regulations.</w:t>
      </w:r>
    </w:p>
    <w:p w14:paraId="7B518BA4" w14:textId="77777777" w:rsidR="00817781" w:rsidRDefault="00817781" w:rsidP="002711CA">
      <w:pPr>
        <w:pStyle w:val="ListParagraph"/>
        <w:numPr>
          <w:ilvl w:val="0"/>
          <w:numId w:val="364"/>
        </w:numPr>
        <w:spacing w:after="0" w:line="240" w:lineRule="auto"/>
      </w:pPr>
      <w:r w:rsidRPr="00817781">
        <w:rPr>
          <w:b/>
          <w:bCs/>
          <w:noProof/>
          <w:color w:val="0E425C"/>
        </w:rPr>
        <w:t>New Jersey</w:t>
      </w:r>
      <w:r w:rsidRPr="00817781">
        <w:rPr>
          <w:noProof/>
        </w:rPr>
        <w:t xml:space="preserve"> </w:t>
      </w:r>
    </w:p>
    <w:p w14:paraId="4405475E" w14:textId="3FD57761" w:rsidR="00817781" w:rsidRPr="00817781" w:rsidRDefault="00817781" w:rsidP="002711CA">
      <w:pPr>
        <w:pStyle w:val="ListParagraph"/>
        <w:numPr>
          <w:ilvl w:val="1"/>
          <w:numId w:val="364"/>
        </w:numPr>
        <w:spacing w:after="0" w:line="240" w:lineRule="auto"/>
      </w:pPr>
      <w:r w:rsidRPr="00817781">
        <w:t>updated State Handbook Addendum reflects updates relative to several policies impacted by the 7.17.26</w:t>
      </w:r>
      <w:r w:rsidRPr="00817781">
        <w:rPr>
          <w:b/>
          <w:bCs/>
        </w:rPr>
        <w:t xml:space="preserve"> </w:t>
      </w:r>
      <w:r w:rsidRPr="00817781">
        <w:rPr>
          <w:noProof/>
        </w:rPr>
        <w:t>changes to New Jersey Family Leave Act (NJFLA) and the Temporary Disability Insurance (TDI) &amp; Family Leave Insurance (FLI) updates.  Additional policy clarfication langugae added to the state Short Term Disability Benefits Policy, which is not required.</w:t>
      </w:r>
    </w:p>
    <w:p w14:paraId="6867FFC7" w14:textId="77777777" w:rsidR="00817781" w:rsidRDefault="00817781" w:rsidP="002711CA">
      <w:pPr>
        <w:pStyle w:val="MainSectionHead"/>
        <w:numPr>
          <w:ilvl w:val="0"/>
          <w:numId w:val="364"/>
        </w:numPr>
        <w:tabs>
          <w:tab w:val="num" w:pos="720"/>
        </w:tabs>
        <w:spacing w:before="0" w:after="0" w:line="240" w:lineRule="auto"/>
        <w:rPr>
          <w:sz w:val="22"/>
          <w:szCs w:val="22"/>
        </w:rPr>
      </w:pPr>
      <w:r w:rsidRPr="00817781">
        <w:rPr>
          <w:sz w:val="22"/>
          <w:szCs w:val="22"/>
        </w:rPr>
        <w:t>Virginia</w:t>
      </w:r>
    </w:p>
    <w:p w14:paraId="198FCAE0" w14:textId="6DA830E0" w:rsidR="00817781" w:rsidRPr="00817781" w:rsidRDefault="00817781" w:rsidP="002711CA">
      <w:pPr>
        <w:pStyle w:val="MainSectionHead"/>
        <w:numPr>
          <w:ilvl w:val="1"/>
          <w:numId w:val="364"/>
        </w:numPr>
        <w:spacing w:before="0" w:after="0" w:line="240" w:lineRule="auto"/>
        <w:rPr>
          <w:sz w:val="22"/>
          <w:szCs w:val="22"/>
        </w:rPr>
      </w:pPr>
      <w:r w:rsidRPr="00817781">
        <w:rPr>
          <w:b w:val="0"/>
          <w:bCs w:val="0"/>
          <w:color w:val="auto"/>
          <w:sz w:val="22"/>
          <w:szCs w:val="22"/>
        </w:rPr>
        <w:t>updated State Handbook Addendum adding Emergency Responder Protected Leave effective 7.1.26</w:t>
      </w:r>
    </w:p>
    <w:p w14:paraId="1B1C6851" w14:textId="3C66B22A" w:rsidR="00817781" w:rsidRDefault="00817781"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10C49F07" w14:textId="77777777" w:rsidR="00817781" w:rsidRDefault="00817781"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0BD289AE" w14:textId="0626923B" w:rsidR="00F1262E" w:rsidRDefault="00F1262E"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 xml:space="preserve">Released </w:t>
      </w:r>
      <w:r w:rsidRPr="00817781">
        <w:rPr>
          <w:rStyle w:val="Hyperlink"/>
          <w:rFonts w:ascii="Calibri" w:eastAsiaTheme="minorHAnsi" w:hAnsi="Calibri" w:cs="Calibri"/>
          <w:color w:val="C00000"/>
          <w:sz w:val="22"/>
          <w:szCs w:val="22"/>
          <w:u w:val="none"/>
        </w:rPr>
        <w:t xml:space="preserve">May 2026 </w:t>
      </w:r>
      <w:r>
        <w:rPr>
          <w:rStyle w:val="Hyperlink"/>
          <w:rFonts w:ascii="Calibri" w:eastAsiaTheme="minorHAnsi" w:hAnsi="Calibri" w:cs="Calibri"/>
          <w:color w:val="auto"/>
          <w:sz w:val="22"/>
          <w:szCs w:val="22"/>
          <w:u w:val="none"/>
        </w:rPr>
        <w:t>- NONE</w:t>
      </w:r>
    </w:p>
    <w:p w14:paraId="3E545CAA" w14:textId="77777777" w:rsidR="00817781" w:rsidRDefault="00817781"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6B5FEA39" w14:textId="098494FD"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 xml:space="preserve">Released </w:t>
      </w:r>
      <w:r w:rsidRPr="00AD75E7">
        <w:rPr>
          <w:rStyle w:val="Hyperlink"/>
          <w:rFonts w:ascii="Calibri" w:eastAsiaTheme="minorHAnsi" w:hAnsi="Calibri" w:cs="Calibri"/>
          <w:color w:val="C00000"/>
          <w:sz w:val="22"/>
          <w:szCs w:val="22"/>
          <w:u w:val="none"/>
        </w:rPr>
        <w:t>April 2026</w:t>
      </w:r>
    </w:p>
    <w:p w14:paraId="6B121068"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California State Handbook Addendum</w:t>
      </w:r>
    </w:p>
    <w:p w14:paraId="2F0C5D85" w14:textId="77777777" w:rsidR="00ED6400" w:rsidRPr="00A70D1E" w:rsidRDefault="00ED6400">
      <w:pPr>
        <w:pStyle w:val="ListParagraph"/>
        <w:numPr>
          <w:ilvl w:val="0"/>
          <w:numId w:val="335"/>
        </w:numPr>
        <w:spacing w:after="0" w:line="240" w:lineRule="auto"/>
        <w:rPr>
          <w:b/>
          <w:bCs/>
          <w:caps/>
          <w:noProof/>
        </w:rPr>
      </w:pPr>
      <w:r w:rsidRPr="00A70D1E">
        <w:rPr>
          <w:b/>
          <w:bCs/>
        </w:rPr>
        <w:t>Family Medical Leave Policy</w:t>
      </w:r>
      <w:r w:rsidRPr="00A70D1E">
        <w:t xml:space="preserve"> updated to reflect recommended clarification verbiage edits</w:t>
      </w:r>
    </w:p>
    <w:p w14:paraId="086C74FC" w14:textId="77777777" w:rsidR="00ED6400" w:rsidRPr="00A70D1E" w:rsidRDefault="00ED6400" w:rsidP="00ED6400">
      <w:pPr>
        <w:pStyle w:val="ListParagraph"/>
        <w:spacing w:after="0" w:line="240" w:lineRule="auto"/>
        <w:ind w:left="1440"/>
        <w:rPr>
          <w:b/>
          <w:bCs/>
          <w:caps/>
          <w:noProof/>
        </w:rPr>
      </w:pPr>
    </w:p>
    <w:p w14:paraId="43D0ADD4"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Maine State Handbook Addendum</w:t>
      </w:r>
    </w:p>
    <w:p w14:paraId="37A98664" w14:textId="77777777" w:rsidR="00ED6400" w:rsidRPr="00A70D1E" w:rsidRDefault="00ED6400">
      <w:pPr>
        <w:pStyle w:val="ListParagraph"/>
        <w:numPr>
          <w:ilvl w:val="0"/>
          <w:numId w:val="335"/>
        </w:numPr>
        <w:spacing w:after="0" w:line="240" w:lineRule="auto"/>
        <w:rPr>
          <w:b/>
          <w:bCs/>
          <w:caps/>
          <w:noProof/>
          <w:color w:val="0E425C"/>
        </w:rPr>
      </w:pPr>
      <w:r w:rsidRPr="00A70D1E">
        <w:rPr>
          <w:b/>
          <w:bCs/>
        </w:rPr>
        <w:t xml:space="preserve">Paid Family and Medical Leave (for </w:t>
      </w:r>
      <w:r w:rsidRPr="00A70D1E">
        <w:rPr>
          <w:b/>
          <w:bCs/>
          <w:color w:val="C00000"/>
          <w:u w:val="single"/>
        </w:rPr>
        <w:t>State Plans</w:t>
      </w:r>
      <w:r w:rsidRPr="00A70D1E">
        <w:rPr>
          <w:b/>
          <w:bCs/>
        </w:rPr>
        <w:t>)</w:t>
      </w:r>
      <w:r w:rsidRPr="00A70D1E">
        <w:t xml:space="preserve"> </w:t>
      </w:r>
      <w:r w:rsidRPr="00A70D1E">
        <w:rPr>
          <w:b/>
          <w:bCs/>
        </w:rPr>
        <w:t>Policy</w:t>
      </w:r>
      <w:r w:rsidRPr="00A70D1E">
        <w:t xml:space="preserve"> added. Employers have the option to choose Private Insurance Plan or a State Plan.  As such Policies addressing each are now included in the State Addendum for employers to review and adopt as applicable to themselves</w:t>
      </w:r>
    </w:p>
    <w:p w14:paraId="7D958523" w14:textId="77777777" w:rsidR="00ED6400" w:rsidRPr="00A70D1E" w:rsidRDefault="00ED6400" w:rsidP="00ED6400">
      <w:pPr>
        <w:pStyle w:val="ListParagraph"/>
        <w:spacing w:after="0" w:line="240" w:lineRule="auto"/>
        <w:ind w:left="1440"/>
        <w:rPr>
          <w:b/>
          <w:bCs/>
          <w:caps/>
          <w:noProof/>
          <w:color w:val="0E425C"/>
        </w:rPr>
      </w:pPr>
    </w:p>
    <w:p w14:paraId="6C21959C"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Massachusetts State Handbook Addendum</w:t>
      </w:r>
    </w:p>
    <w:p w14:paraId="5F75724A" w14:textId="77777777" w:rsidR="00ED6400" w:rsidRDefault="00ED6400">
      <w:pPr>
        <w:pStyle w:val="ListParagraph"/>
        <w:numPr>
          <w:ilvl w:val="0"/>
          <w:numId w:val="335"/>
        </w:numPr>
        <w:suppressAutoHyphens/>
        <w:autoSpaceDN w:val="0"/>
        <w:spacing w:after="0" w:line="240" w:lineRule="auto"/>
      </w:pPr>
      <w:r w:rsidRPr="00A70D1E">
        <w:rPr>
          <w:b/>
          <w:bCs/>
        </w:rPr>
        <w:t xml:space="preserve">Harassment &amp; Discrimination State Policy </w:t>
      </w:r>
      <w:r w:rsidRPr="00A70D1E">
        <w:t>updated to include updated contact details</w:t>
      </w:r>
    </w:p>
    <w:p w14:paraId="37AE5B06" w14:textId="77777777" w:rsidR="00ED6400" w:rsidRPr="00A70D1E" w:rsidRDefault="00ED6400" w:rsidP="00ED6400">
      <w:pPr>
        <w:pStyle w:val="ListParagraph"/>
        <w:suppressAutoHyphens/>
        <w:autoSpaceDN w:val="0"/>
        <w:spacing w:after="0" w:line="240" w:lineRule="auto"/>
        <w:ind w:left="1440"/>
      </w:pPr>
    </w:p>
    <w:p w14:paraId="36E6BC5D"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New York State Handbook Addendum</w:t>
      </w:r>
    </w:p>
    <w:p w14:paraId="4CD504B1" w14:textId="77777777" w:rsidR="00ED6400" w:rsidRDefault="00ED6400">
      <w:pPr>
        <w:pStyle w:val="ListParagraph"/>
        <w:numPr>
          <w:ilvl w:val="0"/>
          <w:numId w:val="335"/>
        </w:numPr>
        <w:suppressAutoHyphens/>
        <w:autoSpaceDN w:val="0"/>
        <w:spacing w:after="0" w:line="240" w:lineRule="auto"/>
      </w:pPr>
      <w:r w:rsidRPr="00A70D1E">
        <w:rPr>
          <w:b/>
          <w:bCs/>
        </w:rPr>
        <w:t xml:space="preserve">New York City Safe &amp; Sick Time Policy </w:t>
      </w:r>
      <w:r w:rsidRPr="00A70D1E">
        <w:t>updated to include 2 points of clarity</w:t>
      </w:r>
    </w:p>
    <w:p w14:paraId="2321CA07" w14:textId="77777777" w:rsidR="00ED6400" w:rsidRPr="00A70D1E" w:rsidRDefault="00ED6400" w:rsidP="00ED6400">
      <w:pPr>
        <w:pStyle w:val="ListParagraph"/>
        <w:suppressAutoHyphens/>
        <w:autoSpaceDN w:val="0"/>
        <w:spacing w:after="0" w:line="240" w:lineRule="auto"/>
        <w:ind w:left="1440"/>
      </w:pPr>
    </w:p>
    <w:p w14:paraId="62502C35"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Tennessee State Handbook Addendum</w:t>
      </w:r>
    </w:p>
    <w:p w14:paraId="38BCD9E7" w14:textId="77777777" w:rsidR="00ED6400" w:rsidRDefault="00ED6400">
      <w:pPr>
        <w:pStyle w:val="ListParagraph"/>
        <w:numPr>
          <w:ilvl w:val="0"/>
          <w:numId w:val="335"/>
        </w:numPr>
        <w:suppressAutoHyphens/>
        <w:autoSpaceDN w:val="0"/>
        <w:spacing w:after="0" w:line="240" w:lineRule="auto"/>
      </w:pPr>
      <w:r w:rsidRPr="00576597">
        <w:rPr>
          <w:b/>
          <w:bCs/>
        </w:rPr>
        <w:t>Organ Donation  Leave Policy</w:t>
      </w:r>
      <w:r w:rsidRPr="00576597">
        <w:t xml:space="preserve"> added due to newly adopted state regulations</w:t>
      </w:r>
    </w:p>
    <w:p w14:paraId="400034EE" w14:textId="77777777" w:rsidR="00ED6400" w:rsidRPr="00576597" w:rsidRDefault="00ED6400" w:rsidP="00ED6400">
      <w:pPr>
        <w:pStyle w:val="ListParagraph"/>
        <w:suppressAutoHyphens/>
        <w:autoSpaceDN w:val="0"/>
        <w:spacing w:after="0" w:line="240" w:lineRule="auto"/>
        <w:ind w:left="1440"/>
      </w:pPr>
    </w:p>
    <w:p w14:paraId="62FB6946"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Washington State Handbook Addendum</w:t>
      </w:r>
    </w:p>
    <w:p w14:paraId="620281F6" w14:textId="77777777" w:rsidR="00ED6400" w:rsidRPr="00A70D1E" w:rsidRDefault="00ED6400">
      <w:pPr>
        <w:pStyle w:val="ListParagraph"/>
        <w:numPr>
          <w:ilvl w:val="0"/>
          <w:numId w:val="335"/>
        </w:numPr>
        <w:suppressAutoHyphens/>
        <w:autoSpaceDN w:val="0"/>
        <w:spacing w:after="0" w:line="240" w:lineRule="auto"/>
      </w:pPr>
      <w:r w:rsidRPr="00A70D1E">
        <w:rPr>
          <w:b/>
          <w:bCs/>
        </w:rPr>
        <w:t>Paid &amp; Family Medical Leave Policy</w:t>
      </w:r>
      <w:r w:rsidRPr="00A70D1E">
        <w:t xml:space="preserve"> updated to reflect updated job protection eligibility language</w:t>
      </w:r>
    </w:p>
    <w:p w14:paraId="456249ED" w14:textId="77777777"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556ABC9A" w14:textId="77777777"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5770B5DD" w14:textId="59A977EE"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C00000"/>
          <w:sz w:val="22"/>
          <w:szCs w:val="22"/>
          <w:u w:val="none"/>
        </w:rPr>
      </w:pPr>
      <w:r>
        <w:rPr>
          <w:rStyle w:val="Hyperlink"/>
          <w:rFonts w:ascii="Calibri" w:eastAsiaTheme="minorHAnsi" w:hAnsi="Calibri" w:cs="Calibri"/>
          <w:color w:val="auto"/>
          <w:sz w:val="22"/>
          <w:szCs w:val="22"/>
          <w:u w:val="none"/>
        </w:rPr>
        <w:t xml:space="preserve">Released </w:t>
      </w:r>
      <w:r w:rsidRPr="0086685D">
        <w:rPr>
          <w:rStyle w:val="Hyperlink"/>
          <w:rFonts w:ascii="Calibri" w:eastAsiaTheme="minorHAnsi" w:hAnsi="Calibri" w:cs="Calibri"/>
          <w:color w:val="C00000"/>
          <w:sz w:val="22"/>
          <w:szCs w:val="22"/>
          <w:u w:val="none"/>
        </w:rPr>
        <w:t>March 2026</w:t>
      </w:r>
    </w:p>
    <w:p w14:paraId="6C2F1D61" w14:textId="77777777" w:rsidR="009E63A8" w:rsidRPr="00CD0D12" w:rsidRDefault="009E63A8">
      <w:pPr>
        <w:pStyle w:val="ListParagraph"/>
        <w:numPr>
          <w:ilvl w:val="0"/>
          <w:numId w:val="328"/>
        </w:numPr>
        <w:spacing w:after="100" w:line="276" w:lineRule="auto"/>
        <w:ind w:left="810"/>
        <w:rPr>
          <w:b/>
          <w:bCs/>
          <w:caps/>
          <w:noProof/>
          <w:color w:val="0E425C"/>
        </w:rPr>
      </w:pPr>
      <w:r w:rsidRPr="00CD0D12">
        <w:rPr>
          <w:b/>
          <w:bCs/>
          <w:caps/>
          <w:noProof/>
          <w:color w:val="0E425C"/>
        </w:rPr>
        <w:lastRenderedPageBreak/>
        <w:t xml:space="preserve">Minnesota STATE HANDBOOK ADDENDUM – </w:t>
      </w:r>
    </w:p>
    <w:p w14:paraId="6686F2AB" w14:textId="77777777" w:rsidR="009E63A8" w:rsidRPr="00530B66" w:rsidRDefault="009E63A8" w:rsidP="009E63A8">
      <w:pPr>
        <w:pStyle w:val="ListParagraph"/>
        <w:numPr>
          <w:ilvl w:val="1"/>
          <w:numId w:val="5"/>
        </w:numPr>
        <w:spacing w:after="100" w:line="276" w:lineRule="auto"/>
      </w:pPr>
      <w:r w:rsidRPr="00530B66">
        <w:rPr>
          <w:b/>
          <w:bCs/>
        </w:rPr>
        <w:t xml:space="preserve">Minneapolis Sick &amp; Safe Time Policy </w:t>
      </w:r>
      <w:r w:rsidRPr="00530B66">
        <w:t xml:space="preserve">– policy updated to reflect carryover of Earned Sick &amp; Safe Time at year’s end up to the maximum allowable under </w:t>
      </w:r>
      <w:proofErr w:type="spellStart"/>
      <w:r w:rsidRPr="00530B66">
        <w:t>he</w:t>
      </w:r>
      <w:proofErr w:type="spellEnd"/>
      <w:r w:rsidRPr="00530B66">
        <w:t xml:space="preserve"> regulations. </w:t>
      </w:r>
    </w:p>
    <w:p w14:paraId="24AA4CFE" w14:textId="77777777"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400986A3" w14:textId="211255C2" w:rsidR="00344D2E" w:rsidRPr="00FB465A" w:rsidRDefault="00344D2E" w:rsidP="00FB465A">
      <w:pPr>
        <w:pStyle w:val="Heading1"/>
        <w:shd w:val="clear" w:color="auto" w:fill="FFFFFF"/>
        <w:spacing w:before="0" w:beforeAutospacing="0" w:after="0" w:afterAutospacing="0" w:line="264" w:lineRule="atLeast"/>
        <w:ind w:firstLine="360"/>
        <w:rPr>
          <w:rFonts w:ascii="Calibri" w:eastAsiaTheme="minorHAnsi" w:hAnsi="Calibri" w:cs="Calibri"/>
          <w:sz w:val="22"/>
          <w:szCs w:val="22"/>
        </w:rPr>
      </w:pPr>
      <w:r w:rsidRPr="00DD7BD1">
        <w:rPr>
          <w:rStyle w:val="Hyperlink"/>
          <w:rFonts w:ascii="Calibri" w:eastAsiaTheme="minorHAnsi" w:hAnsi="Calibri" w:cs="Calibri"/>
          <w:color w:val="auto"/>
          <w:sz w:val="22"/>
          <w:szCs w:val="22"/>
          <w:u w:val="none"/>
        </w:rPr>
        <w:t xml:space="preserve">Released </w:t>
      </w:r>
      <w:r w:rsidRPr="00DD7BD1">
        <w:rPr>
          <w:rStyle w:val="Hyperlink"/>
          <w:rFonts w:ascii="Calibri" w:eastAsiaTheme="minorHAnsi" w:hAnsi="Calibri" w:cs="Calibri"/>
          <w:color w:val="C00000"/>
          <w:sz w:val="22"/>
          <w:szCs w:val="22"/>
          <w:u w:val="none"/>
        </w:rPr>
        <w:t>February 2026</w:t>
      </w:r>
    </w:p>
    <w:p w14:paraId="393644AA"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1F50D4A" w14:textId="77777777" w:rsidR="00F6549C" w:rsidRPr="00DD7BD1" w:rsidRDefault="00F6549C">
      <w:pPr>
        <w:pStyle w:val="ListParagraph"/>
        <w:numPr>
          <w:ilvl w:val="0"/>
          <w:numId w:val="315"/>
        </w:numPr>
        <w:suppressAutoHyphens/>
        <w:autoSpaceDN w:val="0"/>
        <w:spacing w:after="0" w:line="276" w:lineRule="auto"/>
        <w:ind w:left="1620"/>
        <w:rPr>
          <w:rFonts w:ascii="Calibri" w:hAnsi="Calibri" w:cs="Calibri"/>
        </w:rPr>
      </w:pPr>
      <w:r w:rsidRPr="00DD7BD1">
        <w:rPr>
          <w:rFonts w:ascii="Calibri" w:hAnsi="Calibri" w:cs="Calibri"/>
          <w:b/>
          <w:bCs/>
        </w:rPr>
        <w:t>OR Sick Time Policy -</w:t>
      </w:r>
      <w:r w:rsidRPr="00DD7BD1">
        <w:rPr>
          <w:rFonts w:ascii="Calibri" w:hAnsi="Calibri" w:cs="Calibri"/>
        </w:rPr>
        <w:t xml:space="preserve"> Commentary added for applicability of Paid or Unpaid Sick Time; Policy must be edited by Employer where indicated based on how many OR employees the employer has</w:t>
      </w:r>
    </w:p>
    <w:p w14:paraId="610BC06C" w14:textId="77777777" w:rsidR="00F6549C" w:rsidRPr="00DD7BD1" w:rsidRDefault="00F6549C">
      <w:pPr>
        <w:pStyle w:val="ListParagraph"/>
        <w:numPr>
          <w:ilvl w:val="0"/>
          <w:numId w:val="315"/>
        </w:numPr>
        <w:suppressAutoHyphens/>
        <w:autoSpaceDN w:val="0"/>
        <w:spacing w:after="0" w:line="276" w:lineRule="auto"/>
        <w:ind w:left="1620"/>
        <w:rPr>
          <w:rFonts w:ascii="Calibri" w:hAnsi="Calibri" w:cs="Calibri"/>
        </w:rPr>
      </w:pPr>
      <w:r w:rsidRPr="00DD7BD1">
        <w:rPr>
          <w:rFonts w:ascii="Calibri" w:hAnsi="Calibri" w:cs="Calibri"/>
          <w:b/>
          <w:bCs/>
        </w:rPr>
        <w:t>Family &amp; Medical Leave for Employers Covered by the FMLA Policy</w:t>
      </w:r>
      <w:r w:rsidRPr="00DD7BD1">
        <w:rPr>
          <w:rFonts w:ascii="Calibri" w:hAnsi="Calibri" w:cs="Calibri"/>
        </w:rPr>
        <w:t xml:space="preserve"> - Added Policy commentary &amp; updated medical Certifications Supporting the Need for Leave policy language revision</w:t>
      </w:r>
    </w:p>
    <w:p w14:paraId="1AE1E8D8"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ME State Handbook Addendum</w:t>
      </w:r>
    </w:p>
    <w:p w14:paraId="67AE78BD" w14:textId="77777777" w:rsidR="00F6549C" w:rsidRPr="00DD7BD1" w:rsidRDefault="00F6549C">
      <w:pPr>
        <w:pStyle w:val="ListParagraph"/>
        <w:numPr>
          <w:ilvl w:val="1"/>
          <w:numId w:val="316"/>
        </w:numPr>
        <w:suppressAutoHyphens/>
        <w:autoSpaceDN w:val="0"/>
        <w:spacing w:after="0" w:line="276" w:lineRule="auto"/>
        <w:rPr>
          <w:rFonts w:ascii="Calibri" w:hAnsi="Calibri" w:cs="Calibri"/>
          <w:b/>
          <w:bCs/>
        </w:rPr>
      </w:pPr>
      <w:r w:rsidRPr="00DD7BD1">
        <w:rPr>
          <w:rFonts w:ascii="Calibri" w:hAnsi="Calibri" w:cs="Calibri"/>
          <w:b/>
          <w:bCs/>
        </w:rPr>
        <w:t xml:space="preserve">Paid Family &amp; Medical Leave Policy - </w:t>
      </w:r>
      <w:r w:rsidRPr="00DD7BD1">
        <w:rPr>
          <w:rFonts w:ascii="Calibri" w:hAnsi="Calibri" w:cs="Calibri"/>
        </w:rPr>
        <w:t xml:space="preserve">Revised language added </w:t>
      </w:r>
      <w:proofErr w:type="gramStart"/>
      <w:r w:rsidRPr="00DD7BD1">
        <w:rPr>
          <w:rFonts w:ascii="Calibri" w:hAnsi="Calibri" w:cs="Calibri"/>
        </w:rPr>
        <w:t>in regard to</w:t>
      </w:r>
      <w:proofErr w:type="gramEnd"/>
      <w:r w:rsidRPr="00DD7BD1">
        <w:rPr>
          <w:rFonts w:ascii="Calibri" w:hAnsi="Calibri" w:cs="Calibri"/>
        </w:rPr>
        <w:t xml:space="preserve"> Supplementation of PFML Benefits with COMPANY Benefits</w:t>
      </w:r>
    </w:p>
    <w:p w14:paraId="346ABEE2" w14:textId="77777777" w:rsidR="00344D2E" w:rsidRPr="00DD7BD1" w:rsidRDefault="00344D2E" w:rsidP="000D71D3">
      <w:pPr>
        <w:pStyle w:val="Heading1"/>
        <w:shd w:val="clear" w:color="auto" w:fill="FFFFFF"/>
        <w:spacing w:before="0" w:beforeAutospacing="0" w:after="0" w:afterAutospacing="0"/>
        <w:rPr>
          <w:rFonts w:ascii="Calibri" w:hAnsi="Calibri" w:cs="Calibri"/>
          <w:kern w:val="0"/>
          <w:sz w:val="22"/>
          <w:szCs w:val="22"/>
          <w:shd w:val="clear" w:color="auto" w:fill="FFFFFF"/>
        </w:rPr>
      </w:pPr>
    </w:p>
    <w:p w14:paraId="54038695" w14:textId="50CC1334" w:rsidR="002C701F" w:rsidRPr="00DD7BD1" w:rsidRDefault="002C701F" w:rsidP="002C701F">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January 2026</w:t>
      </w:r>
    </w:p>
    <w:p w14:paraId="41B017B3"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CO State Handbook Addendum</w:t>
      </w:r>
    </w:p>
    <w:p w14:paraId="1B89F3CA" w14:textId="77777777" w:rsidR="003B41EF" w:rsidRPr="00DD7BD1" w:rsidRDefault="003B41EF" w:rsidP="003B41EF">
      <w:pPr>
        <w:pStyle w:val="ListParagraph"/>
        <w:numPr>
          <w:ilvl w:val="0"/>
          <w:numId w:val="297"/>
        </w:numPr>
        <w:suppressAutoHyphens/>
        <w:autoSpaceDN w:val="0"/>
        <w:spacing w:line="276" w:lineRule="auto"/>
        <w:ind w:left="1620"/>
        <w:rPr>
          <w:rFonts w:ascii="Calibri" w:hAnsi="Calibri" w:cs="Calibri"/>
        </w:rPr>
      </w:pPr>
      <w:r w:rsidRPr="00DD7BD1">
        <w:rPr>
          <w:rFonts w:ascii="Calibri" w:hAnsi="Calibri" w:cs="Calibri"/>
        </w:rPr>
        <w:t>Updates Overtime Policy reflective of 2026 changes/updates</w:t>
      </w:r>
    </w:p>
    <w:p w14:paraId="165A43FC"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MD – State Handbook Addendum</w:t>
      </w:r>
    </w:p>
    <w:p w14:paraId="1FEEC57C" w14:textId="77777777" w:rsidR="003B41EF" w:rsidRPr="00DD7BD1" w:rsidRDefault="003B41EF" w:rsidP="003B41EF">
      <w:pPr>
        <w:pStyle w:val="ListParagraph"/>
        <w:numPr>
          <w:ilvl w:val="0"/>
          <w:numId w:val="296"/>
        </w:numPr>
        <w:suppressAutoHyphens/>
        <w:autoSpaceDN w:val="0"/>
        <w:spacing w:after="0" w:line="240" w:lineRule="auto"/>
        <w:ind w:left="1620"/>
        <w:rPr>
          <w:rFonts w:ascii="Calibri" w:hAnsi="Calibri" w:cs="Calibri"/>
        </w:rPr>
      </w:pPr>
      <w:r w:rsidRPr="00DD7BD1">
        <w:rPr>
          <w:rFonts w:ascii="Calibri" w:hAnsi="Calibri" w:cs="Calibri"/>
        </w:rPr>
        <w:t>Optional, more simplified Baltimore City Lactation Accommodation policy released</w:t>
      </w:r>
    </w:p>
    <w:p w14:paraId="261ADC99"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6F8D960C" w14:textId="77777777" w:rsidR="003B41EF" w:rsidRPr="00DD7BD1" w:rsidRDefault="003B41EF" w:rsidP="003B41EF">
      <w:pPr>
        <w:pStyle w:val="ListParagraph"/>
        <w:numPr>
          <w:ilvl w:val="1"/>
          <w:numId w:val="294"/>
        </w:numPr>
        <w:suppressAutoHyphens/>
        <w:autoSpaceDN w:val="0"/>
        <w:spacing w:line="276" w:lineRule="auto"/>
        <w:ind w:left="1620"/>
        <w:rPr>
          <w:rFonts w:ascii="Calibri" w:hAnsi="Calibri" w:cs="Calibri"/>
        </w:rPr>
      </w:pPr>
      <w:r w:rsidRPr="00DD7BD1">
        <w:rPr>
          <w:rFonts w:ascii="Calibri" w:hAnsi="Calibri" w:cs="Calibri"/>
        </w:rPr>
        <w:t xml:space="preserve">Updated Nursing Mothers, Lactating Employees &amp; Pregnancy Accommodations Policy adding language clarification </w:t>
      </w:r>
    </w:p>
    <w:p w14:paraId="25C23A9B"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PA State Handbook Addendum</w:t>
      </w:r>
    </w:p>
    <w:p w14:paraId="274F03AF" w14:textId="77777777" w:rsidR="003B41E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Updated Pittsburg Paid Sick Leave Policy</w:t>
      </w:r>
    </w:p>
    <w:p w14:paraId="48D8F568" w14:textId="2A465310" w:rsidR="002C701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Removal of Allegany County Paid Sick Leave Policy</w:t>
      </w:r>
    </w:p>
    <w:p w14:paraId="1A0AB219" w14:textId="77777777"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71C353A2" w14:textId="17CE5315" w:rsidR="00AB5BE1" w:rsidRPr="00DD7BD1" w:rsidRDefault="00AB5BE1"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December 2025 </w:t>
      </w:r>
    </w:p>
    <w:p w14:paraId="0587CF92"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CA State Handbook Addendum</w:t>
      </w:r>
    </w:p>
    <w:p w14:paraId="4632D14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Sick &amp; Safe Leave - policy language cleaned up and made more concise, includes newly covered reasons just as juror, witness and crime victim applicability</w:t>
      </w:r>
    </w:p>
    <w:p w14:paraId="269293D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Local Sick &amp; Safe Time Policies - Berkeley, Emeryville, Los Angeles, Oakland, San Diego, San Franscisco, Santa Monica &amp; West Hollywood - edited to also clean up leave reasons, make more concise and newly covered reasons just as juror, witness and crime victim applicability</w:t>
      </w:r>
    </w:p>
    <w:p w14:paraId="603D6D4D"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Paid Family Leave Policy- edited to remove language no longer applicable.</w:t>
      </w:r>
    </w:p>
    <w:p w14:paraId="2F96FB8A"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DE State Handbook Addendum</w:t>
      </w:r>
    </w:p>
    <w:p w14:paraId="4E3CAB6F" w14:textId="77777777" w:rsidR="00032870" w:rsidRPr="00DD7BD1" w:rsidRDefault="00032870" w:rsidP="00032870">
      <w:pPr>
        <w:pStyle w:val="ListParagraph"/>
        <w:numPr>
          <w:ilvl w:val="1"/>
          <w:numId w:val="268"/>
        </w:numPr>
        <w:suppressAutoHyphens/>
        <w:autoSpaceDN w:val="0"/>
        <w:spacing w:line="276" w:lineRule="auto"/>
        <w:ind w:left="720" w:firstLine="900"/>
        <w:rPr>
          <w:rFonts w:ascii="Calibri" w:hAnsi="Calibri" w:cs="Calibri"/>
        </w:rPr>
      </w:pPr>
      <w:r w:rsidRPr="00DD7BD1">
        <w:rPr>
          <w:rFonts w:ascii="Calibri" w:hAnsi="Calibri" w:cs="Calibri"/>
        </w:rPr>
        <w:t>New policy added: State Paid Family Medical Leave - effective 1.1.26 for employers with 25 or more employees in DE.</w:t>
      </w:r>
    </w:p>
    <w:p w14:paraId="0889940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IL State Handbook Addendum</w:t>
      </w:r>
    </w:p>
    <w:p w14:paraId="21015838"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Lactation Break Policy language revised</w:t>
      </w:r>
    </w:p>
    <w:p w14:paraId="4BA2173D"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LEAVE FOR DOMESTIC, SEXUAL AND GENDER VIOLENCE OR OTHER CRIMES OF VIOLENCE</w:t>
      </w:r>
      <w:r w:rsidRPr="00DD7BD1">
        <w:rPr>
          <w:rFonts w:ascii="Calibri" w:hAnsi="Calibri" w:cs="Calibri"/>
        </w:rPr>
        <w:t xml:space="preserve"> policy revised</w:t>
      </w:r>
    </w:p>
    <w:p w14:paraId="24625029"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Blood &amp; Organ Donation Leave</w:t>
      </w:r>
      <w:r w:rsidRPr="00DD7BD1">
        <w:rPr>
          <w:rFonts w:ascii="Calibri" w:hAnsi="Calibri" w:cs="Calibri"/>
        </w:rPr>
        <w:t xml:space="preserve"> policy updated to include protected leave for </w:t>
      </w:r>
      <w:proofErr w:type="gramStart"/>
      <w:r w:rsidRPr="00DD7BD1">
        <w:rPr>
          <w:rFonts w:ascii="Calibri" w:hAnsi="Calibri" w:cs="Calibri"/>
        </w:rPr>
        <w:t>part time</w:t>
      </w:r>
      <w:proofErr w:type="gramEnd"/>
      <w:r w:rsidRPr="00DD7BD1">
        <w:rPr>
          <w:rFonts w:ascii="Calibri" w:hAnsi="Calibri" w:cs="Calibri"/>
        </w:rPr>
        <w:t xml:space="preserve"> employees under the organ donation aspect of policy</w:t>
      </w:r>
    </w:p>
    <w:p w14:paraId="6AA9F5EE"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 xml:space="preserve">New Policy added: </w:t>
      </w:r>
      <w:r w:rsidRPr="00DD7BD1">
        <w:rPr>
          <w:rFonts w:ascii="Calibri" w:hAnsi="Calibri" w:cs="Calibri"/>
          <w:b/>
          <w:bCs/>
        </w:rPr>
        <w:t xml:space="preserve">FAMILY NEONATAL INTENSIVE CARE LEAVE </w:t>
      </w:r>
      <w:r w:rsidRPr="00DD7BD1">
        <w:rPr>
          <w:rFonts w:ascii="Calibri" w:hAnsi="Calibri" w:cs="Calibri"/>
        </w:rPr>
        <w:t>ahead of 6.2026 enactment effective date</w:t>
      </w:r>
    </w:p>
    <w:p w14:paraId="154C9EC7"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Cook County Paid Leave policy revised to include labor notice image</w:t>
      </w:r>
    </w:p>
    <w:p w14:paraId="377400AD"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lastRenderedPageBreak/>
        <w:t>NH State Handbook Addendum</w:t>
      </w:r>
    </w:p>
    <w:p w14:paraId="784AB227" w14:textId="77777777" w:rsidR="00032870" w:rsidRPr="00DD7BD1" w:rsidRDefault="00032870" w:rsidP="00032870">
      <w:pPr>
        <w:pStyle w:val="ListParagraph"/>
        <w:numPr>
          <w:ilvl w:val="1"/>
          <w:numId w:val="268"/>
        </w:numPr>
        <w:suppressAutoHyphens/>
        <w:autoSpaceDN w:val="0"/>
        <w:spacing w:after="0" w:line="240" w:lineRule="auto"/>
        <w:ind w:left="720" w:firstLine="900"/>
        <w:rPr>
          <w:rFonts w:ascii="Calibri" w:hAnsi="Calibri" w:cs="Calibri"/>
        </w:rPr>
      </w:pPr>
      <w:r w:rsidRPr="00DD7BD1">
        <w:rPr>
          <w:rFonts w:ascii="Calibri" w:hAnsi="Calibri" w:cs="Calibri"/>
        </w:rPr>
        <w:t>New policy added: LEAVE OF ABSENCE TO ATTEND MEDICAL APPOINTMENTS FOR CHILDBIRTH, POSTPARTUM CARE, AND INFANT PEDIATRIC MEDICAL APPOINTMENTS</w:t>
      </w:r>
    </w:p>
    <w:p w14:paraId="64A1830B"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New Policy added: Leave for Military Spouses (in effect 1.1.26)</w:t>
      </w:r>
    </w:p>
    <w:p w14:paraId="232D270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NY State Handbook Addendum</w:t>
      </w:r>
    </w:p>
    <w:p w14:paraId="163EC57C" w14:textId="77777777" w:rsidR="00032870" w:rsidRPr="00DD7BD1" w:rsidRDefault="00032870" w:rsidP="00032870">
      <w:pPr>
        <w:pStyle w:val="ListParagraph"/>
        <w:numPr>
          <w:ilvl w:val="0"/>
          <w:numId w:val="268"/>
        </w:numPr>
        <w:suppressAutoHyphens/>
        <w:autoSpaceDN w:val="0"/>
        <w:spacing w:line="276" w:lineRule="auto"/>
        <w:ind w:firstLine="900"/>
        <w:rPr>
          <w:rFonts w:ascii="Calibri" w:hAnsi="Calibri" w:cs="Calibri"/>
        </w:rPr>
      </w:pPr>
      <w:r w:rsidRPr="00DD7BD1">
        <w:rPr>
          <w:rFonts w:ascii="Calibri" w:hAnsi="Calibri" w:cs="Calibri"/>
        </w:rPr>
        <w:t>NY City’s temporary Schedule change Policy – commentary added to Addendum, no policy changes</w:t>
      </w:r>
    </w:p>
    <w:p w14:paraId="012AD149"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 xml:space="preserve">ME State Handbook Addendum </w:t>
      </w:r>
    </w:p>
    <w:p w14:paraId="62AB8993" w14:textId="77777777" w:rsidR="00032870" w:rsidRPr="00DD7BD1" w:rsidRDefault="00032870" w:rsidP="00032870">
      <w:pPr>
        <w:pStyle w:val="ListParagraph"/>
        <w:numPr>
          <w:ilvl w:val="1"/>
          <w:numId w:val="269"/>
        </w:numPr>
        <w:suppressAutoHyphens/>
        <w:autoSpaceDN w:val="0"/>
        <w:spacing w:line="276" w:lineRule="auto"/>
        <w:ind w:left="810" w:firstLine="900"/>
        <w:rPr>
          <w:rFonts w:ascii="Calibri" w:hAnsi="Calibri" w:cs="Calibri"/>
        </w:rPr>
      </w:pPr>
      <w:r w:rsidRPr="00DD7BD1">
        <w:rPr>
          <w:rFonts w:ascii="Calibri" w:hAnsi="Calibri" w:cs="Calibri"/>
        </w:rPr>
        <w:t>Paid Family &amp; Medical Leave Policy added (For Employers using a Private Plan) ahead of 5.2026 entitlement effective date.</w:t>
      </w:r>
    </w:p>
    <w:p w14:paraId="69C9C51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7C9BC060"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Minneapolis &amp; St. Paul Sick &amp; Safe Time policy language</w:t>
      </w:r>
    </w:p>
    <w:p w14:paraId="7E3010B7"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New Policy: Meal &amp; Rest Breaks (eff 1.1.26)</w:t>
      </w:r>
    </w:p>
    <w:p w14:paraId="14FE47C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A14442D"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Sick Time Policy language to allow for such to be used for Blood, Bone Marrow and Organ Donation  (eff 1.1.26)</w:t>
      </w:r>
    </w:p>
    <w:p w14:paraId="76887CF6" w14:textId="77777777" w:rsidR="00032870" w:rsidRPr="00DD7BD1" w:rsidRDefault="00032870" w:rsidP="00032870">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WA State Handbook Addendum</w:t>
      </w:r>
    </w:p>
    <w:p w14:paraId="6D2EEB11"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New Disclaimer added</w:t>
      </w:r>
    </w:p>
    <w:p w14:paraId="3BFCD533"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policy language - Paid Sick Leave Policy</w:t>
      </w:r>
    </w:p>
    <w:p w14:paraId="18AD56CC"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LEAVE FOR VICTIMS OF DOMESTIC VIOLENCE, SEXUAL ASSAULT, STALKING, OR HATE CRIME Policy</w:t>
      </w:r>
    </w:p>
    <w:p w14:paraId="3F53EF2F" w14:textId="7AF80A3A" w:rsidR="00AB5BE1"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Pregnancy Accommodation Policy – commentary added addressing 1.1.2027 effective date of Paid lactation breaks for all employers</w:t>
      </w:r>
    </w:p>
    <w:p w14:paraId="4710519B" w14:textId="77777777" w:rsidR="00032870" w:rsidRPr="00DD7BD1" w:rsidRDefault="00032870" w:rsidP="00032870">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36F3C534" w14:textId="58C752E0"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November 2025 </w:t>
      </w:r>
      <w:r w:rsidRPr="00DD7BD1">
        <w:rPr>
          <w:rFonts w:ascii="Calibri" w:hAnsi="Calibri" w:cs="Calibri"/>
          <w:kern w:val="0"/>
          <w:sz w:val="22"/>
          <w:szCs w:val="22"/>
          <w:shd w:val="clear" w:color="auto" w:fill="FFFFFF"/>
        </w:rPr>
        <w:t>– NONE</w:t>
      </w:r>
    </w:p>
    <w:p w14:paraId="2793F0A8" w14:textId="77777777"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4335A606" w14:textId="6B22F3E7" w:rsidR="00D326EC" w:rsidRPr="00DD7BD1" w:rsidRDefault="00D326EC" w:rsidP="00D326EC">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October 2025</w:t>
      </w:r>
    </w:p>
    <w:p w14:paraId="67F9D15A"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CT State Handbook Addendum – </w:t>
      </w:r>
    </w:p>
    <w:p w14:paraId="75E16446"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 xml:space="preserve">Changes incorporated to addressed violence protection policy updated to reflect policy clarification language additions and expanded protections for victims of sexual assault and human trafficking </w:t>
      </w:r>
    </w:p>
    <w:p w14:paraId="62D0D7ED"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Maryland State Handbook Addendum – </w:t>
      </w:r>
    </w:p>
    <w:p w14:paraId="00F87ABD"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MONTGOMERY COUNTY EARNED SICK AND SAFE LEAVE POLICY - commentary added along with updated language under the Enforcement &amp; Retaliation section of this policy</w:t>
      </w:r>
    </w:p>
    <w:p w14:paraId="57895DC1" w14:textId="77777777" w:rsidR="00D326EC" w:rsidRPr="00DD7BD1" w:rsidRDefault="00D326EC" w:rsidP="00D326EC">
      <w:pPr>
        <w:pStyle w:val="ListParagraph"/>
        <w:numPr>
          <w:ilvl w:val="0"/>
          <w:numId w:val="249"/>
        </w:numPr>
        <w:spacing w:after="0" w:line="240" w:lineRule="auto"/>
        <w:ind w:left="2070"/>
        <w:rPr>
          <w:rFonts w:ascii="Calibri" w:hAnsi="Calibri" w:cs="Calibri"/>
          <w:sz w:val="20"/>
          <w:szCs w:val="20"/>
        </w:rPr>
      </w:pPr>
      <w:r w:rsidRPr="00DD7BD1">
        <w:rPr>
          <w:rFonts w:ascii="Calibri" w:hAnsi="Calibri" w:cs="Calibri"/>
        </w:rPr>
        <w:t>EARNED SICK AND SAFE LEAVE Policy updated language added to Enforcement &amp; Retaliation section of this policy</w:t>
      </w:r>
    </w:p>
    <w:p w14:paraId="4BDE9EB0"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Minnesota State Handbook Addendum – </w:t>
      </w:r>
    </w:p>
    <w:p w14:paraId="367AA89E"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Update MN Paid Leave Policy added ahead of 1.1.26 effective date</w:t>
      </w:r>
    </w:p>
    <w:p w14:paraId="1AA397B5"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RI State Handbook Addendum - </w:t>
      </w:r>
    </w:p>
    <w:p w14:paraId="330BD512" w14:textId="72210BBF" w:rsidR="00D326EC" w:rsidRPr="00DD7BD1" w:rsidRDefault="00D326EC" w:rsidP="00D326EC">
      <w:pPr>
        <w:pStyle w:val="pf0"/>
        <w:numPr>
          <w:ilvl w:val="0"/>
          <w:numId w:val="249"/>
        </w:numPr>
        <w:spacing w:before="0" w:beforeAutospacing="0" w:after="0" w:afterAutospacing="0"/>
        <w:ind w:left="2070"/>
        <w:rPr>
          <w:rFonts w:ascii="Calibri" w:hAnsi="Calibri" w:cs="Calibri"/>
          <w:sz w:val="22"/>
          <w:szCs w:val="22"/>
        </w:rPr>
      </w:pPr>
      <w:r w:rsidRPr="00DD7BD1">
        <w:rPr>
          <w:rFonts w:ascii="Calibri" w:hAnsi="Calibri" w:cs="Calibri"/>
          <w:sz w:val="22"/>
          <w:szCs w:val="22"/>
        </w:rPr>
        <w:t>Paid Temporary Caregiver Insurance Benefits and Leave policy updated policy language ahead of 1.1.2026 release to allow for “sibling” under family members.</w:t>
      </w:r>
    </w:p>
    <w:p w14:paraId="6FA4FD08" w14:textId="77777777" w:rsidR="00D326EC" w:rsidRPr="00DD7BD1" w:rsidRDefault="00D326EC"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0E7508F3" w14:textId="08CB05AA"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Aug/September 2025</w:t>
      </w:r>
      <w:r w:rsidR="002C1B32" w:rsidRPr="00DD7BD1">
        <w:rPr>
          <w:rFonts w:ascii="Calibri" w:hAnsi="Calibri" w:cs="Calibri"/>
          <w:color w:val="C00000"/>
          <w:kern w:val="0"/>
          <w:sz w:val="22"/>
          <w:szCs w:val="22"/>
          <w:shd w:val="clear" w:color="auto" w:fill="FFFFFF"/>
        </w:rPr>
        <w:tab/>
      </w:r>
    </w:p>
    <w:p w14:paraId="46913828"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bookmarkStart w:id="3" w:name="_Hlk212641690"/>
      <w:r w:rsidRPr="00DD7BD1">
        <w:rPr>
          <w:rFonts w:ascii="Calibri" w:eastAsiaTheme="minorHAnsi" w:hAnsi="Calibri" w:cs="Calibri"/>
          <w:b/>
          <w:bCs/>
          <w:i w:val="0"/>
          <w:iCs w:val="0"/>
          <w:color w:val="2E74B5" w:themeColor="accent5" w:themeShade="BF"/>
        </w:rPr>
        <w:t>AK State Handbook Addendum</w:t>
      </w:r>
      <w:bookmarkEnd w:id="3"/>
    </w:p>
    <w:p w14:paraId="4C2423B5" w14:textId="77777777" w:rsidR="00E43496" w:rsidRPr="00DD7BD1" w:rsidRDefault="00E43496">
      <w:pPr>
        <w:pStyle w:val="ListParagraph"/>
        <w:numPr>
          <w:ilvl w:val="1"/>
          <w:numId w:val="241"/>
        </w:numPr>
        <w:spacing w:after="0" w:line="240" w:lineRule="auto"/>
        <w:rPr>
          <w:rFonts w:ascii="Calibri" w:hAnsi="Calibri" w:cs="Calibri"/>
          <w:b/>
        </w:rPr>
      </w:pPr>
      <w:r w:rsidRPr="00DD7BD1">
        <w:rPr>
          <w:rFonts w:ascii="Calibri" w:hAnsi="Calibri" w:cs="Calibri"/>
          <w:w w:val="110"/>
        </w:rPr>
        <w:t>Edited State</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Sick</w:t>
      </w:r>
      <w:r w:rsidRPr="00DD7BD1">
        <w:rPr>
          <w:rFonts w:ascii="Calibri" w:hAnsi="Calibri" w:cs="Calibri"/>
          <w:spacing w:val="-7"/>
          <w:w w:val="110"/>
        </w:rPr>
        <w:t xml:space="preserve"> </w:t>
      </w:r>
      <w:r w:rsidRPr="00DD7BD1">
        <w:rPr>
          <w:rFonts w:ascii="Calibri" w:hAnsi="Calibri" w:cs="Calibri"/>
          <w:w w:val="110"/>
        </w:rPr>
        <w:t>Leave</w:t>
      </w:r>
      <w:r w:rsidRPr="00DD7BD1">
        <w:rPr>
          <w:rFonts w:ascii="Calibri" w:hAnsi="Calibri" w:cs="Calibri"/>
          <w:spacing w:val="-7"/>
          <w:w w:val="110"/>
        </w:rPr>
        <w:t xml:space="preserve"> </w:t>
      </w:r>
      <w:r w:rsidRPr="00DD7BD1">
        <w:rPr>
          <w:rFonts w:ascii="Calibri" w:hAnsi="Calibri" w:cs="Calibri"/>
          <w:w w:val="110"/>
        </w:rPr>
        <w:t>Policy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provide</w:t>
      </w:r>
      <w:r w:rsidRPr="00DD7BD1">
        <w:rPr>
          <w:rFonts w:ascii="Calibri" w:hAnsi="Calibri" w:cs="Calibri"/>
          <w:spacing w:val="-4"/>
          <w:w w:val="110"/>
        </w:rPr>
        <w:t xml:space="preserve"> </w:t>
      </w:r>
      <w:r w:rsidRPr="00DD7BD1">
        <w:rPr>
          <w:rFonts w:ascii="Calibri" w:hAnsi="Calibri" w:cs="Calibri"/>
          <w:w w:val="110"/>
        </w:rPr>
        <w:t>clarification</w:t>
      </w:r>
      <w:r w:rsidRPr="00DD7BD1">
        <w:rPr>
          <w:rFonts w:ascii="Calibri" w:hAnsi="Calibri" w:cs="Calibri"/>
          <w:spacing w:val="-5"/>
          <w:w w:val="110"/>
        </w:rPr>
        <w:t xml:space="preserve"> </w:t>
      </w:r>
      <w:r w:rsidRPr="00DD7BD1">
        <w:rPr>
          <w:rFonts w:ascii="Calibri" w:hAnsi="Calibri" w:cs="Calibri"/>
          <w:w w:val="110"/>
        </w:rPr>
        <w:t>language</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spacing w:val="-2"/>
          <w:w w:val="110"/>
        </w:rPr>
        <w:t>policy</w:t>
      </w:r>
    </w:p>
    <w:p w14:paraId="217AB40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CT State Handbook Addendum</w:t>
      </w:r>
    </w:p>
    <w:p w14:paraId="7B59C2F0" w14:textId="77777777" w:rsidR="00E43496" w:rsidRPr="00DD7BD1" w:rsidRDefault="00E43496">
      <w:pPr>
        <w:pStyle w:val="BodyText"/>
        <w:numPr>
          <w:ilvl w:val="1"/>
          <w:numId w:val="241"/>
        </w:numPr>
        <w:tabs>
          <w:tab w:val="left" w:pos="811"/>
        </w:tabs>
        <w:spacing w:after="0" w:line="240" w:lineRule="auto"/>
        <w:rPr>
          <w:rFonts w:cs="Calibri"/>
          <w:color w:val="auto"/>
          <w:w w:val="110"/>
          <w:szCs w:val="24"/>
        </w:rPr>
      </w:pPr>
      <w:r w:rsidRPr="00DD7BD1">
        <w:rPr>
          <w:rFonts w:cs="Calibri"/>
          <w:i/>
          <w:iCs/>
          <w:color w:val="auto"/>
          <w:w w:val="110"/>
          <w:szCs w:val="24"/>
        </w:rPr>
        <w:t>Updated LEAVE FOR FAMILY VIOELCE, DOMESTIC VIOLENCE OR SEXUAL ASSAULT Policy include</w:t>
      </w:r>
      <w:r w:rsidRPr="00DD7BD1">
        <w:rPr>
          <w:rFonts w:cs="Calibri"/>
          <w:i/>
          <w:iCs/>
          <w:color w:val="auto"/>
          <w:w w:val="110"/>
        </w:rPr>
        <w:t xml:space="preserve"> </w:t>
      </w:r>
      <w:r w:rsidRPr="00DD7BD1">
        <w:rPr>
          <w:rFonts w:cs="Calibri"/>
          <w:color w:val="auto"/>
          <w:w w:val="110"/>
          <w:szCs w:val="24"/>
        </w:rPr>
        <w:t>expanded protections for victims of sexual assault and human trafficking effective 10/1/25</w:t>
      </w:r>
    </w:p>
    <w:p w14:paraId="3D987330"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IL State Handbook Addendum</w:t>
      </w:r>
    </w:p>
    <w:p w14:paraId="1C87D7F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Calibri" w:hAnsi="Calibri" w:cs="Calibri"/>
        </w:rPr>
      </w:pPr>
      <w:r w:rsidRPr="00DD7BD1">
        <w:rPr>
          <w:rFonts w:ascii="Calibri" w:hAnsi="Calibri" w:cs="Calibri"/>
          <w:w w:val="110"/>
        </w:rPr>
        <w:t>Updated</w:t>
      </w:r>
      <w:r w:rsidRPr="00DD7BD1">
        <w:rPr>
          <w:rFonts w:ascii="Calibri" w:hAnsi="Calibri" w:cs="Calibri"/>
          <w:spacing w:val="-11"/>
          <w:w w:val="110"/>
        </w:rPr>
        <w:t xml:space="preserve"> </w:t>
      </w:r>
      <w:r w:rsidRPr="00DD7BD1">
        <w:rPr>
          <w:rFonts w:ascii="Calibri" w:hAnsi="Calibri" w:cs="Calibri"/>
          <w:w w:val="110"/>
        </w:rPr>
        <w:t>Military</w:t>
      </w:r>
      <w:r w:rsidRPr="00DD7BD1">
        <w:rPr>
          <w:rFonts w:ascii="Calibri" w:hAnsi="Calibri" w:cs="Calibri"/>
          <w:spacing w:val="-13"/>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address</w:t>
      </w:r>
      <w:r w:rsidRPr="00DD7BD1">
        <w:rPr>
          <w:rFonts w:ascii="Calibri" w:hAnsi="Calibri" w:cs="Calibri"/>
          <w:spacing w:val="-13"/>
          <w:w w:val="110"/>
        </w:rPr>
        <w:t xml:space="preserve"> </w:t>
      </w:r>
      <w:r w:rsidRPr="00DD7BD1">
        <w:rPr>
          <w:rFonts w:ascii="Calibri" w:hAnsi="Calibri" w:cs="Calibri"/>
          <w:w w:val="110"/>
        </w:rPr>
        <w:t>changes</w:t>
      </w:r>
      <w:r w:rsidRPr="00DD7BD1">
        <w:rPr>
          <w:rFonts w:ascii="Calibri" w:hAnsi="Calibri" w:cs="Calibri"/>
          <w:spacing w:val="-12"/>
          <w:w w:val="110"/>
        </w:rPr>
        <w:t xml:space="preserve"> </w:t>
      </w:r>
      <w:r w:rsidRPr="00DD7BD1">
        <w:rPr>
          <w:rFonts w:ascii="Calibri" w:hAnsi="Calibri" w:cs="Calibri"/>
          <w:w w:val="110"/>
        </w:rPr>
        <w:t>including</w:t>
      </w:r>
      <w:r w:rsidRPr="00DD7BD1">
        <w:rPr>
          <w:rFonts w:ascii="Calibri" w:hAnsi="Calibri" w:cs="Calibri"/>
          <w:spacing w:val="-13"/>
          <w:w w:val="110"/>
        </w:rPr>
        <w:t xml:space="preserve"> </w:t>
      </w:r>
      <w:r w:rsidRPr="00DD7BD1">
        <w:rPr>
          <w:rFonts w:ascii="Calibri" w:hAnsi="Calibri" w:cs="Calibri"/>
          <w:w w:val="110"/>
        </w:rPr>
        <w:t>Military</w:t>
      </w:r>
      <w:r w:rsidRPr="00DD7BD1">
        <w:rPr>
          <w:rFonts w:ascii="Calibri" w:hAnsi="Calibri" w:cs="Calibri"/>
          <w:spacing w:val="-11"/>
          <w:w w:val="110"/>
        </w:rPr>
        <w:t xml:space="preserve"> </w:t>
      </w:r>
      <w:r w:rsidRPr="00DD7BD1">
        <w:rPr>
          <w:rFonts w:ascii="Calibri" w:hAnsi="Calibri" w:cs="Calibri"/>
          <w:w w:val="110"/>
        </w:rPr>
        <w:t>Funeral</w:t>
      </w:r>
      <w:r w:rsidRPr="00DD7BD1">
        <w:rPr>
          <w:rFonts w:ascii="Calibri" w:hAnsi="Calibri" w:cs="Calibri"/>
          <w:spacing w:val="-13"/>
          <w:w w:val="110"/>
        </w:rPr>
        <w:t xml:space="preserve"> </w:t>
      </w:r>
      <w:r w:rsidRPr="00DD7BD1">
        <w:rPr>
          <w:rFonts w:ascii="Calibri" w:hAnsi="Calibri" w:cs="Calibri"/>
          <w:w w:val="110"/>
        </w:rPr>
        <w:lastRenderedPageBreak/>
        <w:t>Honors</w:t>
      </w:r>
      <w:r w:rsidRPr="00DD7BD1">
        <w:rPr>
          <w:rFonts w:ascii="Calibri" w:hAnsi="Calibri" w:cs="Calibri"/>
          <w:spacing w:val="-11"/>
          <w:w w:val="110"/>
        </w:rPr>
        <w:t xml:space="preserve"> </w:t>
      </w:r>
      <w:r w:rsidRPr="00DD7BD1">
        <w:rPr>
          <w:rFonts w:ascii="Calibri" w:hAnsi="Calibri" w:cs="Calibri"/>
          <w:w w:val="110"/>
        </w:rPr>
        <w:t>Detail provisions effective 8/2025</w:t>
      </w:r>
    </w:p>
    <w:p w14:paraId="227535A3"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MD State Handbook Addendum</w:t>
      </w:r>
    </w:p>
    <w:p w14:paraId="05978150"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rPr>
        <w:t>New</w:t>
      </w:r>
      <w:r w:rsidRPr="00DD7BD1">
        <w:rPr>
          <w:rFonts w:ascii="Calibri" w:hAnsi="Calibri" w:cs="Calibri"/>
          <w:spacing w:val="33"/>
        </w:rPr>
        <w:t xml:space="preserve"> </w:t>
      </w:r>
      <w:r w:rsidRPr="00DD7BD1">
        <w:rPr>
          <w:rFonts w:ascii="Calibri" w:hAnsi="Calibri" w:cs="Calibri"/>
          <w:spacing w:val="2"/>
        </w:rPr>
        <w:t>Family</w:t>
      </w:r>
      <w:r w:rsidRPr="00DD7BD1">
        <w:rPr>
          <w:rFonts w:ascii="Calibri" w:hAnsi="Calibri" w:cs="Calibri"/>
          <w:spacing w:val="34"/>
        </w:rPr>
        <w:t xml:space="preserve"> </w:t>
      </w:r>
      <w:r w:rsidRPr="00DD7BD1">
        <w:rPr>
          <w:rFonts w:ascii="Calibri" w:hAnsi="Calibri" w:cs="Calibri"/>
          <w:spacing w:val="2"/>
        </w:rPr>
        <w:t>Deployment</w:t>
      </w:r>
      <w:r w:rsidRPr="00DD7BD1">
        <w:rPr>
          <w:rFonts w:ascii="Calibri" w:hAnsi="Calibri" w:cs="Calibri"/>
          <w:spacing w:val="33"/>
        </w:rPr>
        <w:t xml:space="preserve"> </w:t>
      </w:r>
      <w:r w:rsidRPr="00DD7BD1">
        <w:rPr>
          <w:rFonts w:ascii="Calibri" w:hAnsi="Calibri" w:cs="Calibri"/>
          <w:spacing w:val="2"/>
        </w:rPr>
        <w:t>Leave</w:t>
      </w:r>
      <w:r w:rsidRPr="00DD7BD1">
        <w:rPr>
          <w:rFonts w:ascii="Calibri" w:hAnsi="Calibri" w:cs="Calibri"/>
          <w:spacing w:val="35"/>
        </w:rPr>
        <w:t xml:space="preserve"> </w:t>
      </w:r>
      <w:r w:rsidRPr="00DD7BD1">
        <w:rPr>
          <w:rFonts w:ascii="Calibri" w:hAnsi="Calibri" w:cs="Calibri"/>
          <w:spacing w:val="2"/>
        </w:rPr>
        <w:t>Policy</w:t>
      </w:r>
      <w:r w:rsidRPr="00DD7BD1">
        <w:rPr>
          <w:rFonts w:ascii="Calibri" w:hAnsi="Calibri" w:cs="Calibri"/>
          <w:spacing w:val="35"/>
        </w:rPr>
        <w:t xml:space="preserve"> </w:t>
      </w:r>
      <w:r w:rsidRPr="00DD7BD1">
        <w:rPr>
          <w:rFonts w:ascii="Calibri" w:hAnsi="Calibri" w:cs="Calibri"/>
          <w:spacing w:val="-4"/>
        </w:rPr>
        <w:t>added</w:t>
      </w:r>
    </w:p>
    <w:p w14:paraId="20489E66"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9"/>
          <w:w w:val="110"/>
        </w:rPr>
        <w:t xml:space="preserve"> </w:t>
      </w:r>
      <w:r w:rsidRPr="00DD7BD1">
        <w:rPr>
          <w:rFonts w:ascii="Calibri" w:hAnsi="Calibri" w:cs="Calibri"/>
          <w:spacing w:val="-2"/>
          <w:w w:val="110"/>
        </w:rPr>
        <w:t>Commentary</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additional</w:t>
      </w:r>
      <w:r w:rsidRPr="00DD7BD1">
        <w:rPr>
          <w:rFonts w:ascii="Calibri" w:hAnsi="Calibri" w:cs="Calibri"/>
          <w:spacing w:val="-7"/>
          <w:w w:val="110"/>
        </w:rPr>
        <w:t xml:space="preserve"> </w:t>
      </w:r>
      <w:r w:rsidRPr="00DD7BD1">
        <w:rPr>
          <w:rFonts w:ascii="Calibri" w:hAnsi="Calibri" w:cs="Calibri"/>
          <w:spacing w:val="-2"/>
          <w:w w:val="110"/>
        </w:rPr>
        <w:t>clarity</w:t>
      </w:r>
      <w:r w:rsidRPr="00DD7BD1">
        <w:rPr>
          <w:rFonts w:ascii="Calibri" w:hAnsi="Calibri" w:cs="Calibri"/>
          <w:spacing w:val="-8"/>
          <w:w w:val="110"/>
        </w:rPr>
        <w:t xml:space="preserve"> </w:t>
      </w:r>
      <w:r w:rsidRPr="00DD7BD1">
        <w:rPr>
          <w:rFonts w:ascii="Calibri" w:hAnsi="Calibri" w:cs="Calibri"/>
          <w:spacing w:val="-2"/>
          <w:w w:val="110"/>
        </w:rPr>
        <w:t>as</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6"/>
          <w:w w:val="110"/>
        </w:rPr>
        <w:t xml:space="preserve"> </w:t>
      </w:r>
      <w:r w:rsidRPr="00DD7BD1">
        <w:rPr>
          <w:rFonts w:ascii="Calibri" w:hAnsi="Calibri" w:cs="Calibri"/>
          <w:spacing w:val="-2"/>
          <w:w w:val="110"/>
        </w:rPr>
        <w:t>applicability</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small</w:t>
      </w:r>
      <w:r w:rsidRPr="00DD7BD1">
        <w:rPr>
          <w:rFonts w:ascii="Calibri" w:hAnsi="Calibri" w:cs="Calibri"/>
          <w:spacing w:val="-9"/>
          <w:w w:val="110"/>
        </w:rPr>
        <w:t xml:space="preserve"> </w:t>
      </w:r>
      <w:r w:rsidRPr="00DD7BD1">
        <w:rPr>
          <w:rFonts w:ascii="Calibri" w:hAnsi="Calibri" w:cs="Calibri"/>
          <w:spacing w:val="-2"/>
          <w:w w:val="110"/>
        </w:rPr>
        <w:t>employers</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 xml:space="preserve">State’s </w:t>
      </w:r>
      <w:r w:rsidRPr="00DD7BD1">
        <w:rPr>
          <w:rFonts w:ascii="Calibri" w:hAnsi="Calibri" w:cs="Calibri"/>
          <w:w w:val="110"/>
        </w:rPr>
        <w:t>Parental Leave</w:t>
      </w:r>
      <w:r w:rsidRPr="00DD7BD1">
        <w:rPr>
          <w:rFonts w:ascii="Calibri" w:hAnsi="Calibri" w:cs="Calibri"/>
          <w:spacing w:val="2"/>
          <w:w w:val="110"/>
        </w:rPr>
        <w:t xml:space="preserve"> </w:t>
      </w:r>
      <w:r w:rsidRPr="00DD7BD1">
        <w:rPr>
          <w:rFonts w:ascii="Calibri" w:hAnsi="Calibri" w:cs="Calibri"/>
          <w:spacing w:val="-2"/>
          <w:w w:val="110"/>
        </w:rPr>
        <w:t>Policy</w:t>
      </w:r>
    </w:p>
    <w:p w14:paraId="1CF17BB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ME State Handbook Addendum</w:t>
      </w:r>
    </w:p>
    <w:p w14:paraId="7723A19F"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Calibri" w:hAnsi="Calibri" w:cs="Calibri"/>
        </w:rPr>
      </w:pPr>
      <w:r w:rsidRPr="00DD7BD1">
        <w:rPr>
          <w:rFonts w:ascii="Calibri" w:hAnsi="Calibri" w:cs="Calibri"/>
          <w:w w:val="110"/>
        </w:rPr>
        <w:t>Updated</w:t>
      </w:r>
      <w:r w:rsidRPr="00DD7BD1">
        <w:rPr>
          <w:rFonts w:ascii="Calibri" w:hAnsi="Calibri" w:cs="Calibri"/>
          <w:spacing w:val="-5"/>
          <w:w w:val="110"/>
        </w:rPr>
        <w:t xml:space="preserve"> </w:t>
      </w:r>
      <w:r w:rsidRPr="00DD7BD1">
        <w:rPr>
          <w:rFonts w:ascii="Calibri" w:hAnsi="Calibri" w:cs="Calibri"/>
          <w:w w:val="110"/>
        </w:rPr>
        <w:t>Earned</w:t>
      </w:r>
      <w:r w:rsidRPr="00DD7BD1">
        <w:rPr>
          <w:rFonts w:ascii="Calibri" w:hAnsi="Calibri" w:cs="Calibri"/>
          <w:spacing w:val="-9"/>
          <w:w w:val="110"/>
        </w:rPr>
        <w:t xml:space="preserve"> </w:t>
      </w:r>
      <w:r w:rsidRPr="00DD7BD1">
        <w:rPr>
          <w:rFonts w:ascii="Calibri" w:hAnsi="Calibri" w:cs="Calibri"/>
          <w:w w:val="110"/>
        </w:rPr>
        <w:t>Paid</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updated</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reflect</w:t>
      </w:r>
      <w:r w:rsidRPr="00DD7BD1">
        <w:rPr>
          <w:rFonts w:ascii="Calibri" w:hAnsi="Calibri" w:cs="Calibri"/>
          <w:spacing w:val="-7"/>
          <w:w w:val="110"/>
        </w:rPr>
        <w:t xml:space="preserve"> </w:t>
      </w:r>
      <w:r w:rsidRPr="00DD7BD1">
        <w:rPr>
          <w:rFonts w:ascii="Calibri" w:hAnsi="Calibri" w:cs="Calibri"/>
          <w:w w:val="110"/>
        </w:rPr>
        <w:t>new</w:t>
      </w:r>
      <w:r w:rsidRPr="00DD7BD1">
        <w:rPr>
          <w:rFonts w:ascii="Calibri" w:hAnsi="Calibri" w:cs="Calibri"/>
          <w:spacing w:val="-9"/>
          <w:w w:val="110"/>
        </w:rPr>
        <w:t xml:space="preserve"> </w:t>
      </w:r>
      <w:r w:rsidRPr="00DD7BD1">
        <w:rPr>
          <w:rFonts w:ascii="Calibri" w:hAnsi="Calibri" w:cs="Calibri"/>
          <w:w w:val="110"/>
        </w:rPr>
        <w:t>allowance</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employees</w:t>
      </w:r>
      <w:r w:rsidRPr="00DD7BD1">
        <w:rPr>
          <w:rFonts w:ascii="Calibri" w:hAnsi="Calibri" w:cs="Calibri"/>
          <w:spacing w:val="-5"/>
          <w:w w:val="110"/>
        </w:rPr>
        <w:t xml:space="preserve"> </w:t>
      </w:r>
      <w:r w:rsidRPr="00DD7BD1">
        <w:rPr>
          <w:rFonts w:ascii="Calibri" w:hAnsi="Calibri" w:cs="Calibri"/>
          <w:w w:val="110"/>
        </w:rPr>
        <w:t>to be</w:t>
      </w:r>
      <w:r w:rsidRPr="00DD7BD1">
        <w:rPr>
          <w:rFonts w:ascii="Calibri" w:hAnsi="Calibri" w:cs="Calibri"/>
          <w:spacing w:val="-5"/>
          <w:w w:val="110"/>
        </w:rPr>
        <w:t xml:space="preserve"> </w:t>
      </w:r>
      <w:r w:rsidRPr="00DD7BD1">
        <w:rPr>
          <w:rFonts w:ascii="Calibri" w:hAnsi="Calibri" w:cs="Calibri"/>
          <w:w w:val="110"/>
        </w:rPr>
        <w:t>able</w:t>
      </w:r>
      <w:r w:rsidRPr="00DD7BD1">
        <w:rPr>
          <w:rFonts w:ascii="Calibri" w:hAnsi="Calibri" w:cs="Calibri"/>
          <w:spacing w:val="-6"/>
          <w:w w:val="110"/>
        </w:rPr>
        <w:t xml:space="preserve"> </w:t>
      </w:r>
      <w:r w:rsidRPr="00DD7BD1">
        <w:rPr>
          <w:rFonts w:ascii="Calibri" w:hAnsi="Calibri" w:cs="Calibri"/>
          <w:w w:val="110"/>
        </w:rPr>
        <w:t>to accrue</w:t>
      </w:r>
      <w:r w:rsidRPr="00DD7BD1">
        <w:rPr>
          <w:rFonts w:ascii="Calibri" w:hAnsi="Calibri" w:cs="Calibri"/>
          <w:spacing w:val="-12"/>
          <w:w w:val="110"/>
        </w:rPr>
        <w:t xml:space="preserve"> </w:t>
      </w:r>
      <w:r w:rsidRPr="00DD7BD1">
        <w:rPr>
          <w:rFonts w:ascii="Calibri" w:hAnsi="Calibri" w:cs="Calibri"/>
          <w:w w:val="110"/>
        </w:rPr>
        <w:t>up</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40</w:t>
      </w:r>
      <w:r w:rsidRPr="00DD7BD1">
        <w:rPr>
          <w:rFonts w:ascii="Calibri" w:hAnsi="Calibri" w:cs="Calibri"/>
          <w:spacing w:val="-13"/>
          <w:w w:val="110"/>
        </w:rPr>
        <w:t xml:space="preserve"> </w:t>
      </w:r>
      <w:r w:rsidRPr="00DD7BD1">
        <w:rPr>
          <w:rFonts w:ascii="Calibri" w:hAnsi="Calibri" w:cs="Calibri"/>
          <w:w w:val="110"/>
        </w:rPr>
        <w:t>hrs./yr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carry</w:t>
      </w:r>
      <w:r w:rsidRPr="00DD7BD1">
        <w:rPr>
          <w:rFonts w:ascii="Calibri" w:hAnsi="Calibri" w:cs="Calibri"/>
          <w:spacing w:val="-12"/>
          <w:w w:val="110"/>
        </w:rPr>
        <w:t xml:space="preserve"> </w:t>
      </w:r>
      <w:r w:rsidRPr="00DD7BD1">
        <w:rPr>
          <w:rFonts w:ascii="Calibri" w:hAnsi="Calibri" w:cs="Calibri"/>
          <w:w w:val="110"/>
        </w:rPr>
        <w:t>over</w:t>
      </w:r>
      <w:r w:rsidRPr="00DD7BD1">
        <w:rPr>
          <w:rFonts w:ascii="Calibri" w:hAnsi="Calibri" w:cs="Calibri"/>
          <w:spacing w:val="-10"/>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into</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calendar</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change</w:t>
      </w:r>
      <w:r w:rsidRPr="00DD7BD1">
        <w:rPr>
          <w:rFonts w:ascii="Calibri" w:hAnsi="Calibri" w:cs="Calibri"/>
          <w:spacing w:val="-12"/>
          <w:w w:val="110"/>
        </w:rPr>
        <w:t xml:space="preserve"> </w:t>
      </w:r>
      <w:r w:rsidRPr="00DD7BD1">
        <w:rPr>
          <w:rFonts w:ascii="Calibri" w:hAnsi="Calibri" w:cs="Calibri"/>
          <w:w w:val="110"/>
        </w:rPr>
        <w:t>goes</w:t>
      </w:r>
      <w:r w:rsidRPr="00DD7BD1">
        <w:rPr>
          <w:rFonts w:ascii="Calibri" w:hAnsi="Calibri" w:cs="Calibri"/>
          <w:spacing w:val="-9"/>
          <w:w w:val="110"/>
        </w:rPr>
        <w:t xml:space="preserve"> </w:t>
      </w:r>
      <w:r w:rsidRPr="00DD7BD1">
        <w:rPr>
          <w:rFonts w:ascii="Calibri" w:hAnsi="Calibri" w:cs="Calibri"/>
          <w:w w:val="110"/>
        </w:rPr>
        <w:t>into effect</w:t>
      </w:r>
      <w:r w:rsidRPr="00DD7BD1">
        <w:rPr>
          <w:rFonts w:ascii="Calibri" w:hAnsi="Calibri" w:cs="Calibri"/>
          <w:spacing w:val="-4"/>
          <w:w w:val="110"/>
        </w:rPr>
        <w:t xml:space="preserve"> </w:t>
      </w:r>
      <w:r w:rsidRPr="00DD7BD1">
        <w:rPr>
          <w:rFonts w:ascii="Calibri" w:hAnsi="Calibri" w:cs="Calibri"/>
          <w:w w:val="110"/>
        </w:rPr>
        <w:t>9/24/25.</w:t>
      </w:r>
    </w:p>
    <w:p w14:paraId="2CFC4CE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MN State Handbook Addendum</w:t>
      </w:r>
    </w:p>
    <w:p w14:paraId="661FAC75"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St</w:t>
      </w:r>
      <w:r w:rsidRPr="00DD7BD1">
        <w:rPr>
          <w:rFonts w:ascii="Calibri" w:hAnsi="Calibri" w:cs="Calibri"/>
          <w:spacing w:val="-10"/>
          <w:w w:val="110"/>
        </w:rPr>
        <w:t xml:space="preserve"> </w:t>
      </w:r>
      <w:r w:rsidRPr="00DD7BD1">
        <w:rPr>
          <w:rFonts w:ascii="Calibri" w:hAnsi="Calibri" w:cs="Calibri"/>
          <w:spacing w:val="-2"/>
          <w:w w:val="110"/>
        </w:rPr>
        <w:t>Paul</w:t>
      </w:r>
      <w:r w:rsidRPr="00DD7BD1">
        <w:rPr>
          <w:rFonts w:ascii="Calibri" w:hAnsi="Calibri" w:cs="Calibri"/>
          <w:spacing w:val="-10"/>
          <w:w w:val="110"/>
        </w:rPr>
        <w:t xml:space="preserve"> </w:t>
      </w:r>
      <w:r w:rsidRPr="00DD7BD1">
        <w:rPr>
          <w:rFonts w:ascii="Calibri" w:hAnsi="Calibri" w:cs="Calibri"/>
          <w:spacing w:val="-2"/>
          <w:w w:val="110"/>
        </w:rPr>
        <w:t>Sick</w:t>
      </w:r>
      <w:r w:rsidRPr="00DD7BD1">
        <w:rPr>
          <w:rFonts w:ascii="Calibri" w:hAnsi="Calibri" w:cs="Calibri"/>
          <w:spacing w:val="-10"/>
          <w:w w:val="110"/>
        </w:rPr>
        <w:t xml:space="preserve"> </w:t>
      </w:r>
      <w:r w:rsidRPr="00DD7BD1">
        <w:rPr>
          <w:rFonts w:ascii="Calibri" w:hAnsi="Calibri" w:cs="Calibri"/>
          <w:spacing w:val="-2"/>
          <w:w w:val="110"/>
        </w:rPr>
        <w:t>&amp;</w:t>
      </w:r>
      <w:r w:rsidRPr="00DD7BD1">
        <w:rPr>
          <w:rFonts w:ascii="Calibri" w:hAnsi="Calibri" w:cs="Calibri"/>
          <w:spacing w:val="-8"/>
          <w:w w:val="110"/>
        </w:rPr>
        <w:t xml:space="preserve"> </w:t>
      </w:r>
      <w:r w:rsidRPr="00DD7BD1">
        <w:rPr>
          <w:rFonts w:ascii="Calibri" w:hAnsi="Calibri" w:cs="Calibri"/>
          <w:spacing w:val="-2"/>
          <w:w w:val="110"/>
        </w:rPr>
        <w:t>Safe</w:t>
      </w:r>
      <w:r w:rsidRPr="00DD7BD1">
        <w:rPr>
          <w:rFonts w:ascii="Calibri" w:hAnsi="Calibri" w:cs="Calibri"/>
          <w:spacing w:val="-8"/>
          <w:w w:val="110"/>
        </w:rPr>
        <w:t xml:space="preserve"> </w:t>
      </w:r>
      <w:r w:rsidRPr="00DD7BD1">
        <w:rPr>
          <w:rFonts w:ascii="Calibri" w:hAnsi="Calibri" w:cs="Calibri"/>
          <w:spacing w:val="-2"/>
          <w:w w:val="110"/>
        </w:rPr>
        <w:t>Policy</w:t>
      </w:r>
      <w:r w:rsidRPr="00DD7BD1">
        <w:rPr>
          <w:rFonts w:ascii="Calibri" w:hAnsi="Calibri" w:cs="Calibri"/>
          <w:spacing w:val="-7"/>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include</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City’s</w:t>
      </w:r>
      <w:r w:rsidRPr="00DD7BD1">
        <w:rPr>
          <w:rFonts w:ascii="Calibri" w:hAnsi="Calibri" w:cs="Calibri"/>
          <w:spacing w:val="-9"/>
          <w:w w:val="110"/>
        </w:rPr>
        <w:t xml:space="preserve"> </w:t>
      </w:r>
      <w:r w:rsidRPr="00DD7BD1">
        <w:rPr>
          <w:rFonts w:ascii="Calibri" w:hAnsi="Calibri" w:cs="Calibri"/>
          <w:spacing w:val="-2"/>
          <w:w w:val="110"/>
        </w:rPr>
        <w:t>Labor</w:t>
      </w:r>
      <w:r w:rsidRPr="00DD7BD1">
        <w:rPr>
          <w:rFonts w:ascii="Calibri" w:hAnsi="Calibri" w:cs="Calibri"/>
          <w:spacing w:val="-10"/>
          <w:w w:val="110"/>
        </w:rPr>
        <w:t xml:space="preserve"> </w:t>
      </w:r>
      <w:r w:rsidRPr="00DD7BD1">
        <w:rPr>
          <w:rFonts w:ascii="Calibri" w:hAnsi="Calibri" w:cs="Calibri"/>
          <w:spacing w:val="-2"/>
          <w:w w:val="110"/>
        </w:rPr>
        <w:t>Poster/Notice</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Policy</w:t>
      </w:r>
    </w:p>
    <w:p w14:paraId="6828039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MT State Handbook Addendum</w:t>
      </w:r>
    </w:p>
    <w:p w14:paraId="621E475D" w14:textId="77777777" w:rsidR="00E43496" w:rsidRPr="00DD7BD1"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Calibri" w:hAnsi="Calibri" w:cs="Calibri"/>
        </w:rPr>
      </w:pPr>
      <w:r w:rsidRPr="00DD7BD1">
        <w:rPr>
          <w:rFonts w:ascii="Calibri" w:hAnsi="Calibri" w:cs="Calibri"/>
          <w:w w:val="110"/>
        </w:rPr>
        <w:t>New</w:t>
      </w:r>
      <w:r w:rsidRPr="00DD7BD1">
        <w:rPr>
          <w:rFonts w:ascii="Calibri" w:hAnsi="Calibri" w:cs="Calibri"/>
          <w:spacing w:val="-5"/>
          <w:w w:val="110"/>
        </w:rPr>
        <w:t xml:space="preserve"> </w:t>
      </w:r>
      <w:r w:rsidRPr="00DD7BD1">
        <w:rPr>
          <w:rFonts w:ascii="Calibri" w:hAnsi="Calibri" w:cs="Calibri"/>
          <w:w w:val="110"/>
        </w:rPr>
        <w:t>Emergency</w:t>
      </w:r>
      <w:r w:rsidRPr="00DD7BD1">
        <w:rPr>
          <w:rFonts w:ascii="Calibri" w:hAnsi="Calibri" w:cs="Calibri"/>
          <w:spacing w:val="-7"/>
          <w:w w:val="110"/>
        </w:rPr>
        <w:t xml:space="preserve"> </w:t>
      </w:r>
      <w:r w:rsidRPr="00DD7BD1">
        <w:rPr>
          <w:rFonts w:ascii="Calibri" w:hAnsi="Calibri" w:cs="Calibri"/>
          <w:w w:val="110"/>
        </w:rPr>
        <w:t>Services</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added</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4"/>
          <w:w w:val="110"/>
        </w:rPr>
        <w:t xml:space="preserve"> </w:t>
      </w:r>
      <w:r w:rsidRPr="00DD7BD1">
        <w:rPr>
          <w:rFonts w:ascii="Calibri" w:hAnsi="Calibri" w:cs="Calibri"/>
          <w:spacing w:val="-2"/>
          <w:w w:val="110"/>
        </w:rPr>
        <w:t>10/1/2025</w:t>
      </w:r>
    </w:p>
    <w:p w14:paraId="3EA4ABA1"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NE State Handbook Addendum</w:t>
      </w:r>
    </w:p>
    <w:p w14:paraId="4E590818"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New</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Sick</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2"/>
          <w:w w:val="110"/>
        </w:rPr>
        <w:t xml:space="preserve"> </w:t>
      </w:r>
      <w:r w:rsidRPr="00DD7BD1">
        <w:rPr>
          <w:rFonts w:ascii="Calibri" w:hAnsi="Calibri" w:cs="Calibri"/>
          <w:w w:val="110"/>
        </w:rPr>
        <w:t>Policy</w:t>
      </w:r>
      <w:r w:rsidRPr="00DD7BD1">
        <w:rPr>
          <w:rFonts w:ascii="Calibri" w:hAnsi="Calibri" w:cs="Calibri"/>
          <w:spacing w:val="-2"/>
          <w:w w:val="110"/>
        </w:rPr>
        <w:t xml:space="preserve"> </w:t>
      </w:r>
      <w:r w:rsidRPr="00DD7BD1">
        <w:rPr>
          <w:rFonts w:ascii="Calibri" w:hAnsi="Calibri" w:cs="Calibri"/>
          <w:w w:val="110"/>
        </w:rPr>
        <w:t>ahead</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3"/>
          <w:w w:val="110"/>
        </w:rPr>
        <w:t xml:space="preserve"> </w:t>
      </w:r>
      <w:r w:rsidRPr="00DD7BD1">
        <w:rPr>
          <w:rFonts w:ascii="Calibri" w:hAnsi="Calibri" w:cs="Calibri"/>
          <w:w w:val="110"/>
        </w:rPr>
        <w:t>10/1/25</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6"/>
          <w:w w:val="110"/>
        </w:rPr>
        <w:t xml:space="preserve"> </w:t>
      </w:r>
      <w:r w:rsidRPr="00DD7BD1">
        <w:rPr>
          <w:rFonts w:ascii="Calibri" w:hAnsi="Calibri" w:cs="Calibri"/>
          <w:w w:val="110"/>
        </w:rPr>
        <w:t>date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regulatory</w:t>
      </w:r>
      <w:r w:rsidRPr="00DD7BD1">
        <w:rPr>
          <w:rFonts w:ascii="Calibri" w:hAnsi="Calibri" w:cs="Calibri"/>
          <w:spacing w:val="-5"/>
          <w:w w:val="110"/>
        </w:rPr>
        <w:t xml:space="preserve"> </w:t>
      </w:r>
      <w:r w:rsidRPr="00DD7BD1">
        <w:rPr>
          <w:rFonts w:ascii="Calibri" w:hAnsi="Calibri" w:cs="Calibri"/>
          <w:spacing w:val="-2"/>
          <w:w w:val="110"/>
        </w:rPr>
        <w:t>provision.</w:t>
      </w:r>
    </w:p>
    <w:p w14:paraId="48985AEF"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NV State Handbook Addendum</w:t>
      </w:r>
    </w:p>
    <w:p w14:paraId="17E550F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rPr>
        <w:t>New</w:t>
      </w:r>
      <w:r w:rsidRPr="00DD7BD1">
        <w:rPr>
          <w:rFonts w:ascii="Calibri" w:hAnsi="Calibri" w:cs="Calibri"/>
          <w:spacing w:val="27"/>
        </w:rPr>
        <w:t xml:space="preserve"> </w:t>
      </w:r>
      <w:r w:rsidRPr="00DD7BD1">
        <w:rPr>
          <w:rFonts w:ascii="Calibri" w:hAnsi="Calibri" w:cs="Calibri"/>
        </w:rPr>
        <w:t>Civil</w:t>
      </w:r>
      <w:r w:rsidRPr="00DD7BD1">
        <w:rPr>
          <w:rFonts w:ascii="Calibri" w:hAnsi="Calibri" w:cs="Calibri"/>
          <w:spacing w:val="29"/>
        </w:rPr>
        <w:t xml:space="preserve"> </w:t>
      </w:r>
      <w:r w:rsidRPr="00DD7BD1">
        <w:rPr>
          <w:rFonts w:ascii="Calibri" w:hAnsi="Calibri" w:cs="Calibri"/>
        </w:rPr>
        <w:t>Air</w:t>
      </w:r>
      <w:r w:rsidRPr="00DD7BD1">
        <w:rPr>
          <w:rFonts w:ascii="Calibri" w:hAnsi="Calibri" w:cs="Calibri"/>
          <w:spacing w:val="29"/>
        </w:rPr>
        <w:t xml:space="preserve"> </w:t>
      </w:r>
      <w:r w:rsidRPr="00DD7BD1">
        <w:rPr>
          <w:rFonts w:ascii="Calibri" w:hAnsi="Calibri" w:cs="Calibri"/>
        </w:rPr>
        <w:t>Patrol</w:t>
      </w:r>
      <w:r w:rsidRPr="00DD7BD1">
        <w:rPr>
          <w:rFonts w:ascii="Calibri" w:hAnsi="Calibri" w:cs="Calibri"/>
          <w:spacing w:val="29"/>
        </w:rPr>
        <w:t xml:space="preserve"> </w:t>
      </w:r>
      <w:r w:rsidRPr="00DD7BD1">
        <w:rPr>
          <w:rFonts w:ascii="Calibri" w:hAnsi="Calibri" w:cs="Calibri"/>
        </w:rPr>
        <w:t>Leave</w:t>
      </w:r>
      <w:r w:rsidRPr="00DD7BD1">
        <w:rPr>
          <w:rFonts w:ascii="Calibri" w:hAnsi="Calibri" w:cs="Calibri"/>
          <w:spacing w:val="32"/>
        </w:rPr>
        <w:t xml:space="preserve"> </w:t>
      </w:r>
      <w:r w:rsidRPr="00DD7BD1">
        <w:rPr>
          <w:rFonts w:ascii="Calibri" w:hAnsi="Calibri" w:cs="Calibri"/>
        </w:rPr>
        <w:t>Policy</w:t>
      </w:r>
      <w:r w:rsidRPr="00DD7BD1">
        <w:rPr>
          <w:rFonts w:ascii="Calibri" w:hAnsi="Calibri" w:cs="Calibri"/>
          <w:spacing w:val="33"/>
        </w:rPr>
        <w:t xml:space="preserve"> </w:t>
      </w:r>
      <w:r w:rsidRPr="00DD7BD1">
        <w:rPr>
          <w:rFonts w:ascii="Calibri" w:hAnsi="Calibri" w:cs="Calibri"/>
        </w:rPr>
        <w:t>effective</w:t>
      </w:r>
      <w:r w:rsidRPr="00DD7BD1">
        <w:rPr>
          <w:rFonts w:ascii="Calibri" w:hAnsi="Calibri" w:cs="Calibri"/>
          <w:spacing w:val="29"/>
        </w:rPr>
        <w:t xml:space="preserve"> </w:t>
      </w:r>
      <w:r w:rsidRPr="00DD7BD1">
        <w:rPr>
          <w:rFonts w:ascii="Calibri" w:hAnsi="Calibri" w:cs="Calibri"/>
          <w:spacing w:val="-2"/>
        </w:rPr>
        <w:t>10/1/25</w:t>
      </w:r>
    </w:p>
    <w:p w14:paraId="53604B9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PA State Handbook Addendum</w:t>
      </w:r>
    </w:p>
    <w:p w14:paraId="3041496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Sick</w:t>
      </w:r>
      <w:r w:rsidRPr="00DD7BD1">
        <w:rPr>
          <w:rFonts w:ascii="Calibri" w:hAnsi="Calibri" w:cs="Calibri"/>
          <w:spacing w:val="-3"/>
          <w:w w:val="110"/>
        </w:rPr>
        <w:t xml:space="preserve"> </w:t>
      </w:r>
      <w:r w:rsidRPr="00DD7BD1">
        <w:rPr>
          <w:rFonts w:ascii="Calibri" w:hAnsi="Calibri" w:cs="Calibri"/>
          <w:w w:val="110"/>
        </w:rPr>
        <w:t>Time</w:t>
      </w:r>
      <w:r w:rsidRPr="00DD7BD1">
        <w:rPr>
          <w:rFonts w:ascii="Calibri" w:hAnsi="Calibri" w:cs="Calibri"/>
          <w:spacing w:val="3"/>
          <w:w w:val="110"/>
        </w:rPr>
        <w:t xml:space="preserve"> </w:t>
      </w:r>
      <w:r w:rsidRPr="00DD7BD1">
        <w:rPr>
          <w:rFonts w:ascii="Calibri" w:hAnsi="Calibri" w:cs="Calibri"/>
          <w:w w:val="110"/>
        </w:rPr>
        <w:t>Policy</w:t>
      </w:r>
      <w:r w:rsidRPr="00DD7BD1">
        <w:rPr>
          <w:rFonts w:ascii="Calibri" w:hAnsi="Calibri" w:cs="Calibri"/>
          <w:spacing w:val="3"/>
          <w:w w:val="110"/>
        </w:rPr>
        <w:t xml:space="preserve"> </w:t>
      </w:r>
      <w:r w:rsidRPr="00DD7BD1">
        <w:rPr>
          <w:rFonts w:ascii="Calibri" w:hAnsi="Calibri" w:cs="Calibri"/>
          <w:w w:val="110"/>
        </w:rPr>
        <w:t>verbiage</w:t>
      </w:r>
      <w:r w:rsidRPr="00DD7BD1">
        <w:rPr>
          <w:rFonts w:ascii="Calibri" w:hAnsi="Calibri" w:cs="Calibri"/>
          <w:spacing w:val="1"/>
          <w:w w:val="110"/>
        </w:rPr>
        <w:t xml:space="preserve"> </w:t>
      </w:r>
      <w:r w:rsidRPr="00DD7BD1">
        <w:rPr>
          <w:rFonts w:ascii="Calibri" w:hAnsi="Calibri" w:cs="Calibri"/>
          <w:spacing w:val="-2"/>
          <w:w w:val="110"/>
        </w:rPr>
        <w:t>updated</w:t>
      </w:r>
    </w:p>
    <w:p w14:paraId="53A9FB4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Pittsburg</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4"/>
          <w:w w:val="110"/>
        </w:rPr>
        <w:t xml:space="preserve"> </w:t>
      </w:r>
      <w:r w:rsidRPr="00DD7BD1">
        <w:rPr>
          <w:rFonts w:ascii="Calibri" w:hAnsi="Calibri" w:cs="Calibri"/>
          <w:w w:val="110"/>
        </w:rPr>
        <w:t>Sick</w:t>
      </w:r>
      <w:r w:rsidRPr="00DD7BD1">
        <w:rPr>
          <w:rFonts w:ascii="Calibri" w:hAnsi="Calibri" w:cs="Calibri"/>
          <w:spacing w:val="9"/>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verbiage</w:t>
      </w:r>
      <w:r w:rsidRPr="00DD7BD1">
        <w:rPr>
          <w:rFonts w:ascii="Calibri" w:hAnsi="Calibri" w:cs="Calibri"/>
          <w:spacing w:val="8"/>
          <w:w w:val="110"/>
        </w:rPr>
        <w:t xml:space="preserve"> </w:t>
      </w:r>
      <w:r w:rsidRPr="00DD7BD1">
        <w:rPr>
          <w:rFonts w:ascii="Calibri" w:hAnsi="Calibri" w:cs="Calibri"/>
          <w:w w:val="110"/>
        </w:rPr>
        <w:t>updated</w:t>
      </w:r>
      <w:r w:rsidRPr="00DD7BD1">
        <w:rPr>
          <w:rFonts w:ascii="Calibri" w:hAnsi="Calibri" w:cs="Calibri"/>
          <w:spacing w:val="8"/>
          <w:w w:val="110"/>
        </w:rPr>
        <w:t xml:space="preserve"> </w:t>
      </w:r>
      <w:r w:rsidRPr="00DD7BD1">
        <w:rPr>
          <w:rFonts w:ascii="Calibri" w:hAnsi="Calibri" w:cs="Calibri"/>
          <w:w w:val="110"/>
        </w:rPr>
        <w:t>ahead</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7"/>
          <w:w w:val="110"/>
        </w:rPr>
        <w:t xml:space="preserve"> </w:t>
      </w:r>
      <w:r w:rsidRPr="00DD7BD1">
        <w:rPr>
          <w:rFonts w:ascii="Calibri" w:hAnsi="Calibri" w:cs="Calibri"/>
          <w:w w:val="110"/>
        </w:rPr>
        <w:t>1/1/2026</w:t>
      </w:r>
      <w:r w:rsidRPr="00DD7BD1">
        <w:rPr>
          <w:rFonts w:ascii="Calibri" w:hAnsi="Calibri" w:cs="Calibri"/>
          <w:spacing w:val="6"/>
          <w:w w:val="110"/>
        </w:rPr>
        <w:t xml:space="preserve"> </w:t>
      </w:r>
      <w:r w:rsidRPr="00DD7BD1">
        <w:rPr>
          <w:rFonts w:ascii="Calibri" w:hAnsi="Calibri" w:cs="Calibri"/>
          <w:w w:val="110"/>
        </w:rPr>
        <w:t>effective</w:t>
      </w:r>
      <w:r w:rsidRPr="00DD7BD1">
        <w:rPr>
          <w:rFonts w:ascii="Calibri" w:hAnsi="Calibri" w:cs="Calibri"/>
          <w:spacing w:val="8"/>
          <w:w w:val="110"/>
        </w:rPr>
        <w:t xml:space="preserve"> </w:t>
      </w:r>
      <w:r w:rsidRPr="00DD7BD1">
        <w:rPr>
          <w:rFonts w:ascii="Calibri" w:hAnsi="Calibri" w:cs="Calibri"/>
          <w:spacing w:val="-4"/>
          <w:w w:val="110"/>
        </w:rPr>
        <w:t>date</w:t>
      </w:r>
    </w:p>
    <w:p w14:paraId="7DFB1BB7" w14:textId="659DE283"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Paid Sick</w:t>
      </w:r>
      <w:r w:rsidRPr="00DD7BD1">
        <w:rPr>
          <w:rFonts w:ascii="Calibri" w:hAnsi="Calibri" w:cs="Calibri"/>
          <w:spacing w:val="1"/>
          <w:w w:val="110"/>
        </w:rPr>
        <w:t xml:space="preserve"> </w:t>
      </w:r>
      <w:r w:rsidRPr="00DD7BD1">
        <w:rPr>
          <w:rFonts w:ascii="Calibri" w:hAnsi="Calibri" w:cs="Calibri"/>
          <w:w w:val="110"/>
        </w:rPr>
        <w:t>&amp;</w:t>
      </w:r>
      <w:r w:rsidRPr="00DD7BD1">
        <w:rPr>
          <w:rFonts w:ascii="Calibri" w:hAnsi="Calibri" w:cs="Calibri"/>
          <w:spacing w:val="-3"/>
          <w:w w:val="110"/>
        </w:rPr>
        <w:t xml:space="preserve"> </w:t>
      </w:r>
      <w:r w:rsidRPr="00DD7BD1">
        <w:rPr>
          <w:rFonts w:ascii="Calibri" w:hAnsi="Calibri" w:cs="Calibri"/>
          <w:w w:val="110"/>
        </w:rPr>
        <w:t>Allegheny</w:t>
      </w:r>
      <w:r w:rsidRPr="00DD7BD1">
        <w:rPr>
          <w:rFonts w:ascii="Calibri" w:hAnsi="Calibri" w:cs="Calibri"/>
          <w:spacing w:val="-1"/>
          <w:w w:val="110"/>
        </w:rPr>
        <w:t xml:space="preserve"> </w:t>
      </w:r>
      <w:r w:rsidRPr="00DD7BD1">
        <w:rPr>
          <w:rFonts w:ascii="Calibri" w:hAnsi="Calibri" w:cs="Calibri"/>
          <w:w w:val="110"/>
        </w:rPr>
        <w:t>County</w:t>
      </w:r>
      <w:r w:rsidRPr="00DD7BD1">
        <w:rPr>
          <w:rFonts w:ascii="Calibri" w:hAnsi="Calibri" w:cs="Calibri"/>
          <w:spacing w:val="-1"/>
          <w:w w:val="110"/>
        </w:rPr>
        <w:t xml:space="preserve"> </w:t>
      </w:r>
      <w:r w:rsidRPr="00DD7BD1">
        <w:rPr>
          <w:rFonts w:ascii="Calibri" w:hAnsi="Calibri" w:cs="Calibri"/>
          <w:w w:val="110"/>
        </w:rPr>
        <w:t>Paid</w:t>
      </w:r>
      <w:r w:rsidRPr="00DD7BD1">
        <w:rPr>
          <w:rFonts w:ascii="Calibri" w:hAnsi="Calibri" w:cs="Calibri"/>
          <w:spacing w:val="-3"/>
          <w:w w:val="110"/>
        </w:rPr>
        <w:t xml:space="preserve"> </w:t>
      </w:r>
      <w:r w:rsidRPr="00DD7BD1">
        <w:rPr>
          <w:rFonts w:ascii="Calibri" w:hAnsi="Calibri" w:cs="Calibri"/>
          <w:w w:val="110"/>
        </w:rPr>
        <w:t>Sick</w:t>
      </w:r>
      <w:r w:rsidRPr="00DD7BD1">
        <w:rPr>
          <w:rFonts w:ascii="Calibri" w:hAnsi="Calibri" w:cs="Calibri"/>
          <w:spacing w:val="-4"/>
          <w:w w:val="110"/>
        </w:rPr>
        <w:t xml:space="preserve"> </w:t>
      </w:r>
      <w:r w:rsidRPr="00DD7BD1">
        <w:rPr>
          <w:rFonts w:ascii="Calibri" w:hAnsi="Calibri" w:cs="Calibri"/>
          <w:w w:val="110"/>
        </w:rPr>
        <w:t>Time</w:t>
      </w:r>
      <w:r w:rsidRPr="00DD7BD1">
        <w:rPr>
          <w:rFonts w:ascii="Calibri" w:hAnsi="Calibri" w:cs="Calibri"/>
          <w:spacing w:val="1"/>
          <w:w w:val="110"/>
        </w:rPr>
        <w:t xml:space="preserve"> </w:t>
      </w:r>
      <w:r w:rsidRPr="00DD7BD1">
        <w:rPr>
          <w:rFonts w:ascii="Calibri" w:hAnsi="Calibri" w:cs="Calibri"/>
          <w:w w:val="110"/>
        </w:rPr>
        <w:t>clarifying</w:t>
      </w:r>
      <w:r w:rsidRPr="00DD7BD1">
        <w:rPr>
          <w:rFonts w:ascii="Calibri" w:hAnsi="Calibri" w:cs="Calibri"/>
          <w:spacing w:val="-1"/>
          <w:w w:val="110"/>
        </w:rPr>
        <w:t xml:space="preserve"> </w:t>
      </w:r>
      <w:r w:rsidRPr="00DD7BD1">
        <w:rPr>
          <w:rFonts w:ascii="Calibri" w:hAnsi="Calibri" w:cs="Calibri"/>
          <w:w w:val="110"/>
        </w:rPr>
        <w:t>policy</w:t>
      </w:r>
      <w:r w:rsidRPr="00DD7BD1">
        <w:rPr>
          <w:rFonts w:ascii="Calibri" w:hAnsi="Calibri" w:cs="Calibri"/>
          <w:spacing w:val="-1"/>
          <w:w w:val="110"/>
        </w:rPr>
        <w:t xml:space="preserve"> </w:t>
      </w:r>
      <w:r w:rsidRPr="00DD7BD1">
        <w:rPr>
          <w:rFonts w:ascii="Calibri" w:hAnsi="Calibri" w:cs="Calibri"/>
          <w:w w:val="110"/>
        </w:rPr>
        <w:t>language</w:t>
      </w:r>
      <w:r w:rsidRPr="00DD7BD1">
        <w:rPr>
          <w:rFonts w:ascii="Calibri" w:hAnsi="Calibri" w:cs="Calibri"/>
          <w:spacing w:val="-3"/>
          <w:w w:val="110"/>
        </w:rPr>
        <w:t xml:space="preserve"> </w:t>
      </w:r>
      <w:r w:rsidRPr="00DD7BD1">
        <w:rPr>
          <w:rFonts w:ascii="Calibri" w:hAnsi="Calibri" w:cs="Calibri"/>
          <w:spacing w:val="-2"/>
          <w:w w:val="110"/>
        </w:rPr>
        <w:t>added</w:t>
      </w:r>
    </w:p>
    <w:p w14:paraId="105B4242" w14:textId="77777777" w:rsidR="00E43496" w:rsidRPr="00DD7BD1" w:rsidRDefault="00E43496"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p>
    <w:p w14:paraId="71130E75" w14:textId="3CF14E72" w:rsidR="002C1B32" w:rsidRPr="00DD7BD1" w:rsidRDefault="002C1B32"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July 2025</w:t>
      </w:r>
    </w:p>
    <w:p w14:paraId="5FB1A891" w14:textId="77777777" w:rsidR="002C1B32" w:rsidRPr="00DD7BD1" w:rsidRDefault="002C1B32">
      <w:pPr>
        <w:pStyle w:val="Heading1"/>
        <w:numPr>
          <w:ilvl w:val="0"/>
          <w:numId w:val="227"/>
        </w:numPr>
        <w:shd w:val="clear" w:color="auto" w:fill="FFFFFF"/>
        <w:spacing w:before="0" w:beforeAutospacing="0" w:after="0" w:afterAutospacing="0"/>
        <w:ind w:left="1440"/>
        <w:rPr>
          <w:rFonts w:ascii="Calibri" w:eastAsiaTheme="minorHAnsi" w:hAnsi="Calibri" w:cs="Calibri"/>
          <w:color w:val="0070C0"/>
          <w:kern w:val="0"/>
          <w:sz w:val="23"/>
          <w:szCs w:val="23"/>
        </w:rPr>
      </w:pPr>
      <w:r w:rsidRPr="00DD7BD1">
        <w:rPr>
          <w:rFonts w:ascii="Calibri" w:eastAsiaTheme="minorHAnsi" w:hAnsi="Calibri" w:cs="Calibri"/>
          <w:color w:val="0070C0"/>
          <w:kern w:val="0"/>
          <w:sz w:val="23"/>
          <w:szCs w:val="23"/>
        </w:rPr>
        <w:t>AK State Handbook Addendum</w:t>
      </w:r>
    </w:p>
    <w:p w14:paraId="5AB4A5A9" w14:textId="7F9DB18F"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color w:val="0070C0"/>
          <w:kern w:val="0"/>
          <w:sz w:val="23"/>
          <w:szCs w:val="23"/>
        </w:rPr>
      </w:pPr>
      <w:r w:rsidRPr="00DD7BD1">
        <w:rPr>
          <w:rFonts w:ascii="Calibri" w:hAnsi="Calibri" w:cs="Calibri"/>
          <w:b w:val="0"/>
          <w:bCs w:val="0"/>
          <w:sz w:val="22"/>
          <w:szCs w:val="22"/>
        </w:rPr>
        <w:t>Advisory Notes were included in the new State Paid Sick Leave Policy when published.  This updated version removes the Advisory Note from the policy.</w:t>
      </w:r>
    </w:p>
    <w:p w14:paraId="235F68A8"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color w:val="0070C0"/>
          <w:kern w:val="0"/>
          <w:sz w:val="23"/>
          <w:szCs w:val="23"/>
        </w:rPr>
        <w:t>DE State Handbook Addendum</w:t>
      </w:r>
    </w:p>
    <w:p w14:paraId="5362944E" w14:textId="3670E073"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MN</w:t>
      </w:r>
      <w:r w:rsidRPr="00DD7BD1">
        <w:rPr>
          <w:rFonts w:ascii="Calibri" w:hAnsi="Calibri" w:cs="Calibri"/>
          <w:b w:val="0"/>
          <w:bCs w:val="0"/>
          <w:sz w:val="22"/>
          <w:szCs w:val="22"/>
        </w:rPr>
        <w:t xml:space="preserve"> </w:t>
      </w:r>
      <w:r w:rsidRPr="00DD7BD1">
        <w:rPr>
          <w:rFonts w:ascii="Calibri" w:eastAsiaTheme="minorHAnsi" w:hAnsi="Calibri" w:cs="Calibri"/>
          <w:color w:val="0070C0"/>
          <w:kern w:val="0"/>
          <w:sz w:val="23"/>
          <w:szCs w:val="23"/>
        </w:rPr>
        <w:t>State Handbook Addendum</w:t>
      </w:r>
    </w:p>
    <w:p w14:paraId="43438499" w14:textId="42890E5E"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kern w:val="0"/>
          <w:sz w:val="23"/>
          <w:szCs w:val="23"/>
        </w:rPr>
      </w:pPr>
      <w:r w:rsidRPr="00DD7BD1">
        <w:rPr>
          <w:rFonts w:ascii="Calibri" w:eastAsiaTheme="minorHAnsi" w:hAnsi="Calibri" w:cs="Calibri"/>
          <w:b w:val="0"/>
          <w:bCs w:val="0"/>
          <w:kern w:val="0"/>
          <w:sz w:val="23"/>
          <w:szCs w:val="23"/>
        </w:rPr>
        <w:t>Updated Family Medical Leave Policy removing MN specific requirements which are no longer applicable.</w:t>
      </w:r>
    </w:p>
    <w:p w14:paraId="605D3B1B"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RI State Handbook Addendum</w:t>
      </w:r>
    </w:p>
    <w:p w14:paraId="28D2706E" w14:textId="77777777"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New Policy added replacing former Pregnancy Accommodation Policy- Accommodation of Pregnancy-related and Menopause-related Conditions </w:t>
      </w:r>
    </w:p>
    <w:p w14:paraId="1B14C65C" w14:textId="51FE8DBC"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Paid Temporary Caregiver Insurance Benefits &amp; Leave Policy updated ahead of </w:t>
      </w:r>
      <w:r w:rsidRPr="00DD7BD1">
        <w:rPr>
          <w:rFonts w:ascii="Calibri" w:hAnsi="Calibri" w:cs="Calibri"/>
          <w:b w:val="0"/>
          <w:bCs w:val="0"/>
          <w:color w:val="C00000"/>
          <w:sz w:val="22"/>
          <w:szCs w:val="22"/>
        </w:rPr>
        <w:t xml:space="preserve">1.1.26 </w:t>
      </w:r>
      <w:r w:rsidRPr="00DD7BD1">
        <w:rPr>
          <w:rFonts w:ascii="Calibri" w:hAnsi="Calibri" w:cs="Calibri"/>
          <w:b w:val="0"/>
          <w:bCs w:val="0"/>
          <w:sz w:val="22"/>
          <w:szCs w:val="22"/>
        </w:rPr>
        <w:t>changes</w:t>
      </w:r>
    </w:p>
    <w:p w14:paraId="156DA9E0" w14:textId="77777777" w:rsidR="002C1B32" w:rsidRPr="00DD7BD1" w:rsidRDefault="002C1B32" w:rsidP="002C1B32">
      <w:pPr>
        <w:pStyle w:val="Heading1"/>
        <w:shd w:val="clear" w:color="auto" w:fill="FFFFFF"/>
        <w:spacing w:before="0" w:beforeAutospacing="0" w:after="0" w:afterAutospacing="0"/>
        <w:ind w:left="2160"/>
        <w:rPr>
          <w:rFonts w:ascii="Calibri" w:eastAsiaTheme="minorHAnsi" w:hAnsi="Calibri" w:cs="Calibri"/>
          <w:b w:val="0"/>
          <w:bCs w:val="0"/>
          <w:color w:val="0070C0"/>
          <w:kern w:val="0"/>
          <w:sz w:val="23"/>
          <w:szCs w:val="23"/>
        </w:rPr>
      </w:pPr>
    </w:p>
    <w:p w14:paraId="7E6635F6" w14:textId="1CDB1080" w:rsidR="008631FB" w:rsidRPr="00DD7BD1" w:rsidRDefault="008631FB"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June 2025</w:t>
      </w:r>
    </w:p>
    <w:p w14:paraId="4AA2DD6A"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CO State Handbook Addendum</w:t>
      </w:r>
    </w:p>
    <w:p w14:paraId="75357993" w14:textId="0BBEBD98"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b w:val="0"/>
          <w:bCs w:val="0"/>
          <w:kern w:val="0"/>
          <w:sz w:val="22"/>
          <w:szCs w:val="22"/>
        </w:rPr>
      </w:pPr>
      <w:r w:rsidRPr="00DD7BD1">
        <w:rPr>
          <w:rFonts w:ascii="Calibri" w:eastAsiaTheme="minorHAnsi" w:hAnsi="Calibri" w:cs="Calibri"/>
          <w:i/>
          <w:iCs/>
          <w:kern w:val="0"/>
          <w:sz w:val="22"/>
          <w:szCs w:val="22"/>
        </w:rPr>
        <w:t>Paid Family Medical Leave Policy</w:t>
      </w:r>
      <w:r w:rsidRPr="00DD7BD1">
        <w:rPr>
          <w:rFonts w:ascii="Calibri" w:eastAsiaTheme="minorHAnsi" w:hAnsi="Calibri" w:cs="Calibr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MN State Handbook Addendum</w:t>
      </w:r>
    </w:p>
    <w:p w14:paraId="564EC6D0" w14:textId="25DFE5A1"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i/>
          <w:iCs/>
          <w:kern w:val="0"/>
          <w:sz w:val="22"/>
          <w:szCs w:val="22"/>
        </w:rPr>
        <w:t>State Sick &amp; Safe Leave/Paid Sick Leave Policy</w:t>
      </w:r>
      <w:r w:rsidRPr="00DD7BD1">
        <w:rPr>
          <w:rFonts w:ascii="Calibri" w:eastAsiaTheme="minorHAnsi" w:hAnsi="Calibri" w:cs="Calibri"/>
          <w:b w:val="0"/>
          <w:bCs w:val="0"/>
          <w:kern w:val="0"/>
          <w:sz w:val="22"/>
          <w:szCs w:val="22"/>
        </w:rPr>
        <w:t xml:space="preserve"> updated to reflect the recently amended regulations (see under the Minnesota header for details)</w:t>
      </w:r>
    </w:p>
    <w:p w14:paraId="272E0337"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NY State Handbook Addendum</w:t>
      </w:r>
    </w:p>
    <w:p w14:paraId="2B3E0CCE" w14:textId="77777777" w:rsidR="008631FB"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 Paid Parental Leave Policy</w:t>
      </w:r>
      <w:r w:rsidRPr="00DD7BD1">
        <w:rPr>
          <w:rFonts w:ascii="Calibri" w:hAnsi="Calibri" w:cs="Calibri"/>
          <w:sz w:val="18"/>
          <w:szCs w:val="18"/>
        </w:rPr>
        <w:t xml:space="preserve"> </w:t>
      </w:r>
      <w:r w:rsidRPr="00DD7BD1">
        <w:rPr>
          <w:rFonts w:ascii="Calibri" w:hAnsi="Calibri" w:cs="Calibri"/>
        </w:rPr>
        <w:t>updated to include New York City reference language updates</w:t>
      </w:r>
    </w:p>
    <w:p w14:paraId="41B23E9A" w14:textId="2782716B" w:rsidR="00A5438C"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lastRenderedPageBreak/>
        <w:t>NY</w:t>
      </w:r>
      <w:r w:rsidRPr="00DD7BD1">
        <w:rPr>
          <w:rFonts w:ascii="Calibri" w:hAnsi="Calibri" w:cs="Calibri"/>
          <w:b/>
          <w:bCs/>
          <w:i/>
          <w:iCs/>
          <w:u w:val="single"/>
        </w:rPr>
        <w:t>C</w:t>
      </w:r>
      <w:r w:rsidRPr="00DD7BD1">
        <w:rPr>
          <w:rFonts w:ascii="Calibri" w:hAnsi="Calibri" w:cs="Calibri"/>
          <w:b/>
          <w:bCs/>
          <w:i/>
          <w:iCs/>
        </w:rPr>
        <w:t xml:space="preserve"> Sick &amp; Safe Time Policy</w:t>
      </w:r>
      <w:r w:rsidRPr="00DD7BD1">
        <w:rPr>
          <w:rFonts w:ascii="Calibri" w:hAnsi="Calibri" w:cs="Calibri"/>
        </w:rPr>
        <w:t xml:space="preserve"> updated to include new clarification language under the “Additional Paid Parental Leave” section of the polic</w:t>
      </w:r>
      <w:r w:rsidR="0020395B" w:rsidRPr="00DD7BD1">
        <w:rPr>
          <w:rFonts w:ascii="Calibri" w:hAnsi="Calibri" w:cs="Calibri"/>
        </w:rPr>
        <w:t>y</w:t>
      </w:r>
    </w:p>
    <w:p w14:paraId="38CBB276" w14:textId="68A041CB"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NH</w:t>
      </w:r>
    </w:p>
    <w:p w14:paraId="60E2A15C" w14:textId="6E978466"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VT</w:t>
      </w:r>
    </w:p>
    <w:p w14:paraId="32859B48" w14:textId="344ADBA0" w:rsidR="008631FB"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1E60E05F"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4AE5CA3E" w14:textId="1D878DB8" w:rsidR="00A5438C" w:rsidRPr="00DD7BD1" w:rsidRDefault="00A5438C">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May 2025</w:t>
      </w:r>
    </w:p>
    <w:p w14:paraId="5F02B9C1" w14:textId="693A1DD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AK</w:t>
      </w:r>
    </w:p>
    <w:p w14:paraId="2ECA5599" w14:textId="4A7B800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w:t>
      </w:r>
    </w:p>
    <w:p w14:paraId="7E156F54" w14:textId="61039AA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IN</w:t>
      </w:r>
    </w:p>
    <w:p w14:paraId="5F2A9B51" w14:textId="7EF9CC1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NY</w:t>
      </w:r>
    </w:p>
    <w:p w14:paraId="0BAEC359" w14:textId="7F8CDDB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0A4BBCE6" w14:textId="77777777" w:rsidR="00A5438C" w:rsidRPr="00DD7BD1" w:rsidRDefault="00A5438C" w:rsidP="00A5438C">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3EB6C35C" w14:textId="006A575B" w:rsidR="00217064" w:rsidRPr="00DD7BD1" w:rsidRDefault="00217064">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April 2025</w:t>
      </w:r>
    </w:p>
    <w:p w14:paraId="19165EA1" w14:textId="4903A1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AL</w:t>
      </w:r>
    </w:p>
    <w:p w14:paraId="620A646B" w14:textId="0250DD39"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AZ</w:t>
      </w:r>
    </w:p>
    <w:p w14:paraId="7E3903AE" w14:textId="4AE9F3F0"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AR</w:t>
      </w:r>
    </w:p>
    <w:p w14:paraId="136D84A1" w14:textId="0882C751"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DC</w:t>
      </w:r>
    </w:p>
    <w:p w14:paraId="586CE2C3" w14:textId="25702C8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60FFD8BF" w14:textId="599994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w:t>
      </w:r>
    </w:p>
    <w:p w14:paraId="6ECEBE99" w14:textId="2EA952AB"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7DD1463D"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b w:val="0"/>
          <w:bCs w:val="0"/>
          <w:kern w:val="0"/>
          <w:sz w:val="22"/>
          <w:szCs w:val="22"/>
          <w:shd w:val="clear" w:color="auto" w:fill="FFFFFF"/>
        </w:rPr>
      </w:pPr>
    </w:p>
    <w:p w14:paraId="1BA232F0" w14:textId="6AEDC54B" w:rsidR="00ED4076" w:rsidRPr="00DD7BD1" w:rsidRDefault="00ED4076">
      <w:pPr>
        <w:pStyle w:val="Heading1"/>
        <w:numPr>
          <w:ilvl w:val="0"/>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w:t>
      </w:r>
      <w:r w:rsidR="00BD445F" w:rsidRPr="00DD7BD1">
        <w:rPr>
          <w:rFonts w:ascii="Calibri" w:hAnsi="Calibri" w:cs="Calibri"/>
          <w:color w:val="C00000"/>
          <w:kern w:val="0"/>
          <w:sz w:val="22"/>
          <w:szCs w:val="22"/>
          <w:shd w:val="clear" w:color="auto" w:fill="FFFFFF"/>
        </w:rPr>
        <w:t>anuary</w:t>
      </w:r>
      <w:r w:rsidRPr="00DD7BD1">
        <w:rPr>
          <w:rFonts w:ascii="Calibri" w:hAnsi="Calibri" w:cs="Calibri"/>
          <w:color w:val="C00000"/>
          <w:kern w:val="0"/>
          <w:sz w:val="22"/>
          <w:szCs w:val="22"/>
          <w:shd w:val="clear" w:color="auto" w:fill="FFFFFF"/>
        </w:rPr>
        <w:t xml:space="preserve"> 202</w:t>
      </w:r>
      <w:r w:rsidR="00BD445F" w:rsidRPr="00DD7BD1">
        <w:rPr>
          <w:rFonts w:ascii="Calibri" w:hAnsi="Calibri" w:cs="Calibri"/>
          <w:color w:val="C00000"/>
          <w:kern w:val="0"/>
          <w:sz w:val="22"/>
          <w:szCs w:val="22"/>
          <w:shd w:val="clear" w:color="auto" w:fill="FFFFFF"/>
        </w:rPr>
        <w:t>5</w:t>
      </w:r>
      <w:r w:rsidRPr="00DD7BD1">
        <w:rPr>
          <w:rFonts w:ascii="Calibri" w:hAnsi="Calibri" w:cs="Calibri"/>
          <w:b w:val="0"/>
          <w:bCs w:val="0"/>
          <w:kern w:val="0"/>
          <w:sz w:val="22"/>
          <w:szCs w:val="22"/>
          <w:shd w:val="clear" w:color="auto" w:fill="FFFFFF"/>
        </w:rPr>
        <w:t>:</w:t>
      </w:r>
    </w:p>
    <w:p w14:paraId="0C75AE60" w14:textId="7895409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Federal EEO Policy recommended update</w:t>
      </w:r>
    </w:p>
    <w:p w14:paraId="3D6C8B29" w14:textId="655F1A02"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California</w:t>
      </w:r>
    </w:p>
    <w:p w14:paraId="6E6F7596" w14:textId="7D70E1D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Colorado</w:t>
      </w:r>
    </w:p>
    <w:p w14:paraId="7E13783C" w14:textId="36AE768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Connecticut</w:t>
      </w:r>
    </w:p>
    <w:p w14:paraId="6B70FB7D" w14:textId="328FF6E3"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Illinois</w:t>
      </w:r>
    </w:p>
    <w:p w14:paraId="255C172E" w14:textId="3F814B8A"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Massachusetts</w:t>
      </w:r>
    </w:p>
    <w:p w14:paraId="4EA19238" w14:textId="20B8E90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Michigan</w:t>
      </w:r>
    </w:p>
    <w:p w14:paraId="24818044" w14:textId="1516ECFB"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Montana</w:t>
      </w:r>
    </w:p>
    <w:p w14:paraId="02B6AA83" w14:textId="0DF6C8C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New York</w:t>
      </w:r>
    </w:p>
    <w:p w14:paraId="21489203" w14:textId="01DE26B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Oregon</w:t>
      </w:r>
    </w:p>
    <w:p w14:paraId="34EECAE5" w14:textId="21B92671"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Rhode Island</w:t>
      </w:r>
    </w:p>
    <w:p w14:paraId="624C2678" w14:textId="730D2CC9"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 xml:space="preserve">Washington </w:t>
      </w:r>
    </w:p>
    <w:p w14:paraId="66970A34" w14:textId="765DBEA0"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Wisconsin</w:t>
      </w:r>
    </w:p>
    <w:p w14:paraId="11C581F8" w14:textId="77777777" w:rsidR="00D42C42" w:rsidRPr="00DD7BD1" w:rsidRDefault="00D42C42" w:rsidP="00D42C42">
      <w:pPr>
        <w:pStyle w:val="Heading1"/>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p>
    <w:p w14:paraId="243B4AD8" w14:textId="77777777" w:rsidR="001A580B" w:rsidRDefault="001A580B"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2193B1A9" w14:textId="77777777" w:rsidR="005E1093" w:rsidRDefault="005E1093"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16F7B079" w14:textId="77777777" w:rsidR="005E1093" w:rsidRPr="00DD7BD1" w:rsidRDefault="005E1093"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3739D6AB" w14:textId="77777777" w:rsidR="005E1093" w:rsidRDefault="005E1093" w:rsidP="005E1093">
      <w:pPr>
        <w:pStyle w:val="BodyText"/>
        <w:spacing w:after="0" w:line="240" w:lineRule="auto"/>
        <w:ind w:right="274"/>
        <w:rPr>
          <w:rFonts w:eastAsiaTheme="minorHAnsi" w:cs="Calibri"/>
          <w:b/>
          <w:bCs/>
          <w:color w:val="auto"/>
          <w:kern w:val="36"/>
          <w:szCs w:val="22"/>
        </w:rPr>
      </w:pPr>
    </w:p>
    <w:p w14:paraId="32D68148" w14:textId="34E9B25B" w:rsidR="00471110" w:rsidRDefault="00471110" w:rsidP="005E1093">
      <w:pPr>
        <w:pStyle w:val="BodyText"/>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 xml:space="preserve">August 2026 </w:t>
      </w:r>
      <w:r>
        <w:rPr>
          <w:rFonts w:eastAsiaTheme="minorHAnsi" w:cs="Calibri"/>
          <w:b/>
          <w:bCs/>
          <w:color w:val="C00000"/>
          <w:kern w:val="36"/>
          <w:sz w:val="28"/>
          <w:szCs w:val="28"/>
        </w:rPr>
        <w:t>Alerts/Reminders:</w:t>
      </w:r>
    </w:p>
    <w:p w14:paraId="40939FF7" w14:textId="77777777" w:rsidR="00471110" w:rsidRDefault="00471110" w:rsidP="005E1093">
      <w:pPr>
        <w:pStyle w:val="BodyText"/>
        <w:spacing w:after="0" w:line="240" w:lineRule="auto"/>
        <w:ind w:right="274"/>
        <w:rPr>
          <w:rFonts w:eastAsiaTheme="minorHAnsi" w:cs="Calibri"/>
          <w:b/>
          <w:bCs/>
          <w:color w:val="C00000"/>
          <w:kern w:val="36"/>
          <w:sz w:val="28"/>
          <w:szCs w:val="28"/>
        </w:rPr>
      </w:pPr>
    </w:p>
    <w:p w14:paraId="40355715" w14:textId="1979CCD7" w:rsidR="00471110" w:rsidRDefault="00471110" w:rsidP="00471110">
      <w:pPr>
        <w:pStyle w:val="MainSectionHead"/>
        <w:spacing w:before="0" w:after="0" w:line="240" w:lineRule="auto"/>
        <w:rPr>
          <w:caps/>
          <w:color w:val="0070C0"/>
        </w:rPr>
      </w:pPr>
      <w:r w:rsidRPr="00714C8B">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sidRPr="00714C8B">
        <w:rPr>
          <w:caps/>
          <w:color w:val="0070C0"/>
        </w:rPr>
        <w:t>August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sidRPr="00714C8B">
        <w:rPr>
          <w:caps/>
          <w:color w:val="0070C0"/>
        </w:rPr>
        <w:t>September 30,</w:t>
      </w:r>
      <w:r w:rsidRPr="00714C8B">
        <w:rPr>
          <w:caps/>
          <w:color w:val="0070C0"/>
          <w:spacing w:val="-9"/>
        </w:rPr>
        <w:t xml:space="preserve"> </w:t>
      </w:r>
      <w:r w:rsidRPr="00714C8B">
        <w:rPr>
          <w:caps/>
          <w:color w:val="0070C0"/>
        </w:rPr>
        <w:t>2026</w:t>
      </w:r>
    </w:p>
    <w:p w14:paraId="454EB3E8" w14:textId="77777777" w:rsidR="00471110" w:rsidRDefault="00471110" w:rsidP="00471110">
      <w:pPr>
        <w:pStyle w:val="MainSectionHead"/>
        <w:spacing w:before="0" w:after="0" w:line="240" w:lineRule="auto"/>
        <w:rPr>
          <w:caps/>
          <w:color w:val="0070C0"/>
        </w:rPr>
      </w:pPr>
    </w:p>
    <w:p w14:paraId="595A94FF" w14:textId="77777777" w:rsidR="00471110" w:rsidRPr="00530B66" w:rsidRDefault="00471110" w:rsidP="00471110">
      <w:pPr>
        <w:pStyle w:val="MainSectionHead"/>
        <w:spacing w:before="0" w:after="0" w:line="240" w:lineRule="auto"/>
        <w:rPr>
          <w:b w:val="0"/>
          <w:bCs w:val="0"/>
          <w:caps/>
          <w:color w:val="0070C0"/>
        </w:rPr>
      </w:pPr>
      <w:r w:rsidRPr="006074D9">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September</w:t>
      </w:r>
      <w:r w:rsidRPr="006074D9">
        <w:rPr>
          <w:caps/>
          <w:color w:val="0070C0"/>
        </w:rPr>
        <w:t xml:space="preserve">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 xml:space="preserve">October </w:t>
      </w:r>
      <w:r w:rsidRPr="006074D9">
        <w:rPr>
          <w:caps/>
          <w:color w:val="0070C0"/>
        </w:rPr>
        <w:t>31,</w:t>
      </w:r>
      <w:r w:rsidRPr="006074D9">
        <w:rPr>
          <w:caps/>
          <w:color w:val="0070C0"/>
          <w:spacing w:val="-9"/>
        </w:rPr>
        <w:t xml:space="preserve"> </w:t>
      </w:r>
      <w:r w:rsidRPr="006074D9">
        <w:rPr>
          <w:caps/>
          <w:color w:val="0070C0"/>
        </w:rPr>
        <w:t>2026</w:t>
      </w:r>
    </w:p>
    <w:p w14:paraId="0312E8B6" w14:textId="77777777" w:rsidR="00471110" w:rsidRPr="00530B66" w:rsidRDefault="00471110" w:rsidP="00471110">
      <w:pPr>
        <w:pStyle w:val="MainSectionHead"/>
        <w:spacing w:before="0" w:after="0" w:line="240" w:lineRule="auto"/>
        <w:rPr>
          <w:b w:val="0"/>
          <w:bCs w:val="0"/>
          <w:caps/>
          <w:color w:val="0070C0"/>
        </w:rPr>
      </w:pPr>
    </w:p>
    <w:p w14:paraId="07763B14" w14:textId="77777777" w:rsidR="00471110" w:rsidRDefault="00471110" w:rsidP="00471110">
      <w:pPr>
        <w:pStyle w:val="BodyText"/>
        <w:spacing w:after="0" w:line="240" w:lineRule="auto"/>
        <w:rPr>
          <w:b/>
          <w:bCs/>
          <w:caps/>
          <w:noProof/>
          <w:color w:val="0E425C"/>
          <w:sz w:val="28"/>
          <w:szCs w:val="28"/>
        </w:rPr>
      </w:pPr>
      <w:r w:rsidRPr="0080050A">
        <w:rPr>
          <w:b/>
          <w:bCs/>
          <w:caps/>
          <w:noProof/>
          <w:color w:val="0070C0"/>
          <w:sz w:val="28"/>
          <w:szCs w:val="28"/>
        </w:rPr>
        <w:t xml:space="preserve">New! </w:t>
      </w:r>
      <w:r>
        <w:rPr>
          <w:b/>
          <w:bCs/>
          <w:caps/>
          <w:noProof/>
          <w:color w:val="0E425C"/>
          <w:sz w:val="28"/>
          <w:szCs w:val="28"/>
        </w:rPr>
        <w:t>Medical Loss Rebates (MLR)</w:t>
      </w:r>
    </w:p>
    <w:p w14:paraId="5DC52125" w14:textId="77777777" w:rsidR="00471110" w:rsidRPr="0080050A" w:rsidRDefault="00471110" w:rsidP="00471110">
      <w:pPr>
        <w:pStyle w:val="BodyText"/>
        <w:spacing w:after="0" w:line="240" w:lineRule="auto"/>
        <w:rPr>
          <w:color w:val="auto"/>
        </w:rPr>
      </w:pPr>
      <w:r w:rsidRPr="0080050A">
        <w:rPr>
          <w:color w:val="auto"/>
        </w:rPr>
        <w:t xml:space="preserve">The MLR rules require health insurance issuers to spend a minimum percentage of their premium dollars on medical care and health care quality improvement. This percentage is 85% for issuers in the large group market and 80% for issuers in the small and individual group markets. </w:t>
      </w:r>
      <w:r>
        <w:rPr>
          <w:color w:val="auto"/>
        </w:rPr>
        <w:t>Additionally, s</w:t>
      </w:r>
      <w:r w:rsidRPr="0080050A">
        <w:rPr>
          <w:color w:val="auto"/>
        </w:rPr>
        <w:t xml:space="preserve">tates may set higher MLR standards than the federal 80%/85% thresholds. </w:t>
      </w:r>
    </w:p>
    <w:p w14:paraId="6E955FB9" w14:textId="77777777" w:rsidR="00471110" w:rsidRPr="0080050A" w:rsidRDefault="00471110" w:rsidP="00471110">
      <w:pPr>
        <w:pStyle w:val="BodyText"/>
        <w:spacing w:after="0" w:line="240" w:lineRule="auto"/>
        <w:rPr>
          <w:color w:val="auto"/>
        </w:rPr>
      </w:pPr>
      <w:r w:rsidRPr="0080050A">
        <w:rPr>
          <w:color w:val="auto"/>
        </w:rPr>
        <w:t xml:space="preserve">As a result, some employers </w:t>
      </w:r>
      <w:r>
        <w:rPr>
          <w:color w:val="auto"/>
        </w:rPr>
        <w:t>offering</w:t>
      </w:r>
      <w:r w:rsidRPr="0080050A">
        <w:rPr>
          <w:color w:val="auto"/>
        </w:rPr>
        <w:t xml:space="preserve"> group health plans may soon receive a medical loss ratio (MLR) rebate from their health insurance issuers</w:t>
      </w:r>
      <w:r>
        <w:rPr>
          <w:color w:val="auto"/>
        </w:rPr>
        <w:t xml:space="preserve"> as i</w:t>
      </w:r>
      <w:r w:rsidRPr="0080050A">
        <w:rPr>
          <w:color w:val="auto"/>
        </w:rPr>
        <w:t xml:space="preserve">ssuers who did not meet the applicable MLR percentage for 2025 must provide rebates to </w:t>
      </w:r>
      <w:r>
        <w:rPr>
          <w:color w:val="auto"/>
        </w:rPr>
        <w:t xml:space="preserve">employer </w:t>
      </w:r>
      <w:r w:rsidRPr="0080050A">
        <w:rPr>
          <w:color w:val="auto"/>
        </w:rPr>
        <w:t xml:space="preserve">plan sponsors by </w:t>
      </w:r>
      <w:r w:rsidRPr="0080050A">
        <w:rPr>
          <w:b/>
          <w:bCs/>
          <w:color w:val="auto"/>
        </w:rPr>
        <w:t>September 30, 2026</w:t>
      </w:r>
      <w:r>
        <w:rPr>
          <w:color w:val="auto"/>
        </w:rPr>
        <w:t>. Employers should be on the lookout and aware that t</w:t>
      </w:r>
      <w:r w:rsidRPr="0080050A">
        <w:rPr>
          <w:color w:val="auto"/>
        </w:rPr>
        <w:t xml:space="preserve">hese rebates may be in the form of a premium credit or a lump-sum payment. </w:t>
      </w:r>
    </w:p>
    <w:p w14:paraId="73861E36" w14:textId="77777777" w:rsidR="00471110" w:rsidRDefault="00471110" w:rsidP="00471110">
      <w:pPr>
        <w:pStyle w:val="BodyText"/>
        <w:numPr>
          <w:ilvl w:val="0"/>
          <w:numId w:val="394"/>
        </w:numPr>
        <w:spacing w:after="0" w:line="240" w:lineRule="auto"/>
        <w:jc w:val="left"/>
        <w:rPr>
          <w:color w:val="auto"/>
        </w:rPr>
      </w:pPr>
      <w:r w:rsidRPr="0080050A">
        <w:rPr>
          <w:color w:val="auto"/>
        </w:rPr>
        <w:t xml:space="preserve">Employers who receive MLR rebates should </w:t>
      </w:r>
      <w:r w:rsidRPr="0080050A">
        <w:rPr>
          <w:b/>
          <w:bCs/>
          <w:color w:val="auto"/>
        </w:rPr>
        <w:t>consider their options for using the rebate</w:t>
      </w:r>
      <w:r w:rsidRPr="0080050A">
        <w:rPr>
          <w:color w:val="auto"/>
        </w:rPr>
        <w:t xml:space="preserve">. Most group health plans sponsored by employers in the private sector are subject to ERISA, and as such, </w:t>
      </w:r>
      <w:r>
        <w:rPr>
          <w:color w:val="auto"/>
        </w:rPr>
        <w:t>they</w:t>
      </w:r>
      <w:r w:rsidRPr="0080050A">
        <w:rPr>
          <w:color w:val="auto"/>
        </w:rPr>
        <w:t xml:space="preserve"> should not assume they can simply retain an MLR rebate. </w:t>
      </w:r>
    </w:p>
    <w:p w14:paraId="7B41EDEE" w14:textId="77777777" w:rsidR="00471110" w:rsidRDefault="00471110" w:rsidP="00471110">
      <w:pPr>
        <w:pStyle w:val="BodyText"/>
        <w:numPr>
          <w:ilvl w:val="0"/>
          <w:numId w:val="394"/>
        </w:numPr>
        <w:spacing w:after="0" w:line="240" w:lineRule="auto"/>
        <w:jc w:val="left"/>
        <w:rPr>
          <w:color w:val="auto"/>
        </w:rPr>
      </w:pPr>
      <w:r w:rsidRPr="0080050A">
        <w:rPr>
          <w:color w:val="auto"/>
        </w:rPr>
        <w:t xml:space="preserve">Any rebate amount that </w:t>
      </w:r>
      <w:r w:rsidRPr="0062287A">
        <w:rPr>
          <w:b/>
          <w:bCs/>
          <w:color w:val="auto"/>
        </w:rPr>
        <w:t>qualifies as a plan asset</w:t>
      </w:r>
      <w:r w:rsidRPr="0080050A">
        <w:rPr>
          <w:color w:val="auto"/>
        </w:rPr>
        <w:t xml:space="preserve"> under the Employee Retirement Income Security Act (ERISA) must be used for the </w:t>
      </w:r>
      <w:r w:rsidRPr="0080050A">
        <w:rPr>
          <w:b/>
          <w:bCs/>
          <w:color w:val="auto"/>
        </w:rPr>
        <w:t>exclusive benefit of the plan’s participants</w:t>
      </w:r>
      <w:r w:rsidRPr="0080050A">
        <w:rPr>
          <w:color w:val="auto"/>
        </w:rPr>
        <w:t xml:space="preserve"> and beneficiaries. </w:t>
      </w:r>
    </w:p>
    <w:p w14:paraId="7C6A0FE1" w14:textId="6C16C4FB" w:rsidR="00471110" w:rsidRPr="00471110" w:rsidRDefault="00471110" w:rsidP="00471110">
      <w:pPr>
        <w:pStyle w:val="ListParagraph"/>
        <w:numPr>
          <w:ilvl w:val="1"/>
          <w:numId w:val="394"/>
        </w:numPr>
        <w:spacing w:after="0" w:line="240" w:lineRule="auto"/>
      </w:pPr>
      <w:r w:rsidRPr="0062287A">
        <w:rPr>
          <w:b/>
          <w:bCs/>
        </w:rPr>
        <w:t xml:space="preserve">Plan Asset Determination: </w:t>
      </w:r>
      <w:r w:rsidRPr="0062287A">
        <w:t xml:space="preserve">Generally, </w:t>
      </w:r>
      <w:r>
        <w:t>t</w:t>
      </w:r>
      <w:r w:rsidRPr="0062287A">
        <w:t>o determine whether an MLR rebate is a plan asset under ERISA, employers should review the source of premium payments and any applicable plan or policy language. If employees contributed toward the cost of coverage, the portion of the rebate attributable to employee contributions generally must be treated as a plan asset and used for the exclusive benefit of participants and beneficiaries. If the employer paid the full cost of coverage, the rebate generally may be retained by the employer.</w:t>
      </w:r>
    </w:p>
    <w:p w14:paraId="0BF01F7B" w14:textId="77777777" w:rsidR="00471110" w:rsidRDefault="00471110" w:rsidP="00471110">
      <w:pPr>
        <w:pStyle w:val="BodyText"/>
        <w:numPr>
          <w:ilvl w:val="0"/>
          <w:numId w:val="394"/>
        </w:numPr>
        <w:spacing w:after="0" w:line="240" w:lineRule="auto"/>
        <w:jc w:val="left"/>
        <w:rPr>
          <w:color w:val="auto"/>
        </w:rPr>
      </w:pPr>
      <w:r w:rsidRPr="0080050A">
        <w:rPr>
          <w:color w:val="auto"/>
        </w:rPr>
        <w:t>Employers should use the plan asset portion of the rebate within</w:t>
      </w:r>
      <w:r w:rsidRPr="0080050A">
        <w:rPr>
          <w:b/>
          <w:bCs/>
          <w:color w:val="auto"/>
        </w:rPr>
        <w:t xml:space="preserve"> 3 months</w:t>
      </w:r>
      <w:r w:rsidRPr="0080050A">
        <w:rPr>
          <w:color w:val="auto"/>
        </w:rPr>
        <w:t xml:space="preserve"> of receiving it to avoid ERISA’s trust requirement. In addition, employers who receive MLR rebates should be prepared to answer questions from employees about the rebate and how it is being allocated. </w:t>
      </w:r>
    </w:p>
    <w:p w14:paraId="15F4652A" w14:textId="77777777" w:rsidR="00471110" w:rsidRDefault="00471110" w:rsidP="00471110">
      <w:pPr>
        <w:pStyle w:val="BodyText"/>
        <w:numPr>
          <w:ilvl w:val="0"/>
          <w:numId w:val="394"/>
        </w:numPr>
        <w:spacing w:after="0" w:line="240" w:lineRule="auto"/>
        <w:jc w:val="left"/>
        <w:rPr>
          <w:color w:val="auto"/>
        </w:rPr>
      </w:pPr>
      <w:r w:rsidRPr="0080050A">
        <w:rPr>
          <w:color w:val="auto"/>
        </w:rPr>
        <w:t xml:space="preserve">Employers can satisfy ERISA’s exclusive benefit requirement by </w:t>
      </w:r>
      <w:r w:rsidRPr="0080050A">
        <w:rPr>
          <w:b/>
          <w:bCs/>
          <w:color w:val="auto"/>
        </w:rPr>
        <w:t>distributing the plan asset portion of the rebate to participants</w:t>
      </w:r>
      <w:r w:rsidRPr="0080050A">
        <w:rPr>
          <w:color w:val="auto"/>
        </w:rPr>
        <w:t xml:space="preserve"> using a reasonable, fair and objective allocation method. If distributing payments to participants is not feasible, the employer may use this portion of the rebate for other permissible plan purposes, such as applying the rebate toward </w:t>
      </w:r>
      <w:r w:rsidRPr="0080050A">
        <w:rPr>
          <w:b/>
          <w:bCs/>
          <w:color w:val="auto"/>
        </w:rPr>
        <w:t>future participant premium payments or benefit enhancements</w:t>
      </w:r>
      <w:r w:rsidRPr="0080050A">
        <w:rPr>
          <w:color w:val="auto"/>
        </w:rPr>
        <w:t>.</w:t>
      </w:r>
    </w:p>
    <w:p w14:paraId="47FE3F11" w14:textId="19A328DE" w:rsidR="00471110" w:rsidRDefault="00471110" w:rsidP="00471110">
      <w:pPr>
        <w:pStyle w:val="BodyText"/>
        <w:numPr>
          <w:ilvl w:val="0"/>
          <w:numId w:val="394"/>
        </w:numPr>
        <w:spacing w:after="0" w:line="240" w:lineRule="auto"/>
        <w:jc w:val="left"/>
        <w:rPr>
          <w:color w:val="auto"/>
        </w:rPr>
      </w:pPr>
      <w:r>
        <w:rPr>
          <w:color w:val="auto"/>
        </w:rPr>
        <w:t>T</w:t>
      </w:r>
      <w:r w:rsidRPr="0080050A">
        <w:rPr>
          <w:color w:val="auto"/>
        </w:rPr>
        <w:t xml:space="preserve">o avoid the requirement to hold plan assets in trust, employers should use any plan asset portion of the rebate within </w:t>
      </w:r>
      <w:r>
        <w:rPr>
          <w:b/>
          <w:bCs/>
          <w:color w:val="auto"/>
        </w:rPr>
        <w:t>3</w:t>
      </w:r>
      <w:r w:rsidRPr="0080050A">
        <w:rPr>
          <w:b/>
          <w:bCs/>
          <w:color w:val="auto"/>
        </w:rPr>
        <w:t xml:space="preserve"> months</w:t>
      </w:r>
      <w:r w:rsidRPr="0080050A">
        <w:rPr>
          <w:color w:val="auto"/>
        </w:rPr>
        <w:t xml:space="preserve"> of its receipt.</w:t>
      </w:r>
    </w:p>
    <w:p w14:paraId="3A45A829" w14:textId="77777777" w:rsidR="00471110" w:rsidRPr="00471110" w:rsidRDefault="00471110" w:rsidP="00471110">
      <w:pPr>
        <w:pStyle w:val="BodyText"/>
        <w:spacing w:after="0" w:line="240" w:lineRule="auto"/>
        <w:ind w:left="720"/>
        <w:jc w:val="left"/>
        <w:rPr>
          <w:color w:val="auto"/>
        </w:rPr>
      </w:pPr>
    </w:p>
    <w:p w14:paraId="7FC63D66" w14:textId="77777777" w:rsidR="00471110" w:rsidRDefault="00471110" w:rsidP="00471110">
      <w:pPr>
        <w:spacing w:after="0" w:line="240" w:lineRule="auto"/>
        <w:ind w:right="-54"/>
        <w:rPr>
          <w:b/>
          <w:bCs/>
          <w:caps/>
          <w:color w:val="0070C0"/>
          <w:sz w:val="28"/>
          <w:szCs w:val="28"/>
        </w:rPr>
      </w:pPr>
      <w:r>
        <w:rPr>
          <w:b/>
          <w:bCs/>
          <w:caps/>
          <w:color w:val="0070C0"/>
          <w:sz w:val="28"/>
          <w:szCs w:val="28"/>
        </w:rPr>
        <w:t xml:space="preserve">New! </w:t>
      </w:r>
      <w:r w:rsidRPr="00E45622">
        <w:rPr>
          <w:b/>
          <w:bCs/>
          <w:caps/>
          <w:noProof/>
          <w:color w:val="0E425C"/>
          <w:sz w:val="28"/>
          <w:szCs w:val="28"/>
        </w:rPr>
        <w:t>Annual Medicare Part D Creditbale or Noncreditable Coverage Notice</w:t>
      </w:r>
      <w:r>
        <w:rPr>
          <w:b/>
          <w:bCs/>
          <w:caps/>
          <w:noProof/>
          <w:color w:val="0E425C"/>
          <w:sz w:val="28"/>
          <w:szCs w:val="28"/>
        </w:rPr>
        <w:t xml:space="preserve"> – </w:t>
      </w:r>
      <w:r w:rsidRPr="00E45622">
        <w:rPr>
          <w:b/>
          <w:bCs/>
          <w:caps/>
          <w:color w:val="0070C0"/>
          <w:sz w:val="28"/>
          <w:szCs w:val="28"/>
        </w:rPr>
        <w:t xml:space="preserve">Before October 15 </w:t>
      </w:r>
    </w:p>
    <w:p w14:paraId="732E642B" w14:textId="77777777" w:rsidR="00471110" w:rsidRDefault="00471110" w:rsidP="00471110">
      <w:pPr>
        <w:spacing w:after="0" w:line="240" w:lineRule="auto"/>
        <w:ind w:right="36"/>
      </w:pPr>
      <w:r>
        <w:t>Employers offering</w:t>
      </w:r>
      <w:r w:rsidRPr="00E45622">
        <w:t xml:space="preserve"> prescription drug coverage to Medicare Part D–eligible individuals must disclose whether each applicable coverage option is creditable or non-creditable. </w:t>
      </w:r>
    </w:p>
    <w:p w14:paraId="55C5B809" w14:textId="77777777" w:rsidR="00471110" w:rsidRPr="00E45622" w:rsidRDefault="00471110" w:rsidP="00471110">
      <w:pPr>
        <w:spacing w:after="0" w:line="240" w:lineRule="auto"/>
        <w:ind w:right="36"/>
      </w:pPr>
      <w:r w:rsidRPr="00E45622">
        <w:t xml:space="preserve">The annual notice must be provided before Medicare open enrollment begins on October 15—distribution </w:t>
      </w:r>
      <w:r>
        <w:t>is to</w:t>
      </w:r>
      <w:r w:rsidRPr="00E45622">
        <w:t xml:space="preserve"> be completed no later than October 14. </w:t>
      </w:r>
    </w:p>
    <w:p w14:paraId="673F4FBF" w14:textId="77777777" w:rsidR="00471110" w:rsidRDefault="00471110" w:rsidP="00471110">
      <w:pPr>
        <w:spacing w:after="0" w:line="240" w:lineRule="auto"/>
        <w:ind w:right="36"/>
        <w:rPr>
          <w:b/>
          <w:bCs/>
        </w:rPr>
      </w:pPr>
    </w:p>
    <w:p w14:paraId="1D321933" w14:textId="5898569B" w:rsidR="00471110" w:rsidRPr="00AE64BC" w:rsidRDefault="00471110" w:rsidP="00471110">
      <w:pPr>
        <w:spacing w:after="0" w:line="240" w:lineRule="auto"/>
        <w:ind w:right="36"/>
      </w:pPr>
      <w:r w:rsidRPr="00AE64BC">
        <w:rPr>
          <w:b/>
          <w:bCs/>
        </w:rPr>
        <w:t>Why It Matters:</w:t>
      </w:r>
      <w:r w:rsidRPr="00AE64BC">
        <w:t> </w:t>
      </w:r>
    </w:p>
    <w:p w14:paraId="25FD6A88" w14:textId="77777777" w:rsidR="00471110" w:rsidRDefault="00471110" w:rsidP="00471110">
      <w:pPr>
        <w:spacing w:after="0" w:line="240" w:lineRule="auto"/>
        <w:ind w:right="36"/>
      </w:pPr>
      <w:r w:rsidRPr="00AE64BC">
        <w:t xml:space="preserve">Individuals who experience a gap of </w:t>
      </w:r>
      <w:r w:rsidRPr="00AE64BC">
        <w:rPr>
          <w:b/>
          <w:bCs/>
        </w:rPr>
        <w:t>63 days</w:t>
      </w:r>
      <w:r w:rsidRPr="00AE64BC">
        <w:t xml:space="preserve"> or more without creditable prescription drug coverage may face a Medicare Part D late enrollment penalty. The notice helps Medicare-eligible individuals understand whether their current coverage is creditable so they can make informed enrollment decisions. </w:t>
      </w:r>
    </w:p>
    <w:p w14:paraId="0557E587" w14:textId="77777777" w:rsidR="00471110" w:rsidRDefault="00471110" w:rsidP="00471110">
      <w:pPr>
        <w:spacing w:after="0" w:line="240" w:lineRule="auto"/>
        <w:ind w:right="36"/>
        <w:rPr>
          <w:b/>
          <w:bCs/>
        </w:rPr>
      </w:pPr>
    </w:p>
    <w:p w14:paraId="05ECB54F" w14:textId="65CD0579" w:rsidR="00471110" w:rsidRPr="00AE64BC" w:rsidRDefault="00471110" w:rsidP="00471110">
      <w:pPr>
        <w:spacing w:after="0" w:line="240" w:lineRule="auto"/>
        <w:ind w:right="36"/>
        <w:rPr>
          <w:b/>
          <w:bCs/>
        </w:rPr>
      </w:pPr>
      <w:r w:rsidRPr="00AE64BC">
        <w:rPr>
          <w:b/>
          <w:bCs/>
        </w:rPr>
        <w:t>Notices</w:t>
      </w:r>
      <w:r>
        <w:rPr>
          <w:b/>
          <w:bCs/>
        </w:rPr>
        <w:t>:</w:t>
      </w:r>
    </w:p>
    <w:p w14:paraId="64F43944" w14:textId="665F7FDB" w:rsidR="00471110" w:rsidRDefault="00471110" w:rsidP="00471110">
      <w:pPr>
        <w:spacing w:after="0" w:line="240" w:lineRule="auto"/>
        <w:ind w:right="36"/>
      </w:pPr>
      <w:r w:rsidRPr="00E45622">
        <w:t>Notices may be mailed, hand-delivered, or delivered electronically when the applicable electronic-delivery requirements are satisfied.</w:t>
      </w:r>
      <w:r w:rsidRPr="00AE64BC">
        <w:t xml:space="preserve"> A notice may also be included with enrollment or other plan materials if it is provided on time, including with open enrollment documents and / or the current year benefits booklet.  It must be presented prominently in accordance with CMS guidance. If </w:t>
      </w:r>
      <w:r w:rsidRPr="00E45622">
        <w:t>electronic delivery is used, review the applicable delivery rules and address notice delivery to Medicare-eligible dependents. </w:t>
      </w:r>
    </w:p>
    <w:p w14:paraId="65BEDE35" w14:textId="77777777" w:rsidR="00471110" w:rsidRDefault="00471110" w:rsidP="00471110">
      <w:pPr>
        <w:spacing w:after="0" w:line="240" w:lineRule="auto"/>
        <w:ind w:right="36"/>
        <w:rPr>
          <w:b/>
          <w:bCs/>
        </w:rPr>
      </w:pPr>
    </w:p>
    <w:p w14:paraId="0845CDEF" w14:textId="02E3519E" w:rsidR="00471110" w:rsidRDefault="00471110" w:rsidP="00471110">
      <w:pPr>
        <w:spacing w:after="0" w:line="240" w:lineRule="auto"/>
        <w:ind w:right="36"/>
      </w:pPr>
      <w:r w:rsidRPr="00AE64BC">
        <w:rPr>
          <w:b/>
          <w:bCs/>
        </w:rPr>
        <w:lastRenderedPageBreak/>
        <w:t>IMPORTANT NOTE</w:t>
      </w:r>
      <w:r w:rsidRPr="00E45622">
        <w:t>:  </w:t>
      </w:r>
      <w:r>
        <w:t xml:space="preserve">Groups should not </w:t>
      </w:r>
      <w:r w:rsidRPr="00E45622">
        <w:t xml:space="preserve">assume a plan’s status is unchanged from </w:t>
      </w:r>
      <w:proofErr w:type="gramStart"/>
      <w:r w:rsidRPr="00E45622">
        <w:t>a prior</w:t>
      </w:r>
      <w:proofErr w:type="gramEnd"/>
      <w:r w:rsidRPr="00E45622">
        <w:t xml:space="preserve"> year. Confirm the determination for the applicable coverage period with your broker, carrier, TPA, or PBM, before distributing the notice. </w:t>
      </w:r>
    </w:p>
    <w:p w14:paraId="78F9F056" w14:textId="77777777" w:rsidR="00471110" w:rsidRPr="00E45622" w:rsidRDefault="00471110" w:rsidP="00471110">
      <w:pPr>
        <w:spacing w:after="0" w:line="240" w:lineRule="auto"/>
        <w:ind w:right="36"/>
        <w:rPr>
          <w:b/>
          <w:bCs/>
        </w:rPr>
      </w:pPr>
      <w:r w:rsidRPr="00E45622">
        <w:rPr>
          <w:b/>
          <w:bCs/>
        </w:rPr>
        <w:t>Resources:</w:t>
      </w:r>
    </w:p>
    <w:p w14:paraId="2785FB05" w14:textId="77777777" w:rsidR="00471110" w:rsidRPr="00E45622" w:rsidRDefault="00471110" w:rsidP="00471110">
      <w:pPr>
        <w:numPr>
          <w:ilvl w:val="0"/>
          <w:numId w:val="397"/>
        </w:numPr>
        <w:spacing w:after="0" w:line="240" w:lineRule="auto"/>
        <w:ind w:right="36"/>
      </w:pPr>
      <w:hyperlink r:id="rId172" w:tgtFrame="_blank" w:history="1">
        <w:r w:rsidRPr="00E45622">
          <w:rPr>
            <w:rStyle w:val="Hyperlink"/>
          </w:rPr>
          <w:t>CMS Model Creditable and Non-Creditable Coverage Notices</w:t>
        </w:r>
      </w:hyperlink>
      <w:r w:rsidRPr="00E45622">
        <w:t> </w:t>
      </w:r>
    </w:p>
    <w:p w14:paraId="59FBB852" w14:textId="77777777" w:rsidR="00471110" w:rsidRPr="00E45622" w:rsidRDefault="00471110" w:rsidP="00471110">
      <w:pPr>
        <w:numPr>
          <w:ilvl w:val="0"/>
          <w:numId w:val="398"/>
        </w:numPr>
        <w:spacing w:after="0" w:line="240" w:lineRule="auto"/>
        <w:ind w:right="36"/>
      </w:pPr>
      <w:hyperlink r:id="rId173" w:tgtFrame="_blank" w:history="1">
        <w:r w:rsidRPr="00E45622">
          <w:rPr>
            <w:rStyle w:val="Hyperlink"/>
          </w:rPr>
          <w:t>Electronic Disclosure Guidance</w:t>
        </w:r>
      </w:hyperlink>
      <w:r w:rsidRPr="00E45622">
        <w:t> </w:t>
      </w:r>
    </w:p>
    <w:p w14:paraId="750AF49D" w14:textId="09538204" w:rsidR="00471110" w:rsidRDefault="00471110" w:rsidP="00471110">
      <w:pPr>
        <w:numPr>
          <w:ilvl w:val="0"/>
          <w:numId w:val="399"/>
        </w:numPr>
        <w:spacing w:after="0" w:line="240" w:lineRule="auto"/>
        <w:ind w:right="36"/>
      </w:pPr>
      <w:hyperlink r:id="rId174" w:tgtFrame="_blank" w:history="1">
        <w:r w:rsidRPr="00E45622">
          <w:rPr>
            <w:rStyle w:val="Hyperlink"/>
          </w:rPr>
          <w:t>CMS Simplified Determination Guidance</w:t>
        </w:r>
      </w:hyperlink>
      <w:r w:rsidRPr="00E45622">
        <w:t> </w:t>
      </w:r>
    </w:p>
    <w:p w14:paraId="62C9483F" w14:textId="77777777" w:rsidR="00471110" w:rsidRPr="00471110" w:rsidRDefault="00471110" w:rsidP="00471110">
      <w:pPr>
        <w:spacing w:after="0" w:line="240" w:lineRule="auto"/>
        <w:ind w:left="720" w:right="36"/>
      </w:pPr>
    </w:p>
    <w:p w14:paraId="40571AAE" w14:textId="77777777" w:rsidR="00471110" w:rsidRPr="000075EE" w:rsidRDefault="00471110" w:rsidP="00471110">
      <w:pPr>
        <w:pStyle w:val="BodyText"/>
        <w:spacing w:after="0" w:line="240" w:lineRule="auto"/>
        <w:rPr>
          <w:color w:val="auto"/>
        </w:rPr>
      </w:pPr>
      <w:r w:rsidRPr="00B53845">
        <w:rPr>
          <w:b/>
          <w:bCs/>
          <w:caps/>
          <w:noProof/>
          <w:color w:val="0070C0"/>
          <w:sz w:val="28"/>
          <w:szCs w:val="28"/>
        </w:rPr>
        <w:t xml:space="preserve">New! </w:t>
      </w:r>
      <w:r w:rsidRPr="00BD7D59">
        <w:rPr>
          <w:b/>
          <w:bCs/>
          <w:caps/>
          <w:noProof/>
          <w:color w:val="0070C0"/>
          <w:sz w:val="28"/>
          <w:szCs w:val="28"/>
        </w:rPr>
        <w:t>Federal ContracTORS:</w:t>
      </w:r>
      <w:r w:rsidRPr="00B53845">
        <w:rPr>
          <w:b/>
          <w:bCs/>
          <w:caps/>
          <w:noProof/>
          <w:color w:val="0E425C"/>
          <w:sz w:val="28"/>
          <w:szCs w:val="28"/>
        </w:rPr>
        <w:t xml:space="preserve"> DOL OFCCP issues Final Rule on Section 503 of the Rehabilitation Act Effective </w:t>
      </w:r>
      <w:r w:rsidRPr="00B53845">
        <w:rPr>
          <w:b/>
          <w:bCs/>
          <w:caps/>
          <w:noProof/>
          <w:color w:val="0070C0"/>
          <w:sz w:val="28"/>
          <w:szCs w:val="28"/>
        </w:rPr>
        <w:t>September 21, 2026</w:t>
      </w:r>
    </w:p>
    <w:p w14:paraId="68A75190" w14:textId="77777777" w:rsidR="00471110" w:rsidRDefault="00471110" w:rsidP="00471110">
      <w:pPr>
        <w:pStyle w:val="BodyText"/>
        <w:spacing w:after="0" w:line="240" w:lineRule="auto"/>
        <w:rPr>
          <w:color w:val="auto"/>
        </w:rPr>
      </w:pPr>
      <w:r>
        <w:rPr>
          <w:color w:val="auto"/>
        </w:rPr>
        <w:t xml:space="preserve">On August 21, 2026, the U.S. Department of Labor’s Office of Federal Contract Compliance Programs (OFCCP) published a final rule revising the Section 503 regulations that apply to covered federal contractors and subcontractors. </w:t>
      </w:r>
    </w:p>
    <w:p w14:paraId="75F0DEAC" w14:textId="77777777" w:rsidR="00471110" w:rsidRDefault="00471110" w:rsidP="00471110">
      <w:pPr>
        <w:pStyle w:val="BodyText"/>
        <w:spacing w:after="0" w:line="240" w:lineRule="auto"/>
      </w:pPr>
      <w:r>
        <w:rPr>
          <w:color w:val="auto"/>
        </w:rPr>
        <w:t xml:space="preserve">Section 503 continues to prohibit disability discrimination and requires certain contractors to take affirmative action to employ and advance qualified individuals with disabilities, but the final rule </w:t>
      </w:r>
      <w:r w:rsidRPr="00B53845">
        <w:rPr>
          <w:color w:val="auto"/>
          <w:u w:val="single"/>
        </w:rPr>
        <w:t>removes several long-standing quantitative compliance obligations</w:t>
      </w:r>
      <w:r>
        <w:rPr>
          <w:color w:val="auto"/>
        </w:rPr>
        <w:t>.</w:t>
      </w:r>
    </w:p>
    <w:p w14:paraId="349B52C3" w14:textId="77777777" w:rsidR="00471110" w:rsidRPr="00B53845" w:rsidRDefault="00471110" w:rsidP="00471110">
      <w:pPr>
        <w:pStyle w:val="BodyText"/>
        <w:numPr>
          <w:ilvl w:val="0"/>
          <w:numId w:val="396"/>
        </w:numPr>
        <w:spacing w:after="0" w:line="240" w:lineRule="auto"/>
        <w:jc w:val="left"/>
      </w:pPr>
      <w:r>
        <w:rPr>
          <w:color w:val="auto"/>
        </w:rPr>
        <w:t xml:space="preserve">federal contractors are </w:t>
      </w:r>
      <w:r w:rsidRPr="00B53845">
        <w:rPr>
          <w:b/>
          <w:bCs/>
          <w:color w:val="auto"/>
        </w:rPr>
        <w:t>no longer</w:t>
      </w:r>
      <w:r>
        <w:rPr>
          <w:color w:val="auto"/>
        </w:rPr>
        <w:t xml:space="preserve"> </w:t>
      </w:r>
      <w:r w:rsidRPr="00B53845">
        <w:rPr>
          <w:b/>
          <w:bCs/>
          <w:color w:val="auto"/>
        </w:rPr>
        <w:t>required to invite applicants or employees to self-identify as individuals with disabilities for Section 503 compliance purposes</w:t>
      </w:r>
      <w:r>
        <w:rPr>
          <w:color w:val="auto"/>
        </w:rPr>
        <w:t xml:space="preserve">. </w:t>
      </w:r>
    </w:p>
    <w:p w14:paraId="45C2DA6E" w14:textId="77777777" w:rsidR="00471110" w:rsidRDefault="00471110" w:rsidP="00471110">
      <w:pPr>
        <w:pStyle w:val="BodyText"/>
        <w:numPr>
          <w:ilvl w:val="0"/>
          <w:numId w:val="396"/>
        </w:numPr>
        <w:spacing w:after="0" w:line="240" w:lineRule="auto"/>
        <w:jc w:val="left"/>
      </w:pPr>
      <w:r>
        <w:rPr>
          <w:color w:val="auto"/>
        </w:rPr>
        <w:t xml:space="preserve">The rule </w:t>
      </w:r>
      <w:r w:rsidRPr="00B53845">
        <w:rPr>
          <w:b/>
          <w:bCs/>
          <w:color w:val="auto"/>
        </w:rPr>
        <w:t>eliminates the related disability data-collection requirements</w:t>
      </w:r>
      <w:r>
        <w:rPr>
          <w:color w:val="auto"/>
        </w:rPr>
        <w:t xml:space="preserve"> and </w:t>
      </w:r>
      <w:r w:rsidRPr="00B53845">
        <w:rPr>
          <w:b/>
          <w:bCs/>
          <w:color w:val="auto"/>
        </w:rPr>
        <w:t>removes the 7% utilization goal and associated utilization analysis</w:t>
      </w:r>
      <w:r>
        <w:rPr>
          <w:color w:val="auto"/>
        </w:rPr>
        <w:t>. These changes reduce contractors’ annual AAP administration, data tracking and benchmarking obligations.</w:t>
      </w:r>
    </w:p>
    <w:p w14:paraId="5F4294C3" w14:textId="77777777" w:rsidR="00471110" w:rsidRDefault="00471110" w:rsidP="00471110">
      <w:pPr>
        <w:pStyle w:val="BodyText"/>
        <w:spacing w:after="0" w:line="240" w:lineRule="auto"/>
        <w:rPr>
          <w:color w:val="auto"/>
        </w:rPr>
      </w:pPr>
      <w:r>
        <w:rPr>
          <w:color w:val="auto"/>
        </w:rPr>
        <w:t>The change</w:t>
      </w:r>
      <w:r w:rsidRPr="00B53845">
        <w:rPr>
          <w:b/>
          <w:bCs/>
          <w:color w:val="auto"/>
        </w:rPr>
        <w:t xml:space="preserve"> does not eliminate Section 503 compliance.</w:t>
      </w:r>
      <w:r>
        <w:rPr>
          <w:color w:val="auto"/>
        </w:rPr>
        <w:t xml:space="preserve"> Covered contractors should continue to maintain required affirmative action programs where applicable, include required equal opportunity language in covered subcontracts and job solicitations, preserve reasonable accommodation processes, review physical and mental job qualification standards, and document outreach and recruitment efforts for individuals with disabilities.</w:t>
      </w:r>
    </w:p>
    <w:p w14:paraId="48EF74F7" w14:textId="77777777" w:rsidR="00471110" w:rsidRDefault="00471110" w:rsidP="00471110">
      <w:pPr>
        <w:pStyle w:val="BodyText"/>
        <w:spacing w:after="0" w:line="240" w:lineRule="auto"/>
        <w:rPr>
          <w:b/>
          <w:bCs/>
          <w:color w:val="auto"/>
          <w:highlight w:val="lightGray"/>
        </w:rPr>
      </w:pPr>
    </w:p>
    <w:p w14:paraId="1851DEC6" w14:textId="180D151B" w:rsidR="00471110" w:rsidRPr="00B53845" w:rsidRDefault="00471110" w:rsidP="00471110">
      <w:pPr>
        <w:pStyle w:val="BodyText"/>
        <w:spacing w:after="0" w:line="240" w:lineRule="auto"/>
        <w:rPr>
          <w:b/>
          <w:bCs/>
        </w:rPr>
      </w:pPr>
      <w:r w:rsidRPr="00B53845">
        <w:rPr>
          <w:b/>
          <w:bCs/>
          <w:color w:val="auto"/>
          <w:highlight w:val="lightGray"/>
        </w:rPr>
        <w:t>Employer Takeaways:</w:t>
      </w:r>
    </w:p>
    <w:p w14:paraId="17DC14EB" w14:textId="77777777" w:rsidR="00471110" w:rsidRPr="00B53845" w:rsidRDefault="00471110" w:rsidP="00471110">
      <w:pPr>
        <w:pStyle w:val="BodyText"/>
        <w:numPr>
          <w:ilvl w:val="0"/>
          <w:numId w:val="395"/>
        </w:numPr>
        <w:spacing w:after="0" w:line="240" w:lineRule="auto"/>
        <w:jc w:val="left"/>
        <w:rPr>
          <w:color w:val="auto"/>
        </w:rPr>
      </w:pPr>
      <w:r w:rsidRPr="00B53845">
        <w:rPr>
          <w:color w:val="auto"/>
        </w:rPr>
        <w:t>Effective dates: Most Section 503 changes take effect September 21, 2026; the removal of 41 C.F.R. Part 60-30 takes effect December 21, 2026.</w:t>
      </w:r>
    </w:p>
    <w:p w14:paraId="3358FE39" w14:textId="711B3DAE" w:rsidR="00471110" w:rsidRDefault="00471110" w:rsidP="00471110">
      <w:pPr>
        <w:pStyle w:val="BodyText"/>
        <w:spacing w:after="0" w:line="240" w:lineRule="auto"/>
        <w:ind w:right="274"/>
        <w:rPr>
          <w:rFonts w:eastAsiaTheme="minorHAnsi" w:cs="Calibri"/>
          <w:b/>
          <w:bCs/>
          <w:color w:val="C00000"/>
          <w:kern w:val="36"/>
          <w:sz w:val="28"/>
          <w:szCs w:val="28"/>
        </w:rPr>
      </w:pPr>
      <w:r w:rsidRPr="00B53845">
        <w:rPr>
          <w:color w:val="auto"/>
        </w:rPr>
        <w:t>Federal contractors should review AAP templates, applicant and employee self-identification workflows, HRIS/reporting practices, accommodation procedures, EEO taglines, subcontract language and outreach documentation to ensure they align with the revised rule.</w:t>
      </w:r>
    </w:p>
    <w:p w14:paraId="7A2DD91E" w14:textId="77777777" w:rsidR="00471110" w:rsidRDefault="00471110" w:rsidP="005E1093">
      <w:pPr>
        <w:pStyle w:val="BodyText"/>
        <w:spacing w:after="0" w:line="240" w:lineRule="auto"/>
        <w:ind w:right="274"/>
        <w:rPr>
          <w:rFonts w:eastAsiaTheme="minorHAnsi" w:cs="Calibri"/>
          <w:b/>
          <w:bCs/>
          <w:color w:val="C00000"/>
          <w:kern w:val="36"/>
          <w:sz w:val="28"/>
          <w:szCs w:val="28"/>
        </w:rPr>
      </w:pPr>
    </w:p>
    <w:p w14:paraId="40ED2740" w14:textId="6A2A7741" w:rsidR="005E1093" w:rsidRDefault="005E1093" w:rsidP="005E1093">
      <w:pPr>
        <w:pStyle w:val="BodyText"/>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July 2026 Alerts/Reminders:</w:t>
      </w:r>
    </w:p>
    <w:p w14:paraId="0E2EC564" w14:textId="77777777" w:rsidR="005E1093" w:rsidRPr="00530B66" w:rsidRDefault="005E1093" w:rsidP="005E1093">
      <w:pPr>
        <w:pStyle w:val="MainSectionHead"/>
        <w:spacing w:before="0" w:after="0"/>
        <w:rPr>
          <w:b w:val="0"/>
          <w:bCs w:val="0"/>
          <w:caps/>
          <w:color w:val="0070C0"/>
        </w:rPr>
      </w:pPr>
      <w:r w:rsidRPr="006074D9">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sidRPr="006074D9">
        <w:rPr>
          <w:caps/>
          <w:color w:val="0070C0"/>
        </w:rPr>
        <w:t>July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sidRPr="006074D9">
        <w:rPr>
          <w:caps/>
          <w:color w:val="0070C0"/>
        </w:rPr>
        <w:t>August 31,</w:t>
      </w:r>
      <w:r w:rsidRPr="006074D9">
        <w:rPr>
          <w:caps/>
          <w:color w:val="0070C0"/>
          <w:spacing w:val="-9"/>
        </w:rPr>
        <w:t xml:space="preserve"> </w:t>
      </w:r>
      <w:r w:rsidRPr="006074D9">
        <w:rPr>
          <w:caps/>
          <w:color w:val="0070C0"/>
        </w:rPr>
        <w:t>2026</w:t>
      </w:r>
    </w:p>
    <w:p w14:paraId="33573784" w14:textId="77777777" w:rsidR="005E1093" w:rsidRPr="005E1093" w:rsidRDefault="005E1093" w:rsidP="005E1093">
      <w:pPr>
        <w:pStyle w:val="MainSectionHead"/>
        <w:spacing w:before="0" w:after="0" w:line="240" w:lineRule="auto"/>
        <w:rPr>
          <w:caps/>
          <w:color w:val="0070C0"/>
          <w:sz w:val="16"/>
          <w:szCs w:val="16"/>
        </w:rPr>
      </w:pPr>
    </w:p>
    <w:p w14:paraId="33F9808C" w14:textId="77777777" w:rsidR="005E1093" w:rsidRPr="00530B66" w:rsidRDefault="005E1093" w:rsidP="005E1093">
      <w:pPr>
        <w:pStyle w:val="MainSectionHead"/>
        <w:spacing w:before="0" w:after="0"/>
        <w:rPr>
          <w:b w:val="0"/>
          <w:bCs w:val="0"/>
          <w:caps/>
          <w:color w:val="0070C0"/>
        </w:rPr>
      </w:pPr>
      <w:r w:rsidRPr="00714C8B">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sidRPr="00714C8B">
        <w:rPr>
          <w:caps/>
          <w:color w:val="0070C0"/>
        </w:rPr>
        <w:t>August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sidRPr="00714C8B">
        <w:rPr>
          <w:caps/>
          <w:color w:val="0070C0"/>
        </w:rPr>
        <w:t>September 30,</w:t>
      </w:r>
      <w:r w:rsidRPr="00714C8B">
        <w:rPr>
          <w:caps/>
          <w:color w:val="0070C0"/>
          <w:spacing w:val="-9"/>
        </w:rPr>
        <w:t xml:space="preserve"> </w:t>
      </w:r>
      <w:r w:rsidRPr="00714C8B">
        <w:rPr>
          <w:caps/>
          <w:color w:val="0070C0"/>
        </w:rPr>
        <w:t>2026</w:t>
      </w:r>
    </w:p>
    <w:p w14:paraId="05C53A2D" w14:textId="77777777" w:rsidR="005E1093" w:rsidRPr="005E1093" w:rsidRDefault="005E1093" w:rsidP="005E1093">
      <w:pPr>
        <w:spacing w:after="0" w:line="240" w:lineRule="auto"/>
        <w:rPr>
          <w:sz w:val="16"/>
          <w:szCs w:val="16"/>
        </w:rPr>
      </w:pPr>
    </w:p>
    <w:p w14:paraId="7A55967A" w14:textId="77777777" w:rsidR="005E1093" w:rsidRDefault="005E1093" w:rsidP="005E1093">
      <w:pPr>
        <w:pStyle w:val="BodyText"/>
        <w:spacing w:after="0" w:line="240" w:lineRule="auto"/>
        <w:rPr>
          <w:b/>
          <w:bCs/>
          <w:caps/>
          <w:noProof/>
          <w:color w:val="0E425C"/>
          <w:sz w:val="28"/>
          <w:szCs w:val="28"/>
        </w:rPr>
      </w:pPr>
      <w:r>
        <w:rPr>
          <w:b/>
          <w:bCs/>
          <w:caps/>
          <w:noProof/>
          <w:color w:val="0070C0"/>
          <w:sz w:val="28"/>
          <w:szCs w:val="28"/>
        </w:rPr>
        <w:t xml:space="preserve">New! </w:t>
      </w:r>
      <w:r w:rsidRPr="00976291">
        <w:rPr>
          <w:b/>
          <w:bCs/>
          <w:caps/>
          <w:noProof/>
          <w:color w:val="0E425C"/>
          <w:sz w:val="28"/>
          <w:szCs w:val="28"/>
        </w:rPr>
        <w:t>2027 Annual Benefit Contributions Limits Chart</w:t>
      </w:r>
    </w:p>
    <w:p w14:paraId="407AC71F" w14:textId="77777777" w:rsidR="005E1093" w:rsidRPr="005E1093" w:rsidRDefault="005E1093" w:rsidP="005E1093">
      <w:pPr>
        <w:pStyle w:val="BodyText"/>
        <w:spacing w:after="0" w:line="240" w:lineRule="auto"/>
        <w:rPr>
          <w:b/>
          <w:bCs/>
          <w:caps/>
          <w:noProof/>
          <w:color w:val="0E425C"/>
          <w:sz w:val="16"/>
          <w:szCs w:val="16"/>
        </w:rPr>
      </w:pPr>
    </w:p>
    <w:p w14:paraId="4135D364" w14:textId="0D72BBFF" w:rsidR="005E1093" w:rsidRPr="00530B66" w:rsidRDefault="005E1093" w:rsidP="005E1093">
      <w:pPr>
        <w:pStyle w:val="BodyText"/>
        <w:spacing w:after="0" w:line="240" w:lineRule="auto"/>
        <w:rPr>
          <w:b/>
          <w:bCs/>
          <w:caps/>
          <w:color w:val="0070C0"/>
          <w:sz w:val="28"/>
          <w:szCs w:val="28"/>
        </w:rPr>
      </w:pPr>
      <w:r w:rsidRPr="00BC2709">
        <w:rPr>
          <w:b/>
          <w:bCs/>
          <w:caps/>
          <w:noProof/>
          <w:color w:val="0070C0"/>
          <w:sz w:val="28"/>
          <w:szCs w:val="28"/>
        </w:rPr>
        <w:t xml:space="preserve">New! </w:t>
      </w:r>
      <w:r w:rsidRPr="00BC2709">
        <w:rPr>
          <w:b/>
          <w:bCs/>
          <w:caps/>
          <w:noProof/>
          <w:color w:val="0E425C"/>
          <w:sz w:val="28"/>
          <w:szCs w:val="28"/>
        </w:rPr>
        <w:t xml:space="preserve">IRS Mileage Rates </w:t>
      </w:r>
      <w:r w:rsidRPr="00865E7B">
        <w:rPr>
          <w:b/>
          <w:bCs/>
          <w:caps/>
          <w:noProof/>
          <w:color w:val="0E425C"/>
          <w:sz w:val="28"/>
          <w:szCs w:val="28"/>
        </w:rPr>
        <w:t>Increased</w:t>
      </w:r>
      <w:r w:rsidRPr="00BC2709">
        <w:rPr>
          <w:b/>
          <w:bCs/>
          <w:caps/>
          <w:noProof/>
          <w:color w:val="0E425C"/>
          <w:sz w:val="28"/>
          <w:szCs w:val="28"/>
        </w:rPr>
        <w:t xml:space="preserve"> on July 1</w:t>
      </w:r>
    </w:p>
    <w:p w14:paraId="48FB8915"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On July 13, 2026, the Internal Revenue Service (IRS)</w:t>
      </w:r>
      <w:r w:rsidRPr="00976291">
        <w:rPr>
          <w:sz w:val="26"/>
          <w:szCs w:val="26"/>
        </w:rPr>
        <w:t> </w:t>
      </w:r>
      <w:hyperlink r:id="rId175" w:tgtFrame="_blank" w:history="1">
        <w:r w:rsidRPr="00976291">
          <w:rPr>
            <w:rStyle w:val="Hyperlink"/>
            <w:sz w:val="26"/>
            <w:szCs w:val="26"/>
          </w:rPr>
          <w:t>announced</w:t>
        </w:r>
      </w:hyperlink>
      <w:r w:rsidRPr="00976291">
        <w:rPr>
          <w:sz w:val="26"/>
          <w:szCs w:val="26"/>
        </w:rPr>
        <w:t> </w:t>
      </w:r>
      <w:r w:rsidRPr="00976291">
        <w:rPr>
          <w:color w:val="auto"/>
          <w:sz w:val="26"/>
          <w:szCs w:val="26"/>
        </w:rPr>
        <w:t xml:space="preserve">a midyear </w:t>
      </w:r>
      <w:proofErr w:type="gramStart"/>
      <w:r w:rsidRPr="00976291">
        <w:rPr>
          <w:color w:val="auto"/>
          <w:sz w:val="26"/>
          <w:szCs w:val="26"/>
        </w:rPr>
        <w:t>increase</w:t>
      </w:r>
      <w:proofErr w:type="gramEnd"/>
      <w:r w:rsidRPr="00976291">
        <w:rPr>
          <w:color w:val="auto"/>
          <w:sz w:val="26"/>
          <w:szCs w:val="26"/>
        </w:rPr>
        <w:t xml:space="preserve"> to the optional standard mileage rates. Starting July 1, 2026, through December 31, 2026, the rates for business use, medical and moving purposes will increase 3.5 cents. The IRS made this change due to recent increases in fuel prices.</w:t>
      </w:r>
    </w:p>
    <w:p w14:paraId="74C6B7BA"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This means that </w:t>
      </w:r>
      <w:r w:rsidRPr="00976291">
        <w:rPr>
          <w:b/>
          <w:bCs/>
          <w:color w:val="auto"/>
          <w:sz w:val="26"/>
          <w:szCs w:val="26"/>
        </w:rPr>
        <w:t>effective July 1, 2026</w:t>
      </w:r>
      <w:r w:rsidRPr="00976291">
        <w:rPr>
          <w:color w:val="auto"/>
          <w:sz w:val="26"/>
          <w:szCs w:val="26"/>
        </w:rPr>
        <w:t>, the standard mileage rates for the use of a car, van, pickup or panel truck are:</w:t>
      </w:r>
    </w:p>
    <w:p w14:paraId="06835741" w14:textId="77777777" w:rsidR="005E1093" w:rsidRPr="00976291" w:rsidRDefault="005E1093">
      <w:pPr>
        <w:pStyle w:val="BodyText"/>
        <w:numPr>
          <w:ilvl w:val="0"/>
          <w:numId w:val="378"/>
        </w:numPr>
        <w:spacing w:after="0" w:line="240" w:lineRule="auto"/>
        <w:jc w:val="left"/>
        <w:rPr>
          <w:color w:val="auto"/>
          <w:sz w:val="26"/>
          <w:szCs w:val="26"/>
        </w:rPr>
      </w:pPr>
      <w:r w:rsidRPr="00976291">
        <w:rPr>
          <w:b/>
          <w:bCs/>
          <w:color w:val="auto"/>
          <w:sz w:val="26"/>
          <w:szCs w:val="26"/>
        </w:rPr>
        <w:lastRenderedPageBreak/>
        <w:t>76 cents per mile driven for business use</w:t>
      </w:r>
      <w:r w:rsidRPr="00976291">
        <w:rPr>
          <w:color w:val="auto"/>
          <w:sz w:val="26"/>
          <w:szCs w:val="26"/>
        </w:rPr>
        <w:t>, up 3.5 cents from the </w:t>
      </w:r>
      <w:r w:rsidRPr="00976291">
        <w:rPr>
          <w:bCs/>
          <w:color w:val="auto"/>
          <w:sz w:val="26"/>
          <w:szCs w:val="26"/>
        </w:rPr>
        <w:t>January 1, 2026, rate of 72.5 cents</w:t>
      </w:r>
      <w:r w:rsidRPr="00976291">
        <w:rPr>
          <w:color w:val="auto"/>
          <w:sz w:val="26"/>
          <w:szCs w:val="26"/>
        </w:rPr>
        <w:t>.</w:t>
      </w:r>
    </w:p>
    <w:p w14:paraId="77B715AD" w14:textId="77777777" w:rsidR="005E1093" w:rsidRPr="00976291" w:rsidRDefault="005E1093">
      <w:pPr>
        <w:pStyle w:val="BodyText"/>
        <w:numPr>
          <w:ilvl w:val="0"/>
          <w:numId w:val="378"/>
        </w:numPr>
        <w:spacing w:after="0" w:line="240" w:lineRule="auto"/>
        <w:jc w:val="left"/>
        <w:rPr>
          <w:color w:val="auto"/>
          <w:sz w:val="26"/>
          <w:szCs w:val="26"/>
        </w:rPr>
      </w:pPr>
      <w:r w:rsidRPr="00976291">
        <w:rPr>
          <w:b/>
          <w:bCs/>
          <w:color w:val="auto"/>
          <w:sz w:val="26"/>
          <w:szCs w:val="26"/>
        </w:rPr>
        <w:t>23.5 cents per mile driven for medical purposes</w:t>
      </w:r>
      <w:r w:rsidRPr="00976291">
        <w:rPr>
          <w:color w:val="auto"/>
          <w:sz w:val="26"/>
          <w:szCs w:val="26"/>
        </w:rPr>
        <w:t>, up 3.5 cents from last year.</w:t>
      </w:r>
    </w:p>
    <w:p w14:paraId="45C78F79" w14:textId="77777777" w:rsidR="005E1093" w:rsidRPr="00976291" w:rsidRDefault="005E1093">
      <w:pPr>
        <w:pStyle w:val="BodyText"/>
        <w:numPr>
          <w:ilvl w:val="0"/>
          <w:numId w:val="378"/>
        </w:numPr>
        <w:spacing w:after="0" w:line="240" w:lineRule="auto"/>
        <w:jc w:val="left"/>
        <w:rPr>
          <w:color w:val="auto"/>
          <w:sz w:val="26"/>
          <w:szCs w:val="26"/>
        </w:rPr>
      </w:pPr>
      <w:r w:rsidRPr="00976291">
        <w:rPr>
          <w:b/>
          <w:bCs/>
          <w:color w:val="auto"/>
          <w:sz w:val="26"/>
          <w:szCs w:val="26"/>
        </w:rPr>
        <w:t>23.5 cents per mile driven for moving purposes</w:t>
      </w:r>
      <w:r w:rsidRPr="00976291">
        <w:rPr>
          <w:color w:val="auto"/>
          <w:sz w:val="26"/>
          <w:szCs w:val="26"/>
        </w:rPr>
        <w:t> for certain active-duty members of the Armed Forces — and now certain members of the intelligence community — increased 3.5 cents from 2025.</w:t>
      </w:r>
    </w:p>
    <w:p w14:paraId="13D7F817" w14:textId="77777777" w:rsidR="005E1093" w:rsidRPr="00976291" w:rsidRDefault="005E1093">
      <w:pPr>
        <w:pStyle w:val="BodyText"/>
        <w:numPr>
          <w:ilvl w:val="0"/>
          <w:numId w:val="378"/>
        </w:numPr>
        <w:spacing w:after="0" w:line="240" w:lineRule="auto"/>
        <w:jc w:val="left"/>
        <w:rPr>
          <w:color w:val="auto"/>
          <w:sz w:val="26"/>
          <w:szCs w:val="26"/>
        </w:rPr>
      </w:pPr>
      <w:r w:rsidRPr="00976291">
        <w:rPr>
          <w:b/>
          <w:bCs/>
          <w:color w:val="auto"/>
          <w:sz w:val="26"/>
          <w:szCs w:val="26"/>
        </w:rPr>
        <w:t>14 cents per mile driven in service of charitable organizations</w:t>
      </w:r>
      <w:r w:rsidRPr="00976291">
        <w:rPr>
          <w:color w:val="auto"/>
          <w:sz w:val="26"/>
          <w:szCs w:val="26"/>
        </w:rPr>
        <w:t>, unchanged from last year.</w:t>
      </w:r>
    </w:p>
    <w:p w14:paraId="5F5549BE"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These rates apply to </w:t>
      </w:r>
      <w:r w:rsidRPr="00976291">
        <w:rPr>
          <w:b/>
          <w:bCs/>
          <w:color w:val="auto"/>
          <w:sz w:val="26"/>
          <w:szCs w:val="26"/>
        </w:rPr>
        <w:t>all</w:t>
      </w:r>
      <w:r w:rsidRPr="00976291">
        <w:rPr>
          <w:color w:val="auto"/>
          <w:sz w:val="26"/>
          <w:szCs w:val="26"/>
        </w:rPr>
        <w:t> vehicles, including fully electric and hybrid automobiles, as well as gasoline- and diesel-powered vehicles.</w:t>
      </w:r>
    </w:p>
    <w:p w14:paraId="65FAF17C" w14:textId="77777777" w:rsidR="005E1093" w:rsidRPr="00976291" w:rsidRDefault="005E1093" w:rsidP="005E1093">
      <w:pPr>
        <w:pStyle w:val="BodyText"/>
        <w:spacing w:after="0" w:line="240" w:lineRule="auto"/>
        <w:rPr>
          <w:b/>
          <w:bCs/>
          <w:color w:val="auto"/>
          <w:sz w:val="26"/>
          <w:szCs w:val="26"/>
        </w:rPr>
      </w:pPr>
      <w:r w:rsidRPr="00976291">
        <w:rPr>
          <w:b/>
          <w:bCs/>
          <w:color w:val="auto"/>
          <w:sz w:val="26"/>
          <w:szCs w:val="26"/>
          <w:highlight w:val="lightGray"/>
        </w:rPr>
        <w:t>Employer Takeaway:</w:t>
      </w:r>
      <w:r w:rsidRPr="00976291">
        <w:rPr>
          <w:b/>
          <w:bCs/>
          <w:color w:val="auto"/>
          <w:sz w:val="26"/>
          <w:szCs w:val="26"/>
        </w:rPr>
        <w:t xml:space="preserve"> </w:t>
      </w:r>
    </w:p>
    <w:p w14:paraId="670F1EBA" w14:textId="77777777" w:rsidR="005E1093" w:rsidRPr="00976291" w:rsidRDefault="005E1093">
      <w:pPr>
        <w:pStyle w:val="BodyText"/>
        <w:numPr>
          <w:ilvl w:val="0"/>
          <w:numId w:val="379"/>
        </w:numPr>
        <w:spacing w:after="0" w:line="240" w:lineRule="auto"/>
        <w:jc w:val="left"/>
        <w:rPr>
          <w:color w:val="auto"/>
          <w:sz w:val="26"/>
          <w:szCs w:val="26"/>
        </w:rPr>
      </w:pPr>
      <w:r w:rsidRPr="00976291">
        <w:rPr>
          <w:color w:val="auto"/>
          <w:sz w:val="26"/>
          <w:szCs w:val="26"/>
        </w:rPr>
        <w:t xml:space="preserve">Employers should update their expense reimbursement practices and policies to reflect the new </w:t>
      </w:r>
      <w:r w:rsidRPr="00976291">
        <w:rPr>
          <w:b/>
          <w:bCs/>
          <w:color w:val="auto"/>
          <w:sz w:val="26"/>
          <w:szCs w:val="26"/>
        </w:rPr>
        <w:t>July 1 rates</w:t>
      </w:r>
      <w:r w:rsidRPr="00976291">
        <w:rPr>
          <w:color w:val="auto"/>
          <w:sz w:val="26"/>
          <w:szCs w:val="26"/>
        </w:rPr>
        <w:t>, should rates be cited in their policies.</w:t>
      </w:r>
    </w:p>
    <w:p w14:paraId="4A1AA900" w14:textId="77777777" w:rsidR="005E1093" w:rsidRPr="00976291" w:rsidRDefault="005E1093">
      <w:pPr>
        <w:pStyle w:val="BodyText"/>
        <w:numPr>
          <w:ilvl w:val="0"/>
          <w:numId w:val="379"/>
        </w:numPr>
        <w:spacing w:after="0" w:line="240" w:lineRule="auto"/>
        <w:jc w:val="left"/>
        <w:rPr>
          <w:color w:val="auto"/>
          <w:sz w:val="26"/>
          <w:szCs w:val="26"/>
        </w:rPr>
      </w:pPr>
      <w:r w:rsidRPr="00976291">
        <w:rPr>
          <w:color w:val="auto"/>
          <w:sz w:val="26"/>
          <w:szCs w:val="26"/>
        </w:rPr>
        <w:t xml:space="preserve">For employers with employees in states, such as California, requiring reimbursement for all expenses employees actually incurred through the course and scope of their employment, typically using the IRS mileage rate </w:t>
      </w:r>
      <w:proofErr w:type="gramStart"/>
      <w:r w:rsidRPr="00976291">
        <w:rPr>
          <w:color w:val="auto"/>
          <w:sz w:val="26"/>
          <w:szCs w:val="26"/>
        </w:rPr>
        <w:t>will generally</w:t>
      </w:r>
      <w:proofErr w:type="gramEnd"/>
      <w:r w:rsidRPr="00976291">
        <w:rPr>
          <w:color w:val="auto"/>
          <w:sz w:val="26"/>
          <w:szCs w:val="26"/>
        </w:rPr>
        <w:t xml:space="preserve"> satisfy an employer’s obligation to reimburse for business-related vehicle expenses, absent evidence to the contrary.  That said, employers have the option of calculating the actual costs of using their vehicle instead of the standard mileage rate.</w:t>
      </w:r>
    </w:p>
    <w:p w14:paraId="7BD24042" w14:textId="77777777" w:rsidR="005E1093" w:rsidRPr="00976291" w:rsidRDefault="005E1093">
      <w:pPr>
        <w:pStyle w:val="BodyText"/>
        <w:numPr>
          <w:ilvl w:val="0"/>
          <w:numId w:val="379"/>
        </w:numPr>
        <w:spacing w:after="0" w:line="240" w:lineRule="auto"/>
        <w:jc w:val="left"/>
        <w:rPr>
          <w:color w:val="auto"/>
          <w:sz w:val="26"/>
          <w:szCs w:val="26"/>
        </w:rPr>
      </w:pPr>
      <w:r w:rsidRPr="00976291">
        <w:rPr>
          <w:color w:val="auto"/>
          <w:sz w:val="26"/>
          <w:szCs w:val="26"/>
        </w:rPr>
        <w:t>Since the IRS didn’t announce the new rates until July 13, employers should review any expense reimbursements incurred during</w:t>
      </w:r>
      <w:r w:rsidRPr="00976291">
        <w:rPr>
          <w:b/>
          <w:bCs/>
          <w:color w:val="auto"/>
          <w:sz w:val="26"/>
          <w:szCs w:val="26"/>
        </w:rPr>
        <w:t xml:space="preserve"> the first half of July</w:t>
      </w:r>
      <w:r w:rsidRPr="00976291">
        <w:rPr>
          <w:color w:val="auto"/>
          <w:sz w:val="26"/>
          <w:szCs w:val="26"/>
        </w:rPr>
        <w:t xml:space="preserve"> that were paid under the prior rates to determine if any additional reimbursements are owed.</w:t>
      </w:r>
    </w:p>
    <w:p w14:paraId="4BF82D52" w14:textId="77777777" w:rsidR="005E1093" w:rsidRPr="005E1093" w:rsidRDefault="005E1093" w:rsidP="005E1093">
      <w:pPr>
        <w:pStyle w:val="BodyText"/>
        <w:spacing w:after="0" w:line="240" w:lineRule="auto"/>
        <w:rPr>
          <w:b/>
          <w:bCs/>
          <w:caps/>
          <w:noProof/>
          <w:color w:val="0070C0"/>
          <w:sz w:val="16"/>
          <w:szCs w:val="16"/>
        </w:rPr>
      </w:pPr>
    </w:p>
    <w:p w14:paraId="0AEF7AAF" w14:textId="77777777" w:rsidR="005E1093" w:rsidRPr="00976291" w:rsidRDefault="005E1093" w:rsidP="005E1093">
      <w:pPr>
        <w:pStyle w:val="BodyText"/>
        <w:spacing w:after="0" w:line="240" w:lineRule="auto"/>
        <w:rPr>
          <w:b/>
          <w:bCs/>
          <w:caps/>
          <w:noProof/>
          <w:color w:val="0070C0"/>
          <w:sz w:val="28"/>
          <w:szCs w:val="28"/>
        </w:rPr>
      </w:pPr>
      <w:r>
        <w:rPr>
          <w:b/>
          <w:bCs/>
          <w:caps/>
          <w:noProof/>
          <w:color w:val="0070C0"/>
          <w:sz w:val="28"/>
          <w:szCs w:val="28"/>
        </w:rPr>
        <w:t xml:space="preserve">New! </w:t>
      </w:r>
      <w:r w:rsidRPr="00976291">
        <w:rPr>
          <w:b/>
          <w:bCs/>
          <w:caps/>
          <w:noProof/>
          <w:color w:val="0E425C"/>
          <w:sz w:val="28"/>
          <w:szCs w:val="28"/>
        </w:rPr>
        <w:t>ACA Affordability</w:t>
      </w:r>
      <w:r>
        <w:rPr>
          <w:b/>
          <w:bCs/>
          <w:caps/>
          <w:noProof/>
          <w:color w:val="0E425C"/>
          <w:sz w:val="28"/>
          <w:szCs w:val="28"/>
        </w:rPr>
        <w:t xml:space="preserve"> -</w:t>
      </w:r>
      <w:r w:rsidRPr="00976291">
        <w:rPr>
          <w:b/>
          <w:bCs/>
          <w:caps/>
          <w:noProof/>
          <w:color w:val="0E425C"/>
          <w:sz w:val="28"/>
          <w:szCs w:val="28"/>
        </w:rPr>
        <w:t xml:space="preserve"> Is Your Plan Leaving Money on the Table?</w:t>
      </w:r>
    </w:p>
    <w:p w14:paraId="20424186"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The ACA affordability percentage increased to </w:t>
      </w:r>
      <w:r w:rsidRPr="00976291">
        <w:rPr>
          <w:b/>
          <w:bCs/>
          <w:color w:val="auto"/>
          <w:sz w:val="26"/>
          <w:szCs w:val="26"/>
        </w:rPr>
        <w:t xml:space="preserve">10.22% </w:t>
      </w:r>
      <w:r w:rsidRPr="00976291">
        <w:rPr>
          <w:color w:val="auto"/>
          <w:sz w:val="26"/>
          <w:szCs w:val="26"/>
        </w:rPr>
        <w:t>for </w:t>
      </w:r>
      <w:r w:rsidRPr="00976291">
        <w:rPr>
          <w:b/>
          <w:bCs/>
          <w:color w:val="auto"/>
          <w:sz w:val="26"/>
          <w:szCs w:val="26"/>
          <w:u w:val="single"/>
        </w:rPr>
        <w:t>2027</w:t>
      </w:r>
      <w:r w:rsidRPr="00976291">
        <w:rPr>
          <w:color w:val="auto"/>
          <w:sz w:val="26"/>
          <w:szCs w:val="26"/>
        </w:rPr>
        <w:t>, a significant increase from</w:t>
      </w:r>
      <w:r w:rsidRPr="00976291">
        <w:rPr>
          <w:b/>
          <w:bCs/>
          <w:color w:val="auto"/>
          <w:sz w:val="26"/>
          <w:szCs w:val="26"/>
        </w:rPr>
        <w:t xml:space="preserve"> 9.96% </w:t>
      </w:r>
      <w:r w:rsidRPr="00976291">
        <w:rPr>
          <w:color w:val="auto"/>
          <w:sz w:val="26"/>
          <w:szCs w:val="26"/>
        </w:rPr>
        <w:t>in </w:t>
      </w:r>
      <w:r w:rsidRPr="00976291">
        <w:rPr>
          <w:b/>
          <w:bCs/>
          <w:color w:val="auto"/>
          <w:sz w:val="26"/>
          <w:szCs w:val="26"/>
        </w:rPr>
        <w:t>2026.</w:t>
      </w:r>
      <w:r w:rsidRPr="00976291">
        <w:rPr>
          <w:color w:val="auto"/>
          <w:sz w:val="26"/>
          <w:szCs w:val="26"/>
        </w:rPr>
        <w:t xml:space="preserve"> This gives some Applicable Large Employers (ALEs) additional flexibility in setting employee contributions while still meeting the affordability requirement.</w:t>
      </w:r>
    </w:p>
    <w:p w14:paraId="28D88321"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August is when many employers are beginning renewal and budgeting discussions for 2027.</w:t>
      </w:r>
    </w:p>
    <w:p w14:paraId="152B4D7A"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Brokers can position themselves as strategic advisors rather than just renewal coordinators.</w:t>
      </w:r>
    </w:p>
    <w:p w14:paraId="3947F58C"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It naturally leads into discussions about:</w:t>
      </w:r>
    </w:p>
    <w:p w14:paraId="18A3C67E" w14:textId="77777777" w:rsidR="005E1093" w:rsidRPr="00976291" w:rsidRDefault="005E1093">
      <w:pPr>
        <w:pStyle w:val="BodyText"/>
        <w:numPr>
          <w:ilvl w:val="3"/>
          <w:numId w:val="382"/>
        </w:numPr>
        <w:tabs>
          <w:tab w:val="clear" w:pos="2880"/>
          <w:tab w:val="num" w:pos="720"/>
        </w:tabs>
        <w:spacing w:after="0" w:line="240" w:lineRule="auto"/>
        <w:ind w:left="1188" w:hanging="648"/>
        <w:jc w:val="left"/>
        <w:rPr>
          <w:color w:val="auto"/>
          <w:sz w:val="26"/>
          <w:szCs w:val="26"/>
        </w:rPr>
      </w:pPr>
      <w:r w:rsidRPr="00976291">
        <w:rPr>
          <w:color w:val="auto"/>
          <w:sz w:val="26"/>
          <w:szCs w:val="26"/>
        </w:rPr>
        <w:t>ESRP exposure</w:t>
      </w:r>
    </w:p>
    <w:p w14:paraId="5E027FF3" w14:textId="77777777" w:rsidR="005E1093" w:rsidRPr="00976291" w:rsidRDefault="005E1093">
      <w:pPr>
        <w:pStyle w:val="BodyText"/>
        <w:numPr>
          <w:ilvl w:val="3"/>
          <w:numId w:val="383"/>
        </w:numPr>
        <w:tabs>
          <w:tab w:val="clear" w:pos="2880"/>
          <w:tab w:val="num" w:pos="720"/>
        </w:tabs>
        <w:spacing w:after="0" w:line="240" w:lineRule="auto"/>
        <w:ind w:left="1188" w:hanging="648"/>
        <w:jc w:val="left"/>
        <w:rPr>
          <w:color w:val="auto"/>
          <w:sz w:val="26"/>
          <w:szCs w:val="26"/>
        </w:rPr>
      </w:pPr>
      <w:r w:rsidRPr="00976291">
        <w:rPr>
          <w:color w:val="auto"/>
          <w:sz w:val="26"/>
          <w:szCs w:val="26"/>
        </w:rPr>
        <w:t>Affordability safe harbors</w:t>
      </w:r>
    </w:p>
    <w:p w14:paraId="20F3859D" w14:textId="77777777" w:rsidR="005E1093" w:rsidRPr="00976291" w:rsidRDefault="005E1093">
      <w:pPr>
        <w:pStyle w:val="BodyText"/>
        <w:numPr>
          <w:ilvl w:val="3"/>
          <w:numId w:val="384"/>
        </w:numPr>
        <w:tabs>
          <w:tab w:val="clear" w:pos="2880"/>
          <w:tab w:val="num" w:pos="720"/>
        </w:tabs>
        <w:spacing w:after="0" w:line="240" w:lineRule="auto"/>
        <w:ind w:left="1188" w:hanging="648"/>
        <w:jc w:val="left"/>
        <w:rPr>
          <w:color w:val="auto"/>
          <w:sz w:val="26"/>
          <w:szCs w:val="26"/>
        </w:rPr>
      </w:pPr>
      <w:r w:rsidRPr="00976291">
        <w:rPr>
          <w:color w:val="auto"/>
          <w:sz w:val="26"/>
          <w:szCs w:val="26"/>
        </w:rPr>
        <w:t>Contribution strategies</w:t>
      </w:r>
    </w:p>
    <w:p w14:paraId="3959A6EF" w14:textId="77777777" w:rsidR="005E1093" w:rsidRPr="00976291" w:rsidRDefault="005E1093">
      <w:pPr>
        <w:pStyle w:val="BodyText"/>
        <w:numPr>
          <w:ilvl w:val="3"/>
          <w:numId w:val="385"/>
        </w:numPr>
        <w:tabs>
          <w:tab w:val="clear" w:pos="2880"/>
          <w:tab w:val="num" w:pos="720"/>
        </w:tabs>
        <w:spacing w:after="0" w:line="240" w:lineRule="auto"/>
        <w:ind w:left="1188" w:hanging="648"/>
        <w:jc w:val="left"/>
        <w:rPr>
          <w:color w:val="auto"/>
          <w:sz w:val="26"/>
          <w:szCs w:val="26"/>
        </w:rPr>
      </w:pPr>
      <w:r w:rsidRPr="00976291">
        <w:rPr>
          <w:color w:val="auto"/>
          <w:sz w:val="26"/>
          <w:szCs w:val="26"/>
        </w:rPr>
        <w:t>IRS Letter 226-J risk</w:t>
      </w:r>
    </w:p>
    <w:p w14:paraId="3F6602EE" w14:textId="77777777" w:rsidR="005E1093" w:rsidRPr="00976291" w:rsidRDefault="005E1093">
      <w:pPr>
        <w:pStyle w:val="BodyText"/>
        <w:numPr>
          <w:ilvl w:val="3"/>
          <w:numId w:val="386"/>
        </w:numPr>
        <w:tabs>
          <w:tab w:val="clear" w:pos="2880"/>
          <w:tab w:val="num" w:pos="720"/>
        </w:tabs>
        <w:spacing w:after="0" w:line="240" w:lineRule="auto"/>
        <w:ind w:left="1188" w:hanging="648"/>
        <w:jc w:val="left"/>
        <w:rPr>
          <w:color w:val="auto"/>
          <w:sz w:val="26"/>
          <w:szCs w:val="26"/>
        </w:rPr>
      </w:pPr>
      <w:r w:rsidRPr="00976291">
        <w:rPr>
          <w:color w:val="auto"/>
          <w:sz w:val="26"/>
          <w:szCs w:val="26"/>
        </w:rPr>
        <w:t>ICHRA alternatives</w:t>
      </w:r>
    </w:p>
    <w:p w14:paraId="478B31B6" w14:textId="77777777" w:rsidR="005E1093" w:rsidRPr="005E1093" w:rsidRDefault="005E1093" w:rsidP="005E1093">
      <w:pPr>
        <w:pStyle w:val="BodyText"/>
        <w:spacing w:after="0" w:line="240" w:lineRule="auto"/>
        <w:rPr>
          <w:b/>
          <w:bCs/>
          <w:caps/>
          <w:noProof/>
          <w:color w:val="0070C0"/>
          <w:sz w:val="16"/>
          <w:szCs w:val="16"/>
        </w:rPr>
      </w:pPr>
    </w:p>
    <w:p w14:paraId="41FEF75F" w14:textId="77777777" w:rsidR="005E1093" w:rsidRPr="00BC2709" w:rsidRDefault="005E1093" w:rsidP="005E1093">
      <w:pPr>
        <w:pStyle w:val="BodyText"/>
        <w:spacing w:after="0" w:line="240" w:lineRule="auto"/>
        <w:rPr>
          <w:b/>
          <w:bCs/>
          <w:caps/>
          <w:noProof/>
          <w:color w:val="0E425C"/>
          <w:sz w:val="28"/>
          <w:szCs w:val="28"/>
        </w:rPr>
      </w:pPr>
      <w:r w:rsidRPr="00BC2709">
        <w:rPr>
          <w:b/>
          <w:bCs/>
          <w:caps/>
          <w:noProof/>
          <w:color w:val="0070C0"/>
          <w:sz w:val="28"/>
          <w:szCs w:val="28"/>
        </w:rPr>
        <w:t xml:space="preserve">New! </w:t>
      </w:r>
      <w:hyperlink r:id="rId176" w:history="1">
        <w:r>
          <w:rPr>
            <w:b/>
            <w:bCs/>
            <w:caps/>
            <w:noProof/>
            <w:color w:val="0E425C"/>
            <w:sz w:val="28"/>
            <w:szCs w:val="28"/>
          </w:rPr>
          <w:t>EEOC</w:t>
        </w:r>
      </w:hyperlink>
      <w:r>
        <w:rPr>
          <w:b/>
          <w:bCs/>
          <w:caps/>
          <w:noProof/>
          <w:color w:val="0E425C"/>
          <w:sz w:val="28"/>
          <w:szCs w:val="28"/>
        </w:rPr>
        <w:t xml:space="preserve"> Removed Affirmative Action Guidance</w:t>
      </w:r>
    </w:p>
    <w:p w14:paraId="6D64D2B2"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 xml:space="preserve">On June 30, 2026, the U.S. Equal Employment Opportunity Commission (EEOC)  </w:t>
      </w:r>
      <w:hyperlink r:id="rId177" w:tgtFrame="_blank" w:history="1">
        <w:r w:rsidRPr="00976291">
          <w:rPr>
            <w:rStyle w:val="Hyperlink"/>
            <w:sz w:val="26"/>
            <w:szCs w:val="26"/>
          </w:rPr>
          <w:t>announced</w:t>
        </w:r>
      </w:hyperlink>
      <w:r w:rsidRPr="00976291">
        <w:rPr>
          <w:sz w:val="26"/>
          <w:szCs w:val="26"/>
        </w:rPr>
        <w:t> </w:t>
      </w:r>
      <w:r w:rsidRPr="00976291">
        <w:rPr>
          <w:color w:val="auto"/>
          <w:sz w:val="26"/>
          <w:szCs w:val="26"/>
        </w:rPr>
        <w:t xml:space="preserve">that it </w:t>
      </w:r>
      <w:r w:rsidRPr="00976291">
        <w:rPr>
          <w:color w:val="auto"/>
          <w:sz w:val="26"/>
          <w:szCs w:val="26"/>
          <w:u w:val="single"/>
        </w:rPr>
        <w:t xml:space="preserve">rescinded two affirmative action </w:t>
      </w:r>
      <w:r w:rsidRPr="00976291">
        <w:rPr>
          <w:b/>
          <w:bCs/>
          <w:color w:val="auto"/>
          <w:sz w:val="26"/>
          <w:szCs w:val="26"/>
          <w:u w:val="single"/>
        </w:rPr>
        <w:t>guidance</w:t>
      </w:r>
      <w:r w:rsidRPr="00976291">
        <w:rPr>
          <w:color w:val="auto"/>
          <w:sz w:val="26"/>
          <w:szCs w:val="26"/>
          <w:u w:val="single"/>
        </w:rPr>
        <w:t xml:space="preserve"> documents</w:t>
      </w:r>
      <w:r w:rsidRPr="00976291">
        <w:rPr>
          <w:color w:val="auto"/>
          <w:sz w:val="26"/>
          <w:szCs w:val="26"/>
        </w:rPr>
        <w:t xml:space="preserve"> it adopted approximately 40 years ago — (1) the agency’s interpretive guidelines for appropriate affirmative action under Title VII of the Civil Rights Act and (2) the related section of the EEOC’s compliance manual, which discussed affirmative action. In its press release, the EEOC stated that the guidance no longer aligned with Title VII and Supreme Court case law that has developed over the past four decades.</w:t>
      </w:r>
    </w:p>
    <w:p w14:paraId="4FF3F90A" w14:textId="77777777" w:rsidR="005E1093" w:rsidRPr="00976291" w:rsidRDefault="005E1093" w:rsidP="005E1093">
      <w:pPr>
        <w:pStyle w:val="BodyText"/>
        <w:spacing w:after="0" w:line="240" w:lineRule="auto"/>
        <w:rPr>
          <w:color w:val="auto"/>
          <w:sz w:val="26"/>
          <w:szCs w:val="26"/>
        </w:rPr>
      </w:pPr>
      <w:r w:rsidRPr="00976291">
        <w:rPr>
          <w:color w:val="auto"/>
          <w:sz w:val="26"/>
          <w:szCs w:val="26"/>
        </w:rPr>
        <w:t xml:space="preserve">Together, the two guidance documents described when </w:t>
      </w:r>
      <w:r w:rsidRPr="00976291">
        <w:rPr>
          <w:color w:val="auto"/>
          <w:sz w:val="26"/>
          <w:szCs w:val="26"/>
          <w:u w:val="single"/>
        </w:rPr>
        <w:t>voluntary affirmative action programs were permissible under Title VII</w:t>
      </w:r>
      <w:r w:rsidRPr="00976291">
        <w:rPr>
          <w:color w:val="auto"/>
          <w:sz w:val="26"/>
          <w:szCs w:val="26"/>
        </w:rPr>
        <w:t xml:space="preserve">. The guidance explained that employers could take affirmative action to correct the effects of prior discriminatory practices but had to do so according to a reasoned plan or program rather than a series of isolated events — and they couldn’t do so in a way that created new discriminatory effects. The </w:t>
      </w:r>
      <w:r w:rsidRPr="00976291">
        <w:rPr>
          <w:color w:val="auto"/>
          <w:sz w:val="26"/>
          <w:szCs w:val="26"/>
        </w:rPr>
        <w:lastRenderedPageBreak/>
        <w:t>guidance contained detailed instructions and examples of appropriate programs.  Employers with voluntary affirmative action plans should consult with legal counsel about how the EEOC’s change may impact their program and available defenses in the event of any future dispute</w:t>
      </w:r>
    </w:p>
    <w:p w14:paraId="5DA5D091" w14:textId="77777777" w:rsidR="005E1093" w:rsidRPr="00976291" w:rsidRDefault="005E1093" w:rsidP="005E1093">
      <w:pPr>
        <w:pStyle w:val="BodyText"/>
        <w:spacing w:after="0" w:line="240" w:lineRule="auto"/>
        <w:rPr>
          <w:b/>
          <w:bCs/>
          <w:color w:val="auto"/>
          <w:sz w:val="26"/>
          <w:szCs w:val="26"/>
        </w:rPr>
      </w:pPr>
      <w:r w:rsidRPr="00976291">
        <w:rPr>
          <w:b/>
          <w:bCs/>
          <w:color w:val="auto"/>
          <w:sz w:val="26"/>
          <w:szCs w:val="26"/>
          <w:highlight w:val="lightGray"/>
        </w:rPr>
        <w:t>Key Takeaways:</w:t>
      </w:r>
    </w:p>
    <w:p w14:paraId="3D3F4602" w14:textId="77777777" w:rsidR="005E1093" w:rsidRPr="00976291" w:rsidRDefault="005E1093">
      <w:pPr>
        <w:pStyle w:val="BodyText"/>
        <w:numPr>
          <w:ilvl w:val="0"/>
          <w:numId w:val="381"/>
        </w:numPr>
        <w:spacing w:after="0" w:line="240" w:lineRule="auto"/>
        <w:jc w:val="left"/>
        <w:rPr>
          <w:color w:val="auto"/>
          <w:sz w:val="26"/>
          <w:szCs w:val="26"/>
        </w:rPr>
      </w:pPr>
      <w:r w:rsidRPr="00976291">
        <w:rPr>
          <w:color w:val="auto"/>
          <w:sz w:val="26"/>
          <w:szCs w:val="26"/>
        </w:rPr>
        <w:t xml:space="preserve">Recommended review of any DEI-related programs, hiring practices, and affirmative action policies </w:t>
      </w:r>
      <w:proofErr w:type="gramStart"/>
      <w:r w:rsidRPr="00976291">
        <w:rPr>
          <w:color w:val="auto"/>
          <w:sz w:val="26"/>
          <w:szCs w:val="26"/>
        </w:rPr>
        <w:t>in light of</w:t>
      </w:r>
      <w:proofErr w:type="gramEnd"/>
      <w:r w:rsidRPr="00976291">
        <w:rPr>
          <w:color w:val="auto"/>
          <w:sz w:val="26"/>
          <w:szCs w:val="26"/>
        </w:rPr>
        <w:t xml:space="preserve"> this change that will come into effect through a forthcoming Federal Register notice</w:t>
      </w:r>
    </w:p>
    <w:p w14:paraId="3F6D93D1" w14:textId="77777777" w:rsidR="005E1093" w:rsidRPr="00976291" w:rsidRDefault="005E1093">
      <w:pPr>
        <w:pStyle w:val="BodyText"/>
        <w:numPr>
          <w:ilvl w:val="0"/>
          <w:numId w:val="381"/>
        </w:numPr>
        <w:spacing w:after="0" w:line="240" w:lineRule="auto"/>
        <w:jc w:val="left"/>
        <w:rPr>
          <w:color w:val="auto"/>
          <w:sz w:val="26"/>
          <w:szCs w:val="26"/>
        </w:rPr>
      </w:pPr>
      <w:r w:rsidRPr="00976291">
        <w:rPr>
          <w:color w:val="auto"/>
          <w:sz w:val="26"/>
          <w:szCs w:val="26"/>
        </w:rPr>
        <w:t>For policies not required by law, document the basis for such programs that reference protected classes such as sex, race, or national origin</w:t>
      </w:r>
    </w:p>
    <w:p w14:paraId="69CC91A3" w14:textId="77777777" w:rsidR="005E1093" w:rsidRPr="00976291" w:rsidRDefault="005E1093">
      <w:pPr>
        <w:pStyle w:val="BodyText"/>
        <w:numPr>
          <w:ilvl w:val="0"/>
          <w:numId w:val="381"/>
        </w:numPr>
        <w:spacing w:after="0" w:line="240" w:lineRule="auto"/>
        <w:jc w:val="left"/>
        <w:rPr>
          <w:color w:val="auto"/>
          <w:sz w:val="26"/>
          <w:szCs w:val="26"/>
        </w:rPr>
      </w:pPr>
      <w:r w:rsidRPr="00976291">
        <w:rPr>
          <w:color w:val="auto"/>
          <w:sz w:val="26"/>
          <w:szCs w:val="26"/>
        </w:rPr>
        <w:t>Evaluate how to defend voluntary affirmative action plans and consider changes where such policies may not be strongly defended</w:t>
      </w:r>
    </w:p>
    <w:p w14:paraId="67FC1CD0" w14:textId="77777777" w:rsidR="005E1093" w:rsidRPr="00370049" w:rsidRDefault="005E1093">
      <w:pPr>
        <w:pStyle w:val="BodyText"/>
        <w:numPr>
          <w:ilvl w:val="0"/>
          <w:numId w:val="381"/>
        </w:numPr>
        <w:spacing w:after="0" w:line="240" w:lineRule="auto"/>
        <w:jc w:val="left"/>
        <w:rPr>
          <w:color w:val="auto"/>
          <w:sz w:val="26"/>
          <w:szCs w:val="26"/>
        </w:rPr>
      </w:pPr>
      <w:r w:rsidRPr="00976291">
        <w:rPr>
          <w:color w:val="auto"/>
          <w:sz w:val="26"/>
          <w:szCs w:val="26"/>
        </w:rPr>
        <w:t>Meet with legal counsel to ensure organization’s applicable programs and policies are supported by current legal authority, and, where appropriate, update any written plans, communications, or training materials that reference the now rescinded EEOC guidance.</w:t>
      </w:r>
    </w:p>
    <w:p w14:paraId="443B2478" w14:textId="77777777" w:rsidR="005E1093" w:rsidRPr="005E1093" w:rsidRDefault="005E1093" w:rsidP="005E1093">
      <w:pPr>
        <w:pStyle w:val="BodyText"/>
        <w:spacing w:after="0" w:line="240" w:lineRule="auto"/>
        <w:rPr>
          <w:b/>
          <w:bCs/>
          <w:caps/>
          <w:noProof/>
          <w:color w:val="0070C0"/>
          <w:sz w:val="16"/>
          <w:szCs w:val="16"/>
        </w:rPr>
      </w:pPr>
    </w:p>
    <w:p w14:paraId="4DEA4867" w14:textId="6C383AF8" w:rsidR="005E1093" w:rsidRDefault="005E1093" w:rsidP="005E1093">
      <w:pPr>
        <w:pStyle w:val="BodyText"/>
        <w:spacing w:after="0" w:line="240" w:lineRule="auto"/>
      </w:pPr>
      <w:r w:rsidRPr="00D03F06">
        <w:rPr>
          <w:b/>
          <w:bCs/>
          <w:caps/>
          <w:noProof/>
          <w:color w:val="0070C0"/>
          <w:sz w:val="28"/>
          <w:szCs w:val="28"/>
        </w:rPr>
        <w:t>New!</w:t>
      </w:r>
      <w:r w:rsidRPr="00D03F06">
        <w:rPr>
          <w:b/>
          <w:bCs/>
          <w:caps/>
          <w:noProof/>
          <w:color w:val="0E425C"/>
          <w:sz w:val="28"/>
          <w:szCs w:val="28"/>
        </w:rPr>
        <w:t xml:space="preserve"> EEOC</w:t>
      </w:r>
      <w:r>
        <w:rPr>
          <w:b/>
          <w:bCs/>
          <w:caps/>
          <w:noProof/>
          <w:color w:val="0E425C"/>
          <w:sz w:val="28"/>
          <w:szCs w:val="28"/>
        </w:rPr>
        <w:t>’s</w:t>
      </w:r>
      <w:r w:rsidRPr="00D03F06">
        <w:rPr>
          <w:b/>
          <w:bCs/>
          <w:caps/>
          <w:noProof/>
          <w:color w:val="0E425C"/>
          <w:sz w:val="28"/>
          <w:szCs w:val="28"/>
        </w:rPr>
        <w:t xml:space="preserve"> Proposed Rule – Elimination of EEO-1 Reporting </w:t>
      </w:r>
      <w:r>
        <w:rPr>
          <w:b/>
          <w:bCs/>
          <w:caps/>
          <w:noProof/>
          <w:color w:val="0E425C"/>
          <w:sz w:val="28"/>
          <w:szCs w:val="28"/>
        </w:rPr>
        <w:t>Requirements</w:t>
      </w:r>
    </w:p>
    <w:p w14:paraId="2FE88663" w14:textId="77777777" w:rsidR="005E1093" w:rsidRPr="007F7FAA" w:rsidRDefault="005E1093" w:rsidP="005E1093">
      <w:pPr>
        <w:spacing w:after="0" w:line="240" w:lineRule="auto"/>
        <w:rPr>
          <w:sz w:val="26"/>
          <w:szCs w:val="26"/>
        </w:rPr>
      </w:pPr>
      <w:r w:rsidRPr="007F7FAA">
        <w:rPr>
          <w:sz w:val="26"/>
          <w:szCs w:val="26"/>
        </w:rPr>
        <w:t xml:space="preserve">On </w:t>
      </w:r>
      <w:r w:rsidRPr="007F7FAA">
        <w:rPr>
          <w:b/>
          <w:bCs/>
          <w:sz w:val="26"/>
          <w:szCs w:val="26"/>
        </w:rPr>
        <w:t>July 23, 2026</w:t>
      </w:r>
      <w:r w:rsidRPr="007F7FAA">
        <w:rPr>
          <w:sz w:val="26"/>
          <w:szCs w:val="26"/>
        </w:rPr>
        <w:t xml:space="preserve">, the U.S. Equal Employment Opportunity Commission (EEOC) published a </w:t>
      </w:r>
      <w:hyperlink r:id="rId178" w:history="1">
        <w:r w:rsidRPr="007F7FAA">
          <w:rPr>
            <w:rStyle w:val="Hyperlink"/>
            <w:sz w:val="26"/>
            <w:szCs w:val="26"/>
          </w:rPr>
          <w:t>Notice of Proposed Rulemaking</w:t>
        </w:r>
      </w:hyperlink>
      <w:r w:rsidRPr="007F7FAA">
        <w:rPr>
          <w:sz w:val="26"/>
          <w:szCs w:val="26"/>
        </w:rPr>
        <w:t xml:space="preserve"> to eliminate EEO-1 reporting requirements for private employers. The 30-day public comment period for the EEOC’s proposed rule will end on </w:t>
      </w:r>
      <w:r w:rsidRPr="007F7FAA">
        <w:rPr>
          <w:b/>
          <w:bCs/>
          <w:sz w:val="26"/>
          <w:szCs w:val="26"/>
        </w:rPr>
        <w:t>August 24, 2026</w:t>
      </w:r>
      <w:r w:rsidRPr="007F7FAA">
        <w:rPr>
          <w:sz w:val="26"/>
          <w:szCs w:val="26"/>
        </w:rPr>
        <w:t>.</w:t>
      </w:r>
    </w:p>
    <w:p w14:paraId="06785E2F"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Because the EEOC has not yet announced the opening date and filing deadline for 2025 EEO-1 reports, it is unclear how the proposed rule might impact the filing of 2025 EEO-1 reports.  ETC will continue to monitor the EEOC’s proposed rule and EEO-1 Data Collection requirements and related announcements.</w:t>
      </w:r>
    </w:p>
    <w:p w14:paraId="52C1D8DC" w14:textId="77777777" w:rsidR="005E1093" w:rsidRPr="005E1093" w:rsidRDefault="005E1093" w:rsidP="005E1093">
      <w:pPr>
        <w:pStyle w:val="BodyText"/>
        <w:spacing w:after="0" w:line="240" w:lineRule="auto"/>
        <w:rPr>
          <w:color w:val="auto"/>
          <w:sz w:val="16"/>
          <w:szCs w:val="16"/>
        </w:rPr>
      </w:pPr>
    </w:p>
    <w:p w14:paraId="71A95B11" w14:textId="77777777" w:rsidR="005E1093" w:rsidRPr="00530B66" w:rsidRDefault="005E1093" w:rsidP="005E1093">
      <w:pPr>
        <w:pStyle w:val="BodyText"/>
        <w:spacing w:after="0" w:line="240" w:lineRule="auto"/>
        <w:rPr>
          <w:b/>
          <w:bCs/>
          <w:caps/>
          <w:color w:val="0070C0"/>
          <w:sz w:val="28"/>
          <w:szCs w:val="28"/>
        </w:rPr>
      </w:pPr>
      <w:r w:rsidRPr="00B46EA5">
        <w:rPr>
          <w:b/>
          <w:bCs/>
          <w:caps/>
          <w:noProof/>
          <w:color w:val="0070C0"/>
          <w:sz w:val="28"/>
          <w:szCs w:val="28"/>
        </w:rPr>
        <w:t>New!</w:t>
      </w:r>
      <w:r>
        <w:rPr>
          <w:color w:val="auto"/>
        </w:rPr>
        <w:t xml:space="preserve"> </w:t>
      </w:r>
      <w:r w:rsidRPr="00B46EA5">
        <w:rPr>
          <w:b/>
          <w:bCs/>
          <w:caps/>
          <w:noProof/>
          <w:color w:val="0E425C"/>
          <w:sz w:val="28"/>
          <w:szCs w:val="28"/>
        </w:rPr>
        <w:t xml:space="preserve">DOL Proposed Rule – Expanded </w:t>
      </w:r>
      <w:r w:rsidRPr="006D1EA5">
        <w:rPr>
          <w:b/>
          <w:bCs/>
          <w:caps/>
          <w:color w:val="0E425C"/>
          <w:sz w:val="28"/>
          <w:szCs w:val="28"/>
        </w:rPr>
        <w:t>Electronic</w:t>
      </w:r>
      <w:r w:rsidRPr="00B46EA5">
        <w:rPr>
          <w:b/>
          <w:bCs/>
          <w:caps/>
          <w:noProof/>
          <w:color w:val="0E425C"/>
          <w:sz w:val="28"/>
          <w:szCs w:val="28"/>
        </w:rPr>
        <w:t xml:space="preserve"> Delivery </w:t>
      </w:r>
      <w:r w:rsidRPr="006D1EA5">
        <w:rPr>
          <w:b/>
          <w:bCs/>
          <w:caps/>
          <w:color w:val="0E425C"/>
          <w:sz w:val="28"/>
          <w:szCs w:val="28"/>
        </w:rPr>
        <w:t>Options</w:t>
      </w:r>
      <w:r w:rsidRPr="00B46EA5">
        <w:rPr>
          <w:b/>
          <w:bCs/>
          <w:caps/>
          <w:noProof/>
          <w:color w:val="0E425C"/>
          <w:sz w:val="28"/>
          <w:szCs w:val="28"/>
        </w:rPr>
        <w:t xml:space="preserve"> – Group Health Plan Disclosures</w:t>
      </w:r>
    </w:p>
    <w:p w14:paraId="091791A4"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 xml:space="preserve">The U.S. Department of Labor’s (DOL) Employee Benefits Security Administration has issued a </w:t>
      </w:r>
      <w:hyperlink r:id="rId179" w:history="1">
        <w:r w:rsidRPr="007F7FAA">
          <w:rPr>
            <w:rStyle w:val="Hyperlink"/>
            <w:sz w:val="26"/>
            <w:szCs w:val="26"/>
          </w:rPr>
          <w:t>proposed rule</w:t>
        </w:r>
      </w:hyperlink>
      <w:r w:rsidRPr="007F7FAA">
        <w:rPr>
          <w:rStyle w:val="Hyperlink"/>
          <w:sz w:val="26"/>
          <w:szCs w:val="26"/>
        </w:rPr>
        <w:t xml:space="preserve"> </w:t>
      </w:r>
      <w:r w:rsidRPr="007F7FAA">
        <w:rPr>
          <w:color w:val="auto"/>
          <w:sz w:val="26"/>
          <w:szCs w:val="26"/>
        </w:rPr>
        <w:t>that would establish a new, additional safe harbor for group health plan administrators to use electronic media to furnish plan disclosures required under the Employee Retirement Income Security Act (ERISA). The proposal aims to modernize the delivery of group health plan disclosures to reduce administrative burdens and improve participants’ ability to access and understand plan information.</w:t>
      </w:r>
    </w:p>
    <w:p w14:paraId="683AFACC" w14:textId="77777777" w:rsidR="005E1093" w:rsidRPr="00530B66" w:rsidRDefault="005E1093" w:rsidP="005E1093">
      <w:pPr>
        <w:pStyle w:val="BodyText"/>
        <w:spacing w:after="0" w:line="240" w:lineRule="auto"/>
        <w:rPr>
          <w:b/>
          <w:bCs/>
          <w:caps/>
          <w:color w:val="0070C0"/>
          <w:sz w:val="28"/>
          <w:szCs w:val="28"/>
        </w:rPr>
      </w:pPr>
      <w:r w:rsidRPr="007F7FAA">
        <w:rPr>
          <w:color w:val="auto"/>
          <w:sz w:val="26"/>
          <w:szCs w:val="26"/>
        </w:rPr>
        <w:t xml:space="preserve">The proposed rule would add a new safe harbor for group health plan administrators to electronically deliver required disclosures, largely mirroring the 2020 retirement plan safe harbor. Unlike the 2020 retirement plan safe harbor, though, </w:t>
      </w:r>
      <w:r w:rsidRPr="007F7FAA">
        <w:rPr>
          <w:b/>
          <w:bCs/>
          <w:color w:val="auto"/>
          <w:sz w:val="26"/>
          <w:szCs w:val="26"/>
        </w:rPr>
        <w:t>email delivery would not</w:t>
      </w:r>
      <w:r w:rsidRPr="004C3C35">
        <w:rPr>
          <w:b/>
          <w:bCs/>
          <w:color w:val="auto"/>
          <w:sz w:val="26"/>
          <w:szCs w:val="26"/>
        </w:rPr>
        <w:t xml:space="preserve"> be</w:t>
      </w:r>
      <w:r w:rsidRPr="007F7FAA">
        <w:rPr>
          <w:b/>
          <w:bCs/>
          <w:color w:val="auto"/>
          <w:sz w:val="26"/>
          <w:szCs w:val="26"/>
        </w:rPr>
        <w:t xml:space="preserve"> available</w:t>
      </w:r>
      <w:r w:rsidRPr="007F7FAA">
        <w:rPr>
          <w:color w:val="auto"/>
          <w:sz w:val="26"/>
          <w:szCs w:val="26"/>
        </w:rPr>
        <w:t xml:space="preserve"> </w:t>
      </w:r>
      <w:r w:rsidRPr="007F7FAA">
        <w:rPr>
          <w:b/>
          <w:bCs/>
          <w:color w:val="auto"/>
          <w:sz w:val="26"/>
          <w:szCs w:val="26"/>
        </w:rPr>
        <w:t>under this proposal</w:t>
      </w:r>
      <w:r w:rsidRPr="007F7FAA">
        <w:rPr>
          <w:color w:val="auto"/>
          <w:sz w:val="26"/>
          <w:szCs w:val="26"/>
        </w:rPr>
        <w:t>, as many ERISA group health plan disclosures contain sensitive information, including protected health information. ETC will continue to monitor and provide updates.</w:t>
      </w:r>
    </w:p>
    <w:p w14:paraId="39B4431F" w14:textId="77777777" w:rsidR="005E1093" w:rsidRPr="005E1093" w:rsidRDefault="005E1093" w:rsidP="005E1093">
      <w:pPr>
        <w:pStyle w:val="BodyText"/>
        <w:spacing w:after="0" w:line="240" w:lineRule="auto"/>
        <w:rPr>
          <w:color w:val="auto"/>
          <w:sz w:val="16"/>
          <w:szCs w:val="16"/>
        </w:rPr>
      </w:pPr>
    </w:p>
    <w:p w14:paraId="537FBC06" w14:textId="77777777" w:rsidR="005E1093" w:rsidRPr="00530B66" w:rsidRDefault="005E1093" w:rsidP="005E1093">
      <w:pPr>
        <w:pStyle w:val="BodyText"/>
        <w:spacing w:after="0" w:line="240" w:lineRule="auto"/>
        <w:rPr>
          <w:b/>
          <w:bCs/>
          <w:caps/>
          <w:color w:val="0070C0"/>
          <w:sz w:val="28"/>
          <w:szCs w:val="28"/>
        </w:rPr>
      </w:pPr>
      <w:r>
        <w:rPr>
          <w:b/>
          <w:bCs/>
          <w:caps/>
          <w:noProof/>
          <w:color w:val="0070C0"/>
          <w:sz w:val="28"/>
          <w:szCs w:val="28"/>
        </w:rPr>
        <w:t xml:space="preserve">New! </w:t>
      </w:r>
      <w:r w:rsidRPr="00D03F06">
        <w:rPr>
          <w:b/>
          <w:bCs/>
          <w:caps/>
          <w:noProof/>
          <w:color w:val="0E425C"/>
          <w:sz w:val="28"/>
          <w:szCs w:val="28"/>
        </w:rPr>
        <w:t>DOL</w:t>
      </w:r>
      <w:r>
        <w:rPr>
          <w:b/>
          <w:bCs/>
          <w:caps/>
          <w:noProof/>
          <w:color w:val="0E425C"/>
          <w:sz w:val="28"/>
          <w:szCs w:val="28"/>
        </w:rPr>
        <w:t xml:space="preserve"> </w:t>
      </w:r>
      <w:r w:rsidRPr="00DB261C">
        <w:rPr>
          <w:b/>
          <w:bCs/>
          <w:caps/>
          <w:color w:val="0E425C"/>
          <w:sz w:val="28"/>
          <w:szCs w:val="28"/>
        </w:rPr>
        <w:t>Opinion Letter</w:t>
      </w:r>
      <w:r>
        <w:rPr>
          <w:b/>
          <w:bCs/>
          <w:caps/>
          <w:noProof/>
          <w:color w:val="0E425C"/>
          <w:sz w:val="28"/>
          <w:szCs w:val="28"/>
        </w:rPr>
        <w:t>:</w:t>
      </w:r>
      <w:r w:rsidRPr="00D03F06">
        <w:rPr>
          <w:b/>
          <w:bCs/>
          <w:caps/>
          <w:noProof/>
          <w:color w:val="0E425C"/>
          <w:sz w:val="28"/>
          <w:szCs w:val="28"/>
        </w:rPr>
        <w:t xml:space="preserve"> Compensability of Commute Time </w:t>
      </w:r>
      <w:r w:rsidRPr="00DB261C">
        <w:rPr>
          <w:b/>
          <w:bCs/>
          <w:caps/>
          <w:color w:val="0E425C"/>
          <w:sz w:val="28"/>
          <w:szCs w:val="28"/>
        </w:rPr>
        <w:t>Activities</w:t>
      </w:r>
    </w:p>
    <w:p w14:paraId="665D221F" w14:textId="77777777" w:rsidR="005E1093" w:rsidRPr="007F7FAA" w:rsidRDefault="005E1093" w:rsidP="005E1093">
      <w:pPr>
        <w:spacing w:after="0" w:line="240" w:lineRule="auto"/>
        <w:rPr>
          <w:sz w:val="26"/>
          <w:szCs w:val="26"/>
        </w:rPr>
      </w:pPr>
      <w:r w:rsidRPr="007F7FAA">
        <w:rPr>
          <w:sz w:val="26"/>
          <w:szCs w:val="26"/>
        </w:rPr>
        <w:t xml:space="preserve">On July 22, 2026, the U.S. Department of Labor (DOL) issued Opinion Letter </w:t>
      </w:r>
      <w:hyperlink r:id="rId180" w:history="1">
        <w:r w:rsidRPr="007F7FAA">
          <w:rPr>
            <w:rStyle w:val="Hyperlink"/>
            <w:color w:val="auto"/>
            <w:sz w:val="26"/>
            <w:szCs w:val="26"/>
          </w:rPr>
          <w:t>FLSA2026-10</w:t>
        </w:r>
      </w:hyperlink>
      <w:r w:rsidRPr="007F7FAA">
        <w:rPr>
          <w:sz w:val="26"/>
          <w:szCs w:val="26"/>
        </w:rPr>
        <w:t>, addressing whether time spent by an employee receiving pages, calling clients and other workers to schedule appointments, and driving from home to the first client appointment is work time under the Fair Labor Standards Act (FLSA) that employers must track and pay.</w:t>
      </w:r>
    </w:p>
    <w:p w14:paraId="1DF2E757" w14:textId="77777777" w:rsidR="005E1093" w:rsidRPr="007F7FAA" w:rsidRDefault="005E1093" w:rsidP="005E1093">
      <w:pPr>
        <w:spacing w:after="0" w:line="240" w:lineRule="auto"/>
        <w:rPr>
          <w:b/>
          <w:bCs/>
          <w:sz w:val="26"/>
          <w:szCs w:val="26"/>
        </w:rPr>
      </w:pPr>
      <w:r w:rsidRPr="007F7FAA">
        <w:rPr>
          <w:b/>
          <w:bCs/>
          <w:sz w:val="26"/>
          <w:szCs w:val="26"/>
        </w:rPr>
        <w:t>Situational Highlights:</w:t>
      </w:r>
    </w:p>
    <w:p w14:paraId="0AA1B38C" w14:textId="77777777" w:rsidR="005E1093" w:rsidRPr="007F7FAA" w:rsidRDefault="005E1093" w:rsidP="005E1093">
      <w:pPr>
        <w:spacing w:after="0" w:line="240" w:lineRule="auto"/>
        <w:rPr>
          <w:sz w:val="26"/>
          <w:szCs w:val="26"/>
        </w:rPr>
      </w:pPr>
      <w:r w:rsidRPr="007F7FAA">
        <w:rPr>
          <w:sz w:val="26"/>
          <w:szCs w:val="26"/>
        </w:rPr>
        <w:t xml:space="preserve">The employee was a field service engineer responsible for installing and servicing magnetic resonance imaging systems. The employee performed these services at client locations (hospitals or imaging sites) </w:t>
      </w:r>
      <w:r w:rsidRPr="007F7FAA">
        <w:rPr>
          <w:sz w:val="26"/>
          <w:szCs w:val="26"/>
        </w:rPr>
        <w:lastRenderedPageBreak/>
        <w:t>instead of reporting to an office. Every day, the employee drove from home to their first client appointment, from jobsite to jobsite and then home after their last appointment.</w:t>
      </w:r>
    </w:p>
    <w:p w14:paraId="7871CB83" w14:textId="77777777" w:rsidR="005E1093" w:rsidRPr="007F7FAA" w:rsidRDefault="005E1093" w:rsidP="005E1093">
      <w:pPr>
        <w:spacing w:after="0" w:line="240" w:lineRule="auto"/>
        <w:rPr>
          <w:sz w:val="26"/>
          <w:szCs w:val="26"/>
        </w:rPr>
      </w:pPr>
      <w:r w:rsidRPr="007F7FAA">
        <w:rPr>
          <w:sz w:val="26"/>
          <w:szCs w:val="26"/>
        </w:rPr>
        <w:t>The employee’s paid shift began at 8 a.m. and ended at 5 p.m. The employee received client service requests remotely from their employer via the employer’s internal messaging system between 7 a.m. and 8 a.m.</w:t>
      </w:r>
    </w:p>
    <w:p w14:paraId="40994FA2" w14:textId="77777777" w:rsidR="005E1093" w:rsidRPr="007F7FAA" w:rsidRDefault="005E1093" w:rsidP="005E1093">
      <w:pPr>
        <w:pStyle w:val="Heading3"/>
        <w:spacing w:before="0" w:line="240" w:lineRule="auto"/>
        <w:rPr>
          <w:rFonts w:eastAsiaTheme="minorEastAsia" w:cs="Calibri"/>
          <w:b/>
          <w:bCs/>
          <w:color w:val="auto"/>
          <w:sz w:val="26"/>
          <w:szCs w:val="26"/>
        </w:rPr>
      </w:pPr>
      <w:r w:rsidRPr="007F7FAA">
        <w:rPr>
          <w:rFonts w:eastAsiaTheme="minorEastAsia" w:cs="Calibri"/>
          <w:b/>
          <w:bCs/>
          <w:color w:val="auto"/>
          <w:sz w:val="26"/>
          <w:szCs w:val="26"/>
        </w:rPr>
        <w:t>DOL’s Position:</w:t>
      </w:r>
    </w:p>
    <w:p w14:paraId="5490DB2F" w14:textId="77777777" w:rsidR="005E1093" w:rsidRPr="007F7FAA" w:rsidRDefault="005E1093" w:rsidP="005E1093">
      <w:pPr>
        <w:pStyle w:val="Heading3"/>
        <w:spacing w:before="0" w:line="240" w:lineRule="auto"/>
        <w:rPr>
          <w:rFonts w:eastAsiaTheme="minorEastAsia" w:cs="Calibri"/>
          <w:b/>
          <w:bCs/>
          <w:color w:val="auto"/>
          <w:sz w:val="26"/>
          <w:szCs w:val="26"/>
        </w:rPr>
      </w:pPr>
      <w:r w:rsidRPr="007F7FAA">
        <w:rPr>
          <w:rFonts w:eastAsiaTheme="minorEastAsia" w:cs="Calibri"/>
          <w:b/>
          <w:bCs/>
          <w:color w:val="auto"/>
          <w:sz w:val="26"/>
          <w:szCs w:val="26"/>
        </w:rPr>
        <w:t>Receiving Pages and Making Calls</w:t>
      </w:r>
    </w:p>
    <w:p w14:paraId="5435720A" w14:textId="77777777" w:rsidR="005E1093" w:rsidRPr="007F7FAA" w:rsidRDefault="005E1093" w:rsidP="005E1093">
      <w:pPr>
        <w:spacing w:after="0" w:line="240" w:lineRule="auto"/>
        <w:rPr>
          <w:sz w:val="26"/>
          <w:szCs w:val="26"/>
          <w:highlight w:val="yellow"/>
        </w:rPr>
      </w:pPr>
      <w:r w:rsidRPr="007F7FAA">
        <w:rPr>
          <w:sz w:val="26"/>
          <w:szCs w:val="26"/>
        </w:rPr>
        <w:t>The DOL confirmed that the</w:t>
      </w:r>
      <w:r w:rsidRPr="007F7FAA">
        <w:rPr>
          <w:sz w:val="26"/>
          <w:szCs w:val="26"/>
          <w:u w:val="single"/>
        </w:rPr>
        <w:t xml:space="preserve"> time</w:t>
      </w:r>
      <w:r w:rsidRPr="007F7FAA">
        <w:rPr>
          <w:sz w:val="26"/>
          <w:szCs w:val="26"/>
        </w:rPr>
        <w:t xml:space="preserve"> the employee </w:t>
      </w:r>
      <w:r w:rsidRPr="007F7FAA">
        <w:rPr>
          <w:sz w:val="26"/>
          <w:szCs w:val="26"/>
          <w:u w:val="single"/>
        </w:rPr>
        <w:t>spent receiving pages</w:t>
      </w:r>
      <w:r w:rsidRPr="007F7FAA">
        <w:rPr>
          <w:sz w:val="26"/>
          <w:szCs w:val="26"/>
        </w:rPr>
        <w:t>, whether performed at home or during the commute, before performing any other work-related activities, was incidental to the use of an employer-provided vehicle for commuting under the ECFA and therefore</w:t>
      </w:r>
      <w:r w:rsidRPr="007F7FAA">
        <w:rPr>
          <w:sz w:val="26"/>
          <w:szCs w:val="26"/>
          <w:u w:val="single"/>
        </w:rPr>
        <w:t xml:space="preserve"> likely not compensable</w:t>
      </w:r>
      <w:r w:rsidRPr="007F7FAA">
        <w:rPr>
          <w:sz w:val="26"/>
          <w:szCs w:val="26"/>
        </w:rPr>
        <w:t xml:space="preserve">. However, the DOL advised that the </w:t>
      </w:r>
      <w:r w:rsidRPr="007F7FAA">
        <w:rPr>
          <w:sz w:val="26"/>
          <w:szCs w:val="26"/>
          <w:u w:val="single"/>
        </w:rPr>
        <w:t>time</w:t>
      </w:r>
      <w:r w:rsidRPr="007F7FAA">
        <w:rPr>
          <w:sz w:val="26"/>
          <w:szCs w:val="26"/>
        </w:rPr>
        <w:t xml:space="preserve"> the employee </w:t>
      </w:r>
      <w:r w:rsidRPr="007F7FAA">
        <w:rPr>
          <w:sz w:val="26"/>
          <w:szCs w:val="26"/>
          <w:u w:val="single"/>
        </w:rPr>
        <w:t>spent calling clients</w:t>
      </w:r>
      <w:r w:rsidRPr="007F7FAA">
        <w:rPr>
          <w:sz w:val="26"/>
          <w:szCs w:val="26"/>
        </w:rPr>
        <w:t xml:space="preserve"> to schedule appointments (or other engineers to cover service requests) was integral and indispensable to the employee’s principal job of installing and servicing equipment and therefore </w:t>
      </w:r>
      <w:r w:rsidRPr="007F7FAA">
        <w:rPr>
          <w:sz w:val="26"/>
          <w:szCs w:val="26"/>
          <w:u w:val="single"/>
        </w:rPr>
        <w:t>compensable</w:t>
      </w:r>
      <w:r w:rsidRPr="007F7FAA">
        <w:rPr>
          <w:sz w:val="26"/>
          <w:szCs w:val="26"/>
        </w:rPr>
        <w:t xml:space="preserve"> regardless of whether the employee conducted the calls at home or in the employer-provided vehicle.</w:t>
      </w:r>
    </w:p>
    <w:p w14:paraId="2164CCEA" w14:textId="77777777" w:rsidR="005E1093" w:rsidRPr="007F7FAA" w:rsidRDefault="005E1093" w:rsidP="005E1093">
      <w:pPr>
        <w:pStyle w:val="Heading3"/>
        <w:spacing w:before="0" w:line="240" w:lineRule="auto"/>
        <w:rPr>
          <w:rFonts w:eastAsiaTheme="minorEastAsia" w:cs="Calibri"/>
          <w:b/>
          <w:bCs/>
          <w:color w:val="auto"/>
          <w:sz w:val="26"/>
          <w:szCs w:val="26"/>
        </w:rPr>
      </w:pPr>
      <w:r w:rsidRPr="007F7FAA">
        <w:rPr>
          <w:rFonts w:eastAsiaTheme="minorEastAsia" w:cs="Calibri"/>
          <w:b/>
          <w:bCs/>
          <w:color w:val="auto"/>
          <w:sz w:val="26"/>
          <w:szCs w:val="26"/>
        </w:rPr>
        <w:t>Drive Time</w:t>
      </w:r>
    </w:p>
    <w:p w14:paraId="3315FA56" w14:textId="77777777" w:rsidR="005E1093" w:rsidRPr="007F7FAA" w:rsidRDefault="005E1093" w:rsidP="005E1093">
      <w:pPr>
        <w:spacing w:after="0" w:line="240" w:lineRule="auto"/>
        <w:rPr>
          <w:sz w:val="26"/>
          <w:szCs w:val="26"/>
        </w:rPr>
      </w:pPr>
      <w:r w:rsidRPr="007F7FAA">
        <w:rPr>
          <w:sz w:val="26"/>
          <w:szCs w:val="26"/>
        </w:rPr>
        <w:t>The DOL concluded that the</w:t>
      </w:r>
      <w:r w:rsidRPr="007F7FAA">
        <w:rPr>
          <w:sz w:val="26"/>
          <w:szCs w:val="26"/>
          <w:u w:val="single"/>
        </w:rPr>
        <w:t xml:space="preserve"> employee’s drive time</w:t>
      </w:r>
      <w:r w:rsidRPr="007F7FAA">
        <w:rPr>
          <w:sz w:val="26"/>
          <w:szCs w:val="26"/>
        </w:rPr>
        <w:t xml:space="preserve"> was</w:t>
      </w:r>
      <w:r w:rsidRPr="007F7FAA">
        <w:rPr>
          <w:sz w:val="26"/>
          <w:szCs w:val="26"/>
          <w:u w:val="single"/>
        </w:rPr>
        <w:t xml:space="preserve"> compensable</w:t>
      </w:r>
      <w:r w:rsidRPr="007F7FAA">
        <w:rPr>
          <w:sz w:val="26"/>
          <w:szCs w:val="26"/>
        </w:rPr>
        <w:t xml:space="preserve"> </w:t>
      </w:r>
      <w:r w:rsidRPr="007F7FAA">
        <w:rPr>
          <w:sz w:val="26"/>
          <w:szCs w:val="26"/>
          <w:u w:val="single"/>
        </w:rPr>
        <w:t>when the employee completed pre-shift work before leaving home to drive to the first appointment</w:t>
      </w:r>
      <w:r w:rsidRPr="007F7FAA">
        <w:rPr>
          <w:sz w:val="26"/>
          <w:szCs w:val="26"/>
        </w:rPr>
        <w:t xml:space="preserve"> because it occurred during the workday and was not an ordinary commute. The department reasoned that the employee’s travel was not an ordinary commute because the time and manner of the travel were based primarily on the employer’s needs rather than the employee’s choice. In addition, the employer required the employee to engage in substantial work both immediately before the travel, when the employee spent most of an hour engaged in phone calls, and immediately after the travel, when the employee worked at the day’s first worksite. </w:t>
      </w:r>
    </w:p>
    <w:p w14:paraId="6D317A19" w14:textId="77777777" w:rsidR="005E1093" w:rsidRPr="00370049" w:rsidRDefault="005E1093" w:rsidP="005E1093">
      <w:pPr>
        <w:spacing w:after="0" w:line="240" w:lineRule="auto"/>
        <w:rPr>
          <w:sz w:val="26"/>
          <w:szCs w:val="26"/>
        </w:rPr>
      </w:pPr>
      <w:r w:rsidRPr="007F7FAA">
        <w:rPr>
          <w:sz w:val="26"/>
          <w:szCs w:val="26"/>
        </w:rPr>
        <w:t xml:space="preserve">Whether the employee’s </w:t>
      </w:r>
      <w:r w:rsidRPr="007F7FAA">
        <w:rPr>
          <w:sz w:val="26"/>
          <w:szCs w:val="26"/>
          <w:u w:val="single"/>
        </w:rPr>
        <w:t xml:space="preserve">drive time </w:t>
      </w:r>
      <w:r w:rsidRPr="007F7FAA">
        <w:rPr>
          <w:sz w:val="26"/>
          <w:szCs w:val="26"/>
        </w:rPr>
        <w:t xml:space="preserve">was </w:t>
      </w:r>
      <w:r w:rsidRPr="007F7FAA">
        <w:rPr>
          <w:sz w:val="26"/>
          <w:szCs w:val="26"/>
          <w:u w:val="single"/>
        </w:rPr>
        <w:t>compensable</w:t>
      </w:r>
      <w:r w:rsidRPr="007F7FAA">
        <w:rPr>
          <w:sz w:val="26"/>
          <w:szCs w:val="26"/>
        </w:rPr>
        <w:t xml:space="preserve"> when the employee left home before their shift started and did some or all pre-shift work while driving</w:t>
      </w:r>
      <w:r w:rsidRPr="007F7FAA">
        <w:rPr>
          <w:sz w:val="26"/>
          <w:szCs w:val="26"/>
          <w:u w:val="single"/>
        </w:rPr>
        <w:t xml:space="preserve"> depended on when the employee started making work calls</w:t>
      </w:r>
      <w:r w:rsidRPr="007F7FAA">
        <w:rPr>
          <w:sz w:val="26"/>
          <w:szCs w:val="26"/>
        </w:rPr>
        <w:t>. The drive time before the employee made the first work call was ordinary home-to-work travel and, therefore, not compensable. However, once the employee started calling clients, their workday had begun, and the rest of the travel time from the first client call to the first appointment was compensable because calling clients was the employee’s first principal activity of the day and the employee was required to perform that activity throughout the travel. The DOL did not consider whether—or at what point—a less extensive amount of time spent on calls while traveling to the employee’s first worksite might affect whether the entire travel time after the first call would constitute hours worked.</w:t>
      </w:r>
    </w:p>
    <w:p w14:paraId="211A5730" w14:textId="77777777" w:rsidR="005E1093" w:rsidRPr="005E1093" w:rsidRDefault="005E1093" w:rsidP="005E1093">
      <w:pPr>
        <w:pStyle w:val="BodyText"/>
        <w:spacing w:after="0" w:line="240" w:lineRule="auto"/>
        <w:rPr>
          <w:b/>
          <w:bCs/>
          <w:caps/>
          <w:noProof/>
          <w:color w:val="0070C0"/>
          <w:sz w:val="16"/>
          <w:szCs w:val="16"/>
        </w:rPr>
      </w:pPr>
    </w:p>
    <w:p w14:paraId="1E260E84" w14:textId="2BF2EA7C" w:rsidR="005E1093" w:rsidRPr="00530B66" w:rsidRDefault="005E1093" w:rsidP="005E1093">
      <w:pPr>
        <w:pStyle w:val="BodyText"/>
        <w:spacing w:after="0" w:line="240" w:lineRule="auto"/>
        <w:rPr>
          <w:b/>
          <w:bCs/>
          <w:caps/>
          <w:color w:val="0070C0"/>
          <w:sz w:val="28"/>
          <w:szCs w:val="28"/>
        </w:rPr>
      </w:pPr>
      <w:r w:rsidRPr="009C5DF8">
        <w:rPr>
          <w:b/>
          <w:bCs/>
          <w:caps/>
          <w:noProof/>
          <w:color w:val="0070C0"/>
          <w:sz w:val="28"/>
          <w:szCs w:val="28"/>
        </w:rPr>
        <w:t>New!</w:t>
      </w:r>
      <w:r w:rsidRPr="009C5DF8">
        <w:rPr>
          <w:b/>
          <w:bCs/>
          <w:caps/>
          <w:noProof/>
          <w:color w:val="0E425C"/>
          <w:sz w:val="28"/>
          <w:szCs w:val="28"/>
        </w:rPr>
        <w:t xml:space="preserve"> FLSA </w:t>
      </w:r>
      <w:r w:rsidRPr="00000F27">
        <w:rPr>
          <w:b/>
          <w:bCs/>
          <w:caps/>
          <w:color w:val="0E425C"/>
          <w:sz w:val="28"/>
          <w:szCs w:val="28"/>
        </w:rPr>
        <w:t>Opinion</w:t>
      </w:r>
      <w:r w:rsidRPr="009C5DF8">
        <w:rPr>
          <w:b/>
          <w:bCs/>
          <w:caps/>
          <w:noProof/>
          <w:color w:val="0E425C"/>
          <w:sz w:val="28"/>
          <w:szCs w:val="28"/>
        </w:rPr>
        <w:t xml:space="preserve"> Letter: When Salaried Employees Pick Up Hourly Shifts</w:t>
      </w:r>
    </w:p>
    <w:p w14:paraId="35079421"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What happens when the employee picking up extra work is a salaried exempt employee? Does the Fair Labor Standards Act (FLSA) prohibit such an arrangement?</w:t>
      </w:r>
    </w:p>
    <w:p w14:paraId="7ECA75F9" w14:textId="77777777" w:rsidR="005E1093" w:rsidRPr="007F7FAA" w:rsidRDefault="005E1093" w:rsidP="005E1093">
      <w:pPr>
        <w:pStyle w:val="BodyText"/>
        <w:spacing w:after="0" w:line="240" w:lineRule="auto"/>
        <w:rPr>
          <w:sz w:val="26"/>
          <w:szCs w:val="26"/>
        </w:rPr>
      </w:pPr>
      <w:r w:rsidRPr="007F7FAA">
        <w:rPr>
          <w:color w:val="auto"/>
          <w:sz w:val="26"/>
          <w:szCs w:val="26"/>
        </w:rPr>
        <w:t>The U.S. Department of Labor (DOL) recently addressed this issue in</w:t>
      </w:r>
      <w:r w:rsidRPr="007F7FAA">
        <w:rPr>
          <w:sz w:val="26"/>
          <w:szCs w:val="26"/>
        </w:rPr>
        <w:t> </w:t>
      </w:r>
      <w:hyperlink r:id="rId181" w:tgtFrame="_blank" w:history="1">
        <w:r w:rsidRPr="007F7FAA">
          <w:rPr>
            <w:rStyle w:val="Hyperlink"/>
            <w:sz w:val="26"/>
            <w:szCs w:val="26"/>
          </w:rPr>
          <w:t>Opinion Letter FLSA2026-5</w:t>
        </w:r>
      </w:hyperlink>
      <w:r w:rsidRPr="007F7FAA">
        <w:rPr>
          <w:color w:val="auto"/>
          <w:sz w:val="26"/>
          <w:szCs w:val="26"/>
        </w:rPr>
        <w:t>. According to the DOL, a salaried exempt employee may pick up hourly shifts, but employers engaging in this practice should be aware of FLSA complications that may arise and take steps to prevent the employee from losing their exempt status.</w:t>
      </w:r>
    </w:p>
    <w:p w14:paraId="381CD64E"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While the FLSA does not prohibit an exempt employee from performing additional hourly work, the arrangement can compromise the employee’s exempt status if the additional work changes the nature of the employee’s role. If an employee loses exempt status, their employer may be required to pay that employee overtime — creating additional expenses and hour-tracking issues.</w:t>
      </w:r>
      <w:r w:rsidRPr="007F7FAA">
        <w:rPr>
          <w:rFonts w:ascii="Georgia" w:hAnsi="Georgia"/>
          <w:color w:val="292929"/>
          <w:spacing w:val="3"/>
          <w:sz w:val="26"/>
          <w:szCs w:val="26"/>
          <w:shd w:val="clear" w:color="auto" w:fill="FFFFFF"/>
          <w:vertAlign w:val="superscript"/>
        </w:rPr>
        <w:t xml:space="preserve"> </w:t>
      </w:r>
      <w:hyperlink r:id="rId182" w:anchor="F5" w:history="1">
        <w:r w:rsidRPr="007F7FAA">
          <w:rPr>
            <w:rStyle w:val="Hyperlink"/>
            <w:sz w:val="26"/>
            <w:szCs w:val="26"/>
            <w:vertAlign w:val="superscript"/>
          </w:rPr>
          <w:t>5</w:t>
        </w:r>
      </w:hyperlink>
      <w:r w:rsidRPr="007F7FAA">
        <w:rPr>
          <w:color w:val="auto"/>
          <w:sz w:val="26"/>
          <w:szCs w:val="26"/>
        </w:rPr>
        <w:t> </w:t>
      </w:r>
    </w:p>
    <w:p w14:paraId="45564A20"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lastRenderedPageBreak/>
        <w:t>The DOL’s guidance makes clear that an exempt employee does not lose exempt status simply because the employee picks up additional hourly work.</w:t>
      </w:r>
      <w:hyperlink r:id="rId183" w:anchor="F6" w:history="1">
        <w:r w:rsidRPr="007F7FAA">
          <w:rPr>
            <w:rStyle w:val="Hyperlink"/>
            <w:color w:val="auto"/>
            <w:sz w:val="26"/>
            <w:szCs w:val="26"/>
            <w:vertAlign w:val="superscript"/>
          </w:rPr>
          <w:t>6</w:t>
        </w:r>
      </w:hyperlink>
      <w:r w:rsidRPr="007F7FAA">
        <w:rPr>
          <w:color w:val="auto"/>
          <w:sz w:val="26"/>
          <w:szCs w:val="26"/>
        </w:rPr>
        <w:t> If, however, an exempt employee’s extra shifts performing nonexempt work begin to monopolize their working time then, that employee is at risk of losing their exempt status.</w:t>
      </w:r>
      <w:hyperlink r:id="rId184" w:anchor="F7" w:history="1">
        <w:r w:rsidRPr="007F7FAA">
          <w:rPr>
            <w:rStyle w:val="Hyperlink"/>
            <w:color w:val="auto"/>
            <w:sz w:val="26"/>
            <w:szCs w:val="26"/>
            <w:vertAlign w:val="superscript"/>
          </w:rPr>
          <w:t>7</w:t>
        </w:r>
      </w:hyperlink>
      <w:r w:rsidRPr="007F7FAA">
        <w:rPr>
          <w:color w:val="auto"/>
          <w:sz w:val="26"/>
          <w:szCs w:val="26"/>
        </w:rPr>
        <w:t> In sum, the DOL’s guidance can be broken down into a few key takeaways.</w:t>
      </w:r>
    </w:p>
    <w:p w14:paraId="1A6674A9"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Takeaway 1: How to qualify as an exempt executive, administrative, or professional employee.</w:t>
      </w:r>
    </w:p>
    <w:p w14:paraId="6796325C"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To qualify for the Section 13(a)(1) exemption, an employee must satisfy both a duties requirement and a salary requirement. First, the employee’s primary duty must be exempt work. Second, the employee must be paid on a salary basis at or above the required salary level. Those requirements are addressed in greater detail in 29 C.F.R. Part 541.</w:t>
      </w:r>
      <w:hyperlink r:id="rId185" w:anchor="F8" w:history="1">
        <w:r w:rsidRPr="007F7FAA">
          <w:rPr>
            <w:rStyle w:val="Hyperlink"/>
            <w:color w:val="auto"/>
            <w:sz w:val="26"/>
            <w:szCs w:val="26"/>
            <w:vertAlign w:val="superscript"/>
          </w:rPr>
          <w:t>8</w:t>
        </w:r>
      </w:hyperlink>
    </w:p>
    <w:p w14:paraId="0816F1C1" w14:textId="77777777" w:rsidR="005E1093" w:rsidRPr="007F7FAA" w:rsidRDefault="005E1093" w:rsidP="005E1093">
      <w:pPr>
        <w:pStyle w:val="BodyText"/>
        <w:spacing w:after="0" w:line="240" w:lineRule="auto"/>
        <w:rPr>
          <w:color w:val="auto"/>
          <w:sz w:val="26"/>
          <w:szCs w:val="26"/>
        </w:rPr>
      </w:pPr>
      <w:r w:rsidRPr="007F7FAA">
        <w:rPr>
          <w:b/>
          <w:bCs/>
          <w:color w:val="auto"/>
          <w:sz w:val="26"/>
          <w:szCs w:val="26"/>
        </w:rPr>
        <w:t>Takeaway 2: How an exempt employee can perform nonexempt work.</w:t>
      </w:r>
    </w:p>
    <w:p w14:paraId="73453607" w14:textId="77777777" w:rsidR="005E1093" w:rsidRPr="007F7FAA" w:rsidRDefault="005E1093" w:rsidP="005E1093">
      <w:pPr>
        <w:pStyle w:val="BodyText"/>
        <w:spacing w:after="0" w:line="240" w:lineRule="auto"/>
        <w:rPr>
          <w:color w:val="auto"/>
          <w:sz w:val="26"/>
          <w:szCs w:val="26"/>
        </w:rPr>
      </w:pPr>
      <w:r w:rsidRPr="007F7FAA">
        <w:rPr>
          <w:color w:val="auto"/>
          <w:sz w:val="26"/>
          <w:szCs w:val="26"/>
        </w:rPr>
        <w:t>Once an employee is exempt, the Opinion Letter confirms that an exempt employee can take on additional nonexempt work.</w:t>
      </w:r>
      <w:hyperlink r:id="rId186" w:anchor="F9" w:history="1">
        <w:r w:rsidRPr="007F7FAA">
          <w:rPr>
            <w:rStyle w:val="Hyperlink"/>
            <w:color w:val="auto"/>
            <w:sz w:val="26"/>
            <w:szCs w:val="26"/>
            <w:vertAlign w:val="superscript"/>
          </w:rPr>
          <w:t>9</w:t>
        </w:r>
      </w:hyperlink>
      <w:r w:rsidRPr="007F7FAA">
        <w:rPr>
          <w:color w:val="auto"/>
          <w:sz w:val="26"/>
          <w:szCs w:val="26"/>
        </w:rPr>
        <w:t> To preserve an employee’s exempt status, however, employers should keep the following in mind:</w:t>
      </w:r>
    </w:p>
    <w:p w14:paraId="41369E3C" w14:textId="77777777" w:rsidR="005E1093" w:rsidRPr="007F7FAA" w:rsidRDefault="005E1093">
      <w:pPr>
        <w:pStyle w:val="BodyText"/>
        <w:numPr>
          <w:ilvl w:val="0"/>
          <w:numId w:val="380"/>
        </w:numPr>
        <w:spacing w:after="0" w:line="240" w:lineRule="auto"/>
        <w:jc w:val="left"/>
        <w:rPr>
          <w:color w:val="auto"/>
          <w:sz w:val="26"/>
          <w:szCs w:val="26"/>
        </w:rPr>
      </w:pPr>
      <w:r w:rsidRPr="007F7FAA">
        <w:rPr>
          <w:b/>
          <w:bCs/>
          <w:color w:val="auto"/>
          <w:sz w:val="26"/>
          <w:szCs w:val="26"/>
        </w:rPr>
        <w:t>The employee’s primary duty should remain exempt work. </w:t>
      </w:r>
      <w:r w:rsidRPr="007F7FAA">
        <w:rPr>
          <w:color w:val="auto"/>
          <w:sz w:val="26"/>
          <w:szCs w:val="26"/>
        </w:rPr>
        <w:t>Section 13(a)(1) requires an employee’s primary duty to be exempt work. While much goes into this analysis, time spent performing exempt work is an important consideration, with employees who spend more than half of their time doing exempt work generally satisfying the exemption. Other considerations include, but are not limited to, the extent of supervision over an employee and the importance of the exempt work when compared to other duties assigned to the employee.</w:t>
      </w:r>
      <w:hyperlink r:id="rId187" w:anchor="F10" w:history="1">
        <w:r w:rsidRPr="007F7FAA">
          <w:rPr>
            <w:rStyle w:val="Hyperlink"/>
            <w:color w:val="auto"/>
            <w:sz w:val="26"/>
            <w:szCs w:val="26"/>
            <w:vertAlign w:val="superscript"/>
          </w:rPr>
          <w:t>10</w:t>
        </w:r>
      </w:hyperlink>
    </w:p>
    <w:p w14:paraId="676128A7" w14:textId="77777777" w:rsidR="005E1093" w:rsidRPr="007F7FAA" w:rsidRDefault="005E1093">
      <w:pPr>
        <w:pStyle w:val="BodyText"/>
        <w:numPr>
          <w:ilvl w:val="0"/>
          <w:numId w:val="380"/>
        </w:numPr>
        <w:spacing w:after="0" w:line="240" w:lineRule="auto"/>
        <w:jc w:val="left"/>
        <w:rPr>
          <w:color w:val="auto"/>
          <w:sz w:val="26"/>
          <w:szCs w:val="26"/>
        </w:rPr>
      </w:pPr>
      <w:r w:rsidRPr="007F7FAA">
        <w:rPr>
          <w:b/>
          <w:bCs/>
          <w:color w:val="auto"/>
          <w:sz w:val="26"/>
          <w:szCs w:val="26"/>
        </w:rPr>
        <w:t>Some overlap between the roles of an exempt and nonexempt employee is permitted.</w:t>
      </w:r>
      <w:r w:rsidRPr="007F7FAA">
        <w:rPr>
          <w:color w:val="auto"/>
          <w:sz w:val="26"/>
          <w:szCs w:val="26"/>
        </w:rPr>
        <w:t> An exempt employee’s role does not need to be completely different from a nonexempt role. Some overlap of job responsibilities is permitted and, standing alone, should not defeat the exemption.</w:t>
      </w:r>
      <w:hyperlink r:id="rId188" w:anchor="F11" w:history="1">
        <w:r w:rsidRPr="007F7FAA">
          <w:rPr>
            <w:rStyle w:val="Hyperlink"/>
            <w:color w:val="auto"/>
            <w:sz w:val="26"/>
            <w:szCs w:val="26"/>
            <w:vertAlign w:val="superscript"/>
          </w:rPr>
          <w:t>11</w:t>
        </w:r>
      </w:hyperlink>
    </w:p>
    <w:p w14:paraId="15618C1A" w14:textId="77777777" w:rsidR="005E1093" w:rsidRPr="007F7FAA" w:rsidRDefault="005E1093">
      <w:pPr>
        <w:pStyle w:val="BodyText"/>
        <w:numPr>
          <w:ilvl w:val="0"/>
          <w:numId w:val="380"/>
        </w:numPr>
        <w:spacing w:after="0" w:line="240" w:lineRule="auto"/>
        <w:jc w:val="left"/>
        <w:rPr>
          <w:color w:val="auto"/>
          <w:sz w:val="26"/>
          <w:szCs w:val="26"/>
        </w:rPr>
      </w:pPr>
      <w:r w:rsidRPr="007F7FAA">
        <w:rPr>
          <w:b/>
          <w:bCs/>
          <w:color w:val="auto"/>
          <w:sz w:val="26"/>
          <w:szCs w:val="26"/>
        </w:rPr>
        <w:t>Paying hourly compensation for additional work does not, by itself, defeat the salary-basis requirement of Section 13(a)(1).</w:t>
      </w:r>
      <w:r w:rsidRPr="007F7FAA">
        <w:rPr>
          <w:color w:val="auto"/>
          <w:sz w:val="26"/>
          <w:szCs w:val="26"/>
        </w:rPr>
        <w:t> </w:t>
      </w:r>
      <w:proofErr w:type="gramStart"/>
      <w:r w:rsidRPr="007F7FAA">
        <w:rPr>
          <w:color w:val="auto"/>
          <w:sz w:val="26"/>
          <w:szCs w:val="26"/>
        </w:rPr>
        <w:t>As long as</w:t>
      </w:r>
      <w:proofErr w:type="gramEnd"/>
      <w:r w:rsidRPr="007F7FAA">
        <w:rPr>
          <w:color w:val="auto"/>
          <w:sz w:val="26"/>
          <w:szCs w:val="26"/>
        </w:rPr>
        <w:t xml:space="preserve"> the exempt employee continues to receive a full predetermined salary for their exempt role each week, additional hourly pay for nonexempt shifts is permissible “additional compensation” and should not affect exempt status.</w:t>
      </w:r>
      <w:hyperlink r:id="rId189" w:anchor="F12" w:history="1">
        <w:r w:rsidRPr="007F7FAA">
          <w:rPr>
            <w:rStyle w:val="Hyperlink"/>
            <w:color w:val="auto"/>
            <w:sz w:val="26"/>
            <w:szCs w:val="26"/>
            <w:vertAlign w:val="superscript"/>
          </w:rPr>
          <w:t>12</w:t>
        </w:r>
      </w:hyperlink>
    </w:p>
    <w:p w14:paraId="5A487778" w14:textId="77777777" w:rsidR="005E1093" w:rsidRPr="007F7FAA" w:rsidRDefault="005E1093">
      <w:pPr>
        <w:pStyle w:val="BodyText"/>
        <w:numPr>
          <w:ilvl w:val="0"/>
          <w:numId w:val="380"/>
        </w:numPr>
        <w:spacing w:after="0" w:line="240" w:lineRule="auto"/>
        <w:jc w:val="left"/>
        <w:rPr>
          <w:color w:val="auto"/>
          <w:sz w:val="26"/>
          <w:szCs w:val="26"/>
        </w:rPr>
      </w:pPr>
      <w:r w:rsidRPr="007F7FAA">
        <w:rPr>
          <w:b/>
          <w:bCs/>
          <w:color w:val="auto"/>
          <w:sz w:val="26"/>
          <w:szCs w:val="26"/>
        </w:rPr>
        <w:t>Compensation for additional nonexempt work is generally left to the employer.</w:t>
      </w:r>
      <w:r w:rsidRPr="007F7FAA">
        <w:rPr>
          <w:color w:val="auto"/>
          <w:sz w:val="26"/>
          <w:szCs w:val="26"/>
        </w:rPr>
        <w:t> Employers may compensate additional nonexempt work in different ways, including flat-sum payments, bonuses, hourly payments, or other forms of additional compensation. Also, while an employer may provide extra compensation for additional hourly shifts, the FLSA does not require it if the employee remains properly classified as exempt.</w:t>
      </w:r>
      <w:hyperlink r:id="rId190" w:anchor="F13" w:history="1">
        <w:r w:rsidRPr="007F7FAA">
          <w:rPr>
            <w:rStyle w:val="Hyperlink"/>
            <w:color w:val="auto"/>
            <w:sz w:val="26"/>
            <w:szCs w:val="26"/>
            <w:vertAlign w:val="superscript"/>
          </w:rPr>
          <w:t>13</w:t>
        </w:r>
      </w:hyperlink>
    </w:p>
    <w:p w14:paraId="634F5CEF" w14:textId="7A7BA58A" w:rsidR="005E1093" w:rsidRPr="005E1093" w:rsidRDefault="005E1093" w:rsidP="005E1093">
      <w:pPr>
        <w:pStyle w:val="BodyText"/>
        <w:spacing w:after="0" w:line="240" w:lineRule="auto"/>
        <w:rPr>
          <w:color w:val="auto"/>
          <w:sz w:val="26"/>
          <w:szCs w:val="26"/>
        </w:rPr>
      </w:pPr>
      <w:r w:rsidRPr="007F7FAA">
        <w:rPr>
          <w:color w:val="auto"/>
          <w:sz w:val="26"/>
          <w:szCs w:val="26"/>
        </w:rPr>
        <w:t xml:space="preserve"> -Extracted from Snell &amp; Wilmer Law Firm’s July 8, 2026</w:t>
      </w:r>
      <w:r>
        <w:rPr>
          <w:color w:val="auto"/>
          <w:sz w:val="26"/>
          <w:szCs w:val="26"/>
        </w:rPr>
        <w:t>,</w:t>
      </w:r>
      <w:r w:rsidRPr="007F7FAA">
        <w:rPr>
          <w:color w:val="auto"/>
          <w:sz w:val="26"/>
          <w:szCs w:val="26"/>
        </w:rPr>
        <w:t xml:space="preserve"> Legal Alert, accessible </w:t>
      </w:r>
      <w:hyperlink r:id="rId191" w:history="1">
        <w:r w:rsidRPr="007F7FAA">
          <w:rPr>
            <w:rStyle w:val="Hyperlink"/>
            <w:color w:val="auto"/>
            <w:sz w:val="26"/>
            <w:szCs w:val="26"/>
          </w:rPr>
          <w:t>HERE</w:t>
        </w:r>
      </w:hyperlink>
    </w:p>
    <w:p w14:paraId="5255FFCC" w14:textId="77777777" w:rsidR="00E43496" w:rsidRDefault="00E43496" w:rsidP="001558B8">
      <w:pPr>
        <w:pStyle w:val="BodyText"/>
        <w:spacing w:after="0" w:line="240" w:lineRule="auto"/>
        <w:ind w:right="274"/>
        <w:rPr>
          <w:rFonts w:eastAsiaTheme="minorHAnsi" w:cs="Calibri"/>
          <w:b/>
          <w:bCs/>
          <w:color w:val="auto"/>
          <w:kern w:val="36"/>
          <w:szCs w:val="22"/>
        </w:rPr>
      </w:pPr>
    </w:p>
    <w:p w14:paraId="01270F17" w14:textId="6D2DDCAE" w:rsidR="00460375" w:rsidRDefault="00460375" w:rsidP="008F584F">
      <w:pPr>
        <w:pStyle w:val="BodyText"/>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June 2026 Alerts/Reminder</w:t>
      </w:r>
      <w:r w:rsidR="005E1093">
        <w:rPr>
          <w:rFonts w:eastAsiaTheme="minorHAnsi" w:cs="Calibri"/>
          <w:b/>
          <w:bCs/>
          <w:color w:val="C00000"/>
          <w:kern w:val="36"/>
          <w:sz w:val="28"/>
          <w:szCs w:val="28"/>
        </w:rPr>
        <w:t>s:</w:t>
      </w:r>
    </w:p>
    <w:p w14:paraId="192C4750" w14:textId="77777777" w:rsidR="00460375" w:rsidRDefault="00460375" w:rsidP="00460375">
      <w:pPr>
        <w:pStyle w:val="MainSectionHead"/>
        <w:spacing w:before="0" w:after="0" w:line="240" w:lineRule="auto"/>
        <w:rPr>
          <w:caps/>
          <w:color w:val="0070C0"/>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June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JuLY</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52B886B4" w14:textId="77777777" w:rsidR="00460375" w:rsidRDefault="00460375" w:rsidP="00460375">
      <w:pPr>
        <w:pStyle w:val="MainSectionHead"/>
        <w:spacing w:before="0" w:after="0" w:line="240" w:lineRule="auto"/>
        <w:rPr>
          <w:caps/>
          <w:color w:val="0070C0"/>
        </w:rPr>
      </w:pPr>
    </w:p>
    <w:p w14:paraId="08D40FF0" w14:textId="007D4BC4" w:rsidR="00460375" w:rsidRDefault="00460375" w:rsidP="00460375">
      <w:pPr>
        <w:pStyle w:val="MainSectionHead"/>
        <w:spacing w:before="0" w:after="0" w:line="240" w:lineRule="auto"/>
        <w:rPr>
          <w:caps/>
          <w:color w:val="0070C0"/>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July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AugUST</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0ED4BDA8" w14:textId="77777777" w:rsidR="00460375" w:rsidRPr="00460375" w:rsidRDefault="00460375" w:rsidP="00460375">
      <w:pPr>
        <w:pStyle w:val="MainSectionHead"/>
        <w:spacing w:before="0" w:after="0" w:line="240" w:lineRule="auto"/>
        <w:rPr>
          <w:caps/>
          <w:color w:val="0070C0"/>
        </w:rPr>
      </w:pPr>
    </w:p>
    <w:p w14:paraId="4A742382" w14:textId="77777777" w:rsidR="00460375" w:rsidRDefault="00460375" w:rsidP="00460375">
      <w:pPr>
        <w:rPr>
          <w:b/>
          <w:bCs/>
          <w:caps/>
          <w:noProof/>
          <w:color w:val="0070C0"/>
          <w:sz w:val="28"/>
          <w:szCs w:val="28"/>
        </w:rPr>
      </w:pPr>
      <w:r w:rsidRPr="00156B3D">
        <w:rPr>
          <w:b/>
          <w:bCs/>
          <w:caps/>
          <w:noProof/>
          <w:color w:val="0E425C"/>
          <w:sz w:val="28"/>
          <w:szCs w:val="28"/>
        </w:rPr>
        <w:t>Reminder</w:t>
      </w:r>
      <w:r>
        <w:rPr>
          <w:b/>
          <w:bCs/>
          <w:caps/>
          <w:noProof/>
          <w:color w:val="0E425C"/>
          <w:sz w:val="28"/>
          <w:szCs w:val="28"/>
        </w:rPr>
        <w:t>:</w:t>
      </w:r>
      <w:r w:rsidRPr="00582B5D">
        <w:rPr>
          <w:b/>
          <w:bCs/>
          <w:caps/>
          <w:noProof/>
          <w:color w:val="0070C0"/>
          <w:sz w:val="28"/>
          <w:szCs w:val="28"/>
        </w:rPr>
        <w:t xml:space="preserve">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64830A57" w14:textId="77777777" w:rsidR="00460375" w:rsidRPr="008016D1" w:rsidRDefault="00460375">
      <w:pPr>
        <w:pStyle w:val="ListParagraph"/>
        <w:numPr>
          <w:ilvl w:val="0"/>
          <w:numId w:val="365"/>
        </w:numPr>
        <w:spacing w:after="100" w:line="276" w:lineRule="auto"/>
        <w:rPr>
          <w:noProof/>
        </w:rPr>
      </w:pPr>
      <w:r w:rsidRPr="008016D1">
        <w:rPr>
          <w:noProof/>
        </w:rPr>
        <w:lastRenderedPageBreak/>
        <w:t xml:space="preserve">PCORI fees due 7/31/2026 are for applicable </w:t>
      </w:r>
      <w:r>
        <w:rPr>
          <w:noProof/>
        </w:rPr>
        <w:t xml:space="preserve">self insured benefits with </w:t>
      </w:r>
      <w:r w:rsidRPr="008016D1">
        <w:rPr>
          <w:noProof/>
          <w:u w:val="single"/>
        </w:rPr>
        <w:t>plan year ending in 2025</w:t>
      </w:r>
    </w:p>
    <w:p w14:paraId="6DFD0FBC" w14:textId="2BCE3AAA" w:rsidR="00460375" w:rsidRDefault="00460375">
      <w:pPr>
        <w:pStyle w:val="ListParagraph"/>
        <w:numPr>
          <w:ilvl w:val="0"/>
          <w:numId w:val="365"/>
        </w:numPr>
        <w:spacing w:after="100" w:line="276" w:lineRule="auto"/>
        <w:rPr>
          <w:noProof/>
        </w:rPr>
      </w:pPr>
      <w:r w:rsidRPr="008016D1">
        <w:rPr>
          <w:noProof/>
        </w:rPr>
        <w:t xml:space="preserve">Contact your Benefits Broker or ETC at </w:t>
      </w:r>
      <w:hyperlink r:id="rId192" w:history="1">
        <w:r w:rsidRPr="00E44F7B">
          <w:rPr>
            <w:rStyle w:val="Hyperlink"/>
            <w:noProof/>
          </w:rPr>
          <w:t>HR_Help@etctracking.com</w:t>
        </w:r>
      </w:hyperlink>
      <w:r w:rsidRPr="008016D1">
        <w:rPr>
          <w:noProof/>
        </w:rPr>
        <w:t xml:space="preserve"> should you need assitance</w:t>
      </w:r>
    </w:p>
    <w:p w14:paraId="46A199E5" w14:textId="7C85E326" w:rsidR="00460375" w:rsidRPr="005E1093" w:rsidRDefault="00460375" w:rsidP="005E1093">
      <w:pPr>
        <w:pStyle w:val="BodyText"/>
        <w:rPr>
          <w:b/>
          <w:bCs/>
          <w:caps/>
          <w:noProof/>
          <w:color w:val="0E425C"/>
          <w:sz w:val="28"/>
          <w:szCs w:val="28"/>
        </w:rPr>
      </w:pPr>
      <w:r w:rsidRPr="0027551A">
        <w:rPr>
          <w:b/>
          <w:bCs/>
          <w:caps/>
          <w:noProof/>
          <w:color w:val="0E425C"/>
          <w:sz w:val="28"/>
          <w:szCs w:val="28"/>
        </w:rPr>
        <w:t xml:space="preserve">REMINDER: </w:t>
      </w:r>
      <w:r>
        <w:rPr>
          <w:b/>
          <w:bCs/>
          <w:caps/>
          <w:noProof/>
          <w:color w:val="0E425C"/>
          <w:sz w:val="28"/>
          <w:szCs w:val="28"/>
        </w:rPr>
        <w:t>the May 22 “</w:t>
      </w:r>
      <w:r w:rsidRPr="0027551A">
        <w:rPr>
          <w:b/>
          <w:bCs/>
          <w:caps/>
          <w:noProof/>
          <w:color w:val="0E425C"/>
          <w:sz w:val="28"/>
          <w:szCs w:val="28"/>
        </w:rPr>
        <w:t>Summer Compliance Look Ahead</w:t>
      </w:r>
      <w:r>
        <w:rPr>
          <w:b/>
          <w:bCs/>
          <w:caps/>
          <w:noProof/>
          <w:color w:val="0E425C"/>
          <w:sz w:val="28"/>
          <w:szCs w:val="28"/>
        </w:rPr>
        <w:t xml:space="preserve">” Compliance E-Blast Included Mid Year Minimum Wage Increases </w:t>
      </w:r>
    </w:p>
    <w:p w14:paraId="2A0B48AD" w14:textId="527AA891" w:rsidR="00F1262E" w:rsidRDefault="00F1262E" w:rsidP="008F584F">
      <w:pPr>
        <w:pStyle w:val="BodyText"/>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 xml:space="preserve">May 2026 </w:t>
      </w:r>
      <w:r w:rsidRPr="00FE503A">
        <w:rPr>
          <w:rFonts w:eastAsiaTheme="minorHAnsi" w:cs="Calibri"/>
          <w:b/>
          <w:bCs/>
          <w:color w:val="C00000"/>
          <w:kern w:val="36"/>
          <w:sz w:val="28"/>
          <w:szCs w:val="28"/>
        </w:rPr>
        <w:t>Alerts/Reminders:</w:t>
      </w:r>
    </w:p>
    <w:p w14:paraId="2A243153" w14:textId="77777777" w:rsidR="00F1262E" w:rsidRPr="009B6798" w:rsidRDefault="00F1262E" w:rsidP="00F1262E">
      <w:pPr>
        <w:pStyle w:val="MainSectionHead"/>
        <w:spacing w:before="0" w:after="0" w:line="240" w:lineRule="auto"/>
        <w:rPr>
          <w:caps/>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May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June</w:t>
      </w:r>
      <w:r w:rsidRPr="009B6798">
        <w:rPr>
          <w:caps/>
          <w:color w:val="0070C0"/>
        </w:rPr>
        <w:t xml:space="preserve"> 3</w:t>
      </w:r>
      <w:r>
        <w:rPr>
          <w:caps/>
          <w:color w:val="0070C0"/>
        </w:rPr>
        <w:t>0</w:t>
      </w:r>
      <w:r w:rsidRPr="009B6798">
        <w:rPr>
          <w:caps/>
          <w:color w:val="0070C0"/>
        </w:rPr>
        <w:t>,</w:t>
      </w:r>
      <w:r w:rsidRPr="009B6798">
        <w:rPr>
          <w:caps/>
          <w:color w:val="0070C0"/>
          <w:spacing w:val="-9"/>
        </w:rPr>
        <w:t xml:space="preserve"> </w:t>
      </w:r>
      <w:r w:rsidRPr="009B6798">
        <w:rPr>
          <w:caps/>
          <w:color w:val="0070C0"/>
        </w:rPr>
        <w:t>2026</w:t>
      </w:r>
    </w:p>
    <w:p w14:paraId="4984F6C6" w14:textId="77777777" w:rsidR="00F1262E" w:rsidRDefault="00F1262E" w:rsidP="00F1262E">
      <w:pPr>
        <w:pStyle w:val="MainSectionHead"/>
        <w:spacing w:before="0" w:after="0" w:line="240" w:lineRule="auto"/>
        <w:rPr>
          <w:caps/>
        </w:rPr>
      </w:pPr>
    </w:p>
    <w:p w14:paraId="0CFBD78F" w14:textId="77777777" w:rsidR="00F1262E" w:rsidRDefault="00F1262E" w:rsidP="00F1262E">
      <w:pPr>
        <w:pStyle w:val="MainSectionHead"/>
        <w:spacing w:before="0" w:after="0" w:line="240" w:lineRule="auto"/>
        <w:rPr>
          <w:caps/>
          <w:color w:val="0070C0"/>
        </w:rPr>
      </w:pPr>
      <w:r w:rsidRPr="00AB5D31">
        <w:rPr>
          <w:caps/>
          <w:color w:val="0070C0"/>
        </w:rPr>
        <w:t xml:space="preserve">Reminder: </w:t>
      </w:r>
      <w:r w:rsidRPr="009B6798">
        <w:rPr>
          <w:caps/>
        </w:rPr>
        <w:t>Preparing for 2025 RxDC Reporting –</w:t>
      </w:r>
      <w:r w:rsidRPr="009B6798">
        <w:rPr>
          <w:caps/>
          <w:color w:val="0070C0"/>
        </w:rPr>
        <w:t xml:space="preserve"> </w:t>
      </w:r>
    </w:p>
    <w:p w14:paraId="34894352" w14:textId="77777777" w:rsidR="00F1262E" w:rsidRPr="00CA7C66" w:rsidRDefault="00F1262E" w:rsidP="00F1262E">
      <w:pPr>
        <w:pStyle w:val="MainSectionHead"/>
        <w:spacing w:before="0" w:after="0" w:line="240" w:lineRule="auto"/>
        <w:rPr>
          <w:caps/>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10E86760" w14:textId="77777777" w:rsidR="00F1262E" w:rsidRPr="00156B3D" w:rsidRDefault="00F1262E" w:rsidP="00F1262E">
      <w:pPr>
        <w:spacing w:after="0"/>
        <w:ind w:left="720"/>
      </w:pPr>
    </w:p>
    <w:p w14:paraId="3ED28566" w14:textId="77777777" w:rsidR="00F1262E" w:rsidRDefault="00F1262E" w:rsidP="00F1262E">
      <w:pPr>
        <w:rPr>
          <w:b/>
          <w:bCs/>
          <w:caps/>
          <w:noProof/>
          <w:color w:val="0070C0"/>
          <w:sz w:val="28"/>
          <w:szCs w:val="28"/>
        </w:rPr>
      </w:pPr>
      <w:r>
        <w:rPr>
          <w:b/>
          <w:bCs/>
          <w:caps/>
          <w:noProof/>
          <w:color w:val="0070C0"/>
          <w:sz w:val="28"/>
          <w:szCs w:val="28"/>
        </w:rPr>
        <w:t xml:space="preserve">New! </w:t>
      </w:r>
      <w:r w:rsidRPr="000D5D6E">
        <w:rPr>
          <w:b/>
          <w:bCs/>
          <w:caps/>
          <w:noProof/>
          <w:color w:val="0E425C"/>
          <w:sz w:val="28"/>
          <w:szCs w:val="28"/>
        </w:rPr>
        <w:t>DOL Rescinds 2024 Final Overtime Rule</w:t>
      </w:r>
    </w:p>
    <w:p w14:paraId="2D546463" w14:textId="77777777" w:rsidR="00F1262E" w:rsidRDefault="00F1262E" w:rsidP="00F1262E">
      <w:r w:rsidRPr="000D5D6E">
        <w:t xml:space="preserve">On May 14, 2026, the U.S. Department of Labor (DOL) announced a </w:t>
      </w:r>
      <w:hyperlink r:id="rId193" w:history="1">
        <w:r w:rsidRPr="00C3055A">
          <w:rPr>
            <w:rStyle w:val="Hyperlink"/>
          </w:rPr>
          <w:t>technical amendment</w:t>
        </w:r>
      </w:hyperlink>
      <w:r>
        <w:t xml:space="preserve"> </w:t>
      </w:r>
      <w:r w:rsidRPr="000D5D6E">
        <w:t xml:space="preserve">rescinding the department’s </w:t>
      </w:r>
      <w:hyperlink r:id="rId194" w:history="1">
        <w:r w:rsidRPr="00214307">
          <w:rPr>
            <w:rStyle w:val="Hyperlink"/>
          </w:rPr>
          <w:t>2024 final overtime rule</w:t>
        </w:r>
      </w:hyperlink>
      <w:r>
        <w:t xml:space="preserve">. </w:t>
      </w:r>
      <w:r w:rsidRPr="000D5D6E">
        <w:t>The DOL’s technical amendment</w:t>
      </w:r>
      <w:r w:rsidRPr="0029743C">
        <w:t xml:space="preserve"> formally </w:t>
      </w:r>
      <w:r w:rsidRPr="000D5D6E">
        <w:t>reinstates the pre-July 2024 salary threshold that white-collar employees must receive to qualify for the FLSA overtime exemption.</w:t>
      </w:r>
    </w:p>
    <w:p w14:paraId="199BE4A3" w14:textId="77777777" w:rsidR="00F1262E" w:rsidRPr="000D5D6E" w:rsidRDefault="00F1262E" w:rsidP="00F1262E">
      <w:pPr>
        <w:pStyle w:val="Heading2"/>
        <w:rPr>
          <w:color w:val="auto"/>
        </w:rPr>
      </w:pPr>
      <w:r w:rsidRPr="000D5D6E">
        <w:rPr>
          <w:color w:val="auto"/>
        </w:rPr>
        <w:t>2024 Final Rule</w:t>
      </w:r>
      <w:r>
        <w:rPr>
          <w:color w:val="auto"/>
        </w:rPr>
        <w:t xml:space="preserve"> - Timeline</w:t>
      </w:r>
    </w:p>
    <w:p w14:paraId="0C9EFD50" w14:textId="77777777" w:rsidR="00F1262E" w:rsidRDefault="00F1262E" w:rsidP="00F1262E">
      <w:r w:rsidRPr="000D5D6E">
        <w:t xml:space="preserve">On </w:t>
      </w:r>
      <w:r w:rsidRPr="0029743C">
        <w:t xml:space="preserve">April 26, </w:t>
      </w:r>
      <w:r w:rsidRPr="0029743C">
        <w:rPr>
          <w:b/>
          <w:bCs/>
        </w:rPr>
        <w:t>2024</w:t>
      </w:r>
      <w:r w:rsidRPr="0029743C">
        <w:t>,</w:t>
      </w:r>
      <w:r w:rsidRPr="000D5D6E">
        <w:t xml:space="preserve"> the DOL published a final rule amending the requirements that employees in white-collar occupations must satisfy to qualify for an FLSA overtime exemption.</w:t>
      </w:r>
    </w:p>
    <w:p w14:paraId="4A688D1A" w14:textId="77777777" w:rsidR="00F1262E" w:rsidRPr="000D5D6E" w:rsidRDefault="00F1262E" w:rsidP="00F1262E">
      <w:r w:rsidRPr="000D5D6E">
        <w:t>The</w:t>
      </w:r>
      <w:r>
        <w:t xml:space="preserve"> 2024</w:t>
      </w:r>
      <w:r w:rsidRPr="000D5D6E">
        <w:t xml:space="preserve"> final rule</w:t>
      </w:r>
      <w:r>
        <w:t xml:space="preserve"> was to</w:t>
      </w:r>
      <w:r w:rsidRPr="000D5D6E">
        <w:t xml:space="preserve"> increase the standard salary level, starting July 1, 2024, from:</w:t>
      </w:r>
    </w:p>
    <w:p w14:paraId="27F9EA46" w14:textId="77777777" w:rsidR="00F1262E" w:rsidRPr="000D5D6E" w:rsidRDefault="00F1262E" w:rsidP="00F1262E">
      <w:pPr>
        <w:pStyle w:val="ListParagraph"/>
        <w:tabs>
          <w:tab w:val="left" w:pos="630"/>
        </w:tabs>
        <w:spacing w:after="100" w:line="264" w:lineRule="auto"/>
        <w:ind w:left="630" w:hanging="216"/>
        <w:contextualSpacing w:val="0"/>
      </w:pPr>
      <w:r w:rsidRPr="000D5D6E">
        <w:rPr>
          <w:u w:val="single"/>
        </w:rPr>
        <w:t>$684</w:t>
      </w:r>
      <w:r w:rsidRPr="000D5D6E">
        <w:t xml:space="preserve"> to $844 per week ($35,568 to $43,888 per year) for EAP employees; and</w:t>
      </w:r>
    </w:p>
    <w:p w14:paraId="399D5260" w14:textId="77777777" w:rsidR="00F1262E" w:rsidRPr="001E2577" w:rsidRDefault="00F1262E" w:rsidP="00F1262E">
      <w:pPr>
        <w:pStyle w:val="ListParagraph"/>
        <w:tabs>
          <w:tab w:val="left" w:pos="630"/>
        </w:tabs>
        <w:spacing w:after="100" w:line="264" w:lineRule="auto"/>
        <w:ind w:left="630" w:hanging="216"/>
        <w:contextualSpacing w:val="0"/>
      </w:pPr>
      <w:r w:rsidRPr="000D5D6E">
        <w:rPr>
          <w:u w:val="single"/>
        </w:rPr>
        <w:t>$107,432</w:t>
      </w:r>
      <w:r w:rsidRPr="000D5D6E">
        <w:t xml:space="preserve"> to $132,964 per year for HCEs</w:t>
      </w:r>
      <w:r>
        <w:t xml:space="preserve"> </w:t>
      </w:r>
    </w:p>
    <w:p w14:paraId="636E09A2" w14:textId="77777777" w:rsidR="00F1262E" w:rsidRPr="00EC1D95" w:rsidRDefault="00F1262E" w:rsidP="00F1262E">
      <w:pPr>
        <w:tabs>
          <w:tab w:val="left" w:pos="288"/>
        </w:tabs>
        <w:spacing w:line="264" w:lineRule="auto"/>
        <w:rPr>
          <w:b/>
          <w:bCs/>
        </w:rPr>
      </w:pPr>
      <w:r w:rsidRPr="001E2577">
        <w:rPr>
          <w:b/>
          <w:bCs/>
        </w:rPr>
        <w:t xml:space="preserve">NOTE: Some states have higher </w:t>
      </w:r>
      <w:r>
        <w:rPr>
          <w:b/>
          <w:bCs/>
        </w:rPr>
        <w:t>minimum salary t</w:t>
      </w:r>
      <w:r w:rsidRPr="001E2577">
        <w:rPr>
          <w:b/>
          <w:bCs/>
        </w:rPr>
        <w:t>hresholds than the</w:t>
      </w:r>
      <w:r>
        <w:rPr>
          <w:b/>
          <w:bCs/>
        </w:rPr>
        <w:t>se</w:t>
      </w:r>
      <w:r w:rsidRPr="001E2577">
        <w:rPr>
          <w:b/>
          <w:bCs/>
        </w:rPr>
        <w:t xml:space="preserve"> </w:t>
      </w:r>
      <w:r>
        <w:rPr>
          <w:b/>
          <w:bCs/>
        </w:rPr>
        <w:t>f</w:t>
      </w:r>
      <w:r w:rsidRPr="001E2577">
        <w:rPr>
          <w:b/>
          <w:bCs/>
        </w:rPr>
        <w:t xml:space="preserve">ederal </w:t>
      </w:r>
      <w:r>
        <w:rPr>
          <w:b/>
          <w:bCs/>
        </w:rPr>
        <w:t>t</w:t>
      </w:r>
      <w:r w:rsidRPr="001E2577">
        <w:rPr>
          <w:b/>
          <w:bCs/>
        </w:rPr>
        <w:t>hresholds</w:t>
      </w:r>
    </w:p>
    <w:p w14:paraId="0F74871D" w14:textId="77777777" w:rsidR="00F1262E" w:rsidRPr="000D5D6E" w:rsidRDefault="00F1262E" w:rsidP="00F1262E">
      <w:r>
        <w:t>Then under the 2024 Rule,</w:t>
      </w:r>
      <w:r w:rsidRPr="000D5D6E">
        <w:t xml:space="preserve"> the standard salary level </w:t>
      </w:r>
      <w:r w:rsidRPr="00EC1D95">
        <w:rPr>
          <w:u w:val="single"/>
        </w:rPr>
        <w:t>was set to increase</w:t>
      </w:r>
      <w:r w:rsidRPr="000D5D6E">
        <w:t xml:space="preserve"> again </w:t>
      </w:r>
      <w:r>
        <w:t>on January 1, 2025</w:t>
      </w:r>
      <w:r w:rsidRPr="000D5D6E">
        <w:t>:</w:t>
      </w:r>
    </w:p>
    <w:p w14:paraId="04700F4C" w14:textId="77777777" w:rsidR="00F1262E" w:rsidRPr="000D5D6E" w:rsidRDefault="00F1262E" w:rsidP="00F1262E">
      <w:pPr>
        <w:pStyle w:val="ListParagraph"/>
        <w:tabs>
          <w:tab w:val="left" w:pos="630"/>
          <w:tab w:val="left" w:pos="720"/>
        </w:tabs>
        <w:spacing w:after="100" w:line="264" w:lineRule="auto"/>
        <w:ind w:left="630" w:hanging="216"/>
        <w:contextualSpacing w:val="0"/>
      </w:pPr>
      <w:r w:rsidRPr="000D5D6E">
        <w:t>$844 to $1,128 per week ($43,888 to $58,656 per year) for EAP employees; and</w:t>
      </w:r>
    </w:p>
    <w:p w14:paraId="5A078D15" w14:textId="77777777" w:rsidR="00F1262E" w:rsidRPr="000D5D6E" w:rsidRDefault="00F1262E" w:rsidP="00F1262E">
      <w:pPr>
        <w:pStyle w:val="ListParagraph"/>
        <w:tabs>
          <w:tab w:val="left" w:pos="630"/>
          <w:tab w:val="left" w:pos="720"/>
        </w:tabs>
        <w:spacing w:after="100" w:line="264" w:lineRule="auto"/>
        <w:ind w:left="630" w:hanging="216"/>
        <w:contextualSpacing w:val="0"/>
      </w:pPr>
      <w:r w:rsidRPr="000D5D6E">
        <w:t>$132,964 to $151,164 per year for HCEs.</w:t>
      </w:r>
    </w:p>
    <w:p w14:paraId="6EBC3A7D" w14:textId="77777777" w:rsidR="00F1262E" w:rsidRDefault="00F1262E" w:rsidP="00F1262E">
      <w:r>
        <w:t>As you may recall, o</w:t>
      </w:r>
      <w:r w:rsidRPr="000D5D6E">
        <w:t>n Nov</w:t>
      </w:r>
      <w:r>
        <w:t>ember</w:t>
      </w:r>
      <w:r w:rsidRPr="000D5D6E">
        <w:t xml:space="preserve"> 15, 2024, the U.S. District Court for the Eastern District of Texas vacated the DOL’s</w:t>
      </w:r>
      <w:r w:rsidRPr="00E6783F">
        <w:t> </w:t>
      </w:r>
      <w:hyperlink r:id="rId195" w:tgtFrame="_blank" w:history="1">
        <w:r w:rsidRPr="00E6783F">
          <w:rPr>
            <w:rStyle w:val="Hyperlink"/>
          </w:rPr>
          <w:t>final rule</w:t>
        </w:r>
      </w:hyperlink>
      <w:r>
        <w:t xml:space="preserve">, </w:t>
      </w:r>
      <w:r w:rsidRPr="000D5D6E">
        <w:t>which</w:t>
      </w:r>
      <w:r w:rsidRPr="000D5D6E">
        <w:rPr>
          <w:b/>
          <w:bCs/>
        </w:rPr>
        <w:t xml:space="preserve"> set aside the final rule’s increases t</w:t>
      </w:r>
      <w:r w:rsidRPr="000D5D6E">
        <w:rPr>
          <w:b/>
          <w:bCs/>
          <w:u w:val="single"/>
        </w:rPr>
        <w:t xml:space="preserve">o the standard salary level nationwide and returned the salary threshold to the pre-July 2024 </w:t>
      </w:r>
      <w:r>
        <w:rPr>
          <w:b/>
          <w:bCs/>
          <w:u w:val="single"/>
        </w:rPr>
        <w:t xml:space="preserve">(the 2019) </w:t>
      </w:r>
      <w:r w:rsidRPr="000D5D6E">
        <w:rPr>
          <w:b/>
          <w:bCs/>
          <w:u w:val="single"/>
        </w:rPr>
        <w:t>threshold</w:t>
      </w:r>
      <w:r w:rsidRPr="000D5D6E">
        <w:t xml:space="preserve"> (the above underlined salary amounts). </w:t>
      </w:r>
    </w:p>
    <w:p w14:paraId="461CC1C6" w14:textId="77777777" w:rsidR="00F1262E" w:rsidRDefault="00F1262E" w:rsidP="00F1262E">
      <w:r>
        <w:t>Then, o</w:t>
      </w:r>
      <w:r w:rsidRPr="000D5D6E">
        <w:t>n Nov</w:t>
      </w:r>
      <w:r>
        <w:t>ember</w:t>
      </w:r>
      <w:r w:rsidRPr="000D5D6E">
        <w:t xml:space="preserve"> 26, 2024, the DOL filed a notice of appeal seeking to overturn the District Court’s decision that vacated the DOL’s final rule. </w:t>
      </w:r>
    </w:p>
    <w:p w14:paraId="5842A637" w14:textId="77777777" w:rsidR="00F1262E" w:rsidRDefault="00F1262E" w:rsidP="00F1262E">
      <w:r>
        <w:t>Most recently o</w:t>
      </w:r>
      <w:r w:rsidRPr="000D5D6E">
        <w:t xml:space="preserve">n May 5, 2026, the DOL </w:t>
      </w:r>
      <w:r w:rsidRPr="0029743C">
        <w:t xml:space="preserve">agreed to dismiss its appeal of the District Court’s ruling vacating the 2024 final rule. </w:t>
      </w:r>
    </w:p>
    <w:p w14:paraId="0FEF6B4B" w14:textId="77777777" w:rsidR="00F1262E" w:rsidRDefault="00F1262E" w:rsidP="00F1262E">
      <w:r w:rsidRPr="000D5D6E">
        <w:rPr>
          <w:b/>
          <w:bCs/>
          <w:highlight w:val="lightGray"/>
        </w:rPr>
        <w:t>Employer Takeaway:</w:t>
      </w:r>
      <w:r>
        <w:t xml:space="preserve"> The DOL’s issuance of the technical amendment formally reinstates the pre-July 2024 salary thresholds that white-collar exempt positions must pay (the Salary Test) to qualify for the FLSA overtime exemption.</w:t>
      </w:r>
    </w:p>
    <w:p w14:paraId="6EF3D184" w14:textId="77777777" w:rsidR="00F1262E" w:rsidRDefault="00F1262E">
      <w:pPr>
        <w:pStyle w:val="ListParagraph"/>
        <w:numPr>
          <w:ilvl w:val="0"/>
          <w:numId w:val="343"/>
        </w:numPr>
        <w:spacing w:after="100" w:line="276" w:lineRule="auto"/>
      </w:pPr>
      <w:r>
        <w:t>E</w:t>
      </w:r>
      <w:r w:rsidRPr="0029743C">
        <w:t xml:space="preserve">xecutive, </w:t>
      </w:r>
      <w:r>
        <w:t>A</w:t>
      </w:r>
      <w:r w:rsidRPr="0029743C">
        <w:t xml:space="preserve">dministrative and </w:t>
      </w:r>
      <w:r>
        <w:t>P</w:t>
      </w:r>
      <w:r w:rsidRPr="0029743C">
        <w:t>rofessional exempt positions</w:t>
      </w:r>
      <w:r>
        <w:t xml:space="preserve"> meeting the Duties Test AND Salary Test of paying at least the minimum salary threshold</w:t>
      </w:r>
      <w:r w:rsidRPr="0029743C">
        <w:t xml:space="preserve"> </w:t>
      </w:r>
      <w:r>
        <w:t xml:space="preserve">of </w:t>
      </w:r>
      <w:r w:rsidRPr="0029743C">
        <w:t>$35,568 per year</w:t>
      </w:r>
    </w:p>
    <w:p w14:paraId="1AB9BAC7" w14:textId="77777777" w:rsidR="00F1262E" w:rsidRDefault="00F1262E">
      <w:pPr>
        <w:pStyle w:val="ListParagraph"/>
        <w:numPr>
          <w:ilvl w:val="0"/>
          <w:numId w:val="343"/>
        </w:numPr>
        <w:spacing w:after="100" w:line="276" w:lineRule="auto"/>
      </w:pPr>
      <w:r>
        <w:lastRenderedPageBreak/>
        <w:t>Separately for the Highly Compensated Employees (HCE) exemption, these classified employees must be paid at least a salary threshold of</w:t>
      </w:r>
      <w:r w:rsidRPr="0029743C">
        <w:t xml:space="preserve"> $107,432 per year</w:t>
      </w:r>
    </w:p>
    <w:p w14:paraId="623F27A7" w14:textId="77777777" w:rsidR="00F1262E" w:rsidRPr="00E74C5A" w:rsidRDefault="00F1262E" w:rsidP="00F1262E">
      <w:pPr>
        <w:rPr>
          <w:sz w:val="12"/>
          <w:szCs w:val="12"/>
        </w:rPr>
      </w:pPr>
    </w:p>
    <w:p w14:paraId="2BE116D3" w14:textId="77777777" w:rsidR="00F1262E" w:rsidRDefault="00F1262E" w:rsidP="00F1262E">
      <w:pPr>
        <w:rPr>
          <w:b/>
          <w:bCs/>
          <w:caps/>
          <w:noProof/>
          <w:color w:val="0E425C"/>
          <w:sz w:val="28"/>
          <w:szCs w:val="28"/>
        </w:rPr>
      </w:pPr>
      <w:r w:rsidRPr="002C23B3">
        <w:rPr>
          <w:b/>
          <w:bCs/>
          <w:caps/>
          <w:noProof/>
          <w:color w:val="0070C0"/>
          <w:sz w:val="28"/>
          <w:szCs w:val="28"/>
        </w:rPr>
        <w:t xml:space="preserve">New! </w:t>
      </w:r>
      <w:r>
        <w:rPr>
          <w:b/>
          <w:bCs/>
          <w:caps/>
          <w:noProof/>
          <w:color w:val="0E425C"/>
          <w:sz w:val="28"/>
          <w:szCs w:val="28"/>
        </w:rPr>
        <w:t>DOl Civil Penalty Amounts Remain Unchanged for 2026</w:t>
      </w:r>
    </w:p>
    <w:p w14:paraId="7535585E" w14:textId="77777777" w:rsidR="00F1262E" w:rsidRDefault="00F1262E" w:rsidP="00F1262E">
      <w:r w:rsidRPr="002C23B3">
        <w:t>Federal law requires agencies to adjust their civil money penalties for inflation, but due to a lapse in appropriations and data,</w:t>
      </w:r>
      <w:r>
        <w:t xml:space="preserve"> the DOL has cancelled</w:t>
      </w:r>
      <w:r w:rsidRPr="002C23B3">
        <w:t xml:space="preserve"> penalty </w:t>
      </w:r>
      <w:r>
        <w:t xml:space="preserve">inflation </w:t>
      </w:r>
      <w:r w:rsidRPr="002C23B3">
        <w:t>amounts</w:t>
      </w:r>
      <w:r>
        <w:t xml:space="preserve"> for 2026 for</w:t>
      </w:r>
      <w:r w:rsidRPr="002C23B3">
        <w:t xml:space="preserve"> employers that violate federal laws it enforces, such as the FLSA, ERISA, the FMLA and the OSH Act</w:t>
      </w:r>
      <w:r>
        <w:t xml:space="preserve">. As a result, penalty amounts will remain the same as 2025. </w:t>
      </w:r>
    </w:p>
    <w:p w14:paraId="1A8C0570" w14:textId="77777777" w:rsidR="00F1262E" w:rsidRPr="002C23B3" w:rsidRDefault="00F1262E" w:rsidP="00F1262E">
      <w:pPr>
        <w:rPr>
          <w:b/>
        </w:rPr>
      </w:pPr>
      <w:r>
        <w:rPr>
          <w:b/>
        </w:rPr>
        <w:t xml:space="preserve">2025 &amp; 2026 </w:t>
      </w:r>
      <w:r w:rsidRPr="002C23B3">
        <w:rPr>
          <w:b/>
        </w:rPr>
        <w:t>Penalty Amounts</w:t>
      </w:r>
      <w:r>
        <w:rPr>
          <w:b/>
        </w:rPr>
        <w:t xml:space="preserve"> </w:t>
      </w:r>
    </w:p>
    <w:p w14:paraId="08B953C3" w14:textId="77777777" w:rsidR="00F1262E" w:rsidRPr="002C23B3" w:rsidRDefault="00F1262E" w:rsidP="00F1262E">
      <w:r w:rsidRPr="002C23B3">
        <w:t>The following key penalty amounts remain in effect for both 2025 and 2026:</w:t>
      </w:r>
    </w:p>
    <w:p w14:paraId="48CF0A8C" w14:textId="77777777" w:rsidR="00F1262E" w:rsidRPr="002C23B3" w:rsidRDefault="00F1262E">
      <w:pPr>
        <w:pStyle w:val="ListParagraph"/>
        <w:numPr>
          <w:ilvl w:val="0"/>
          <w:numId w:val="344"/>
        </w:numPr>
        <w:spacing w:after="100" w:line="276" w:lineRule="auto"/>
      </w:pPr>
      <w:r w:rsidRPr="002C23B3">
        <w:rPr>
          <w:b/>
          <w:bCs/>
        </w:rPr>
        <w:t>FLSA violations:</w:t>
      </w:r>
      <w:r w:rsidRPr="002C23B3">
        <w:t xml:space="preserve"> Civil penalties of up to </w:t>
      </w:r>
      <w:r w:rsidRPr="002C23B3">
        <w:rPr>
          <w:b/>
          <w:bCs/>
        </w:rPr>
        <w:t>$2,515</w:t>
      </w:r>
      <w:r w:rsidRPr="002C23B3">
        <w:t xml:space="preserve"> per violation may be imposed for willful or repeated violations. For child labor violations, penalties may reach up to </w:t>
      </w:r>
      <w:r w:rsidRPr="002C23B3">
        <w:rPr>
          <w:b/>
          <w:bCs/>
        </w:rPr>
        <w:t>$16,035</w:t>
      </w:r>
      <w:r w:rsidRPr="002C23B3">
        <w:t xml:space="preserve"> per violation and </w:t>
      </w:r>
      <w:r w:rsidRPr="002C23B3">
        <w:rPr>
          <w:b/>
          <w:bCs/>
        </w:rPr>
        <w:t>$72,876</w:t>
      </w:r>
      <w:r w:rsidRPr="002C23B3">
        <w:t xml:space="preserve"> for each violation that causes death or serious injury of a minor employee (which may be doubled for willful or repeated violations, up to </w:t>
      </w:r>
      <w:r w:rsidRPr="002C23B3">
        <w:rPr>
          <w:b/>
          <w:bCs/>
        </w:rPr>
        <w:t>$145,752</w:t>
      </w:r>
      <w:r w:rsidRPr="002C23B3">
        <w:t xml:space="preserve">).  </w:t>
      </w:r>
    </w:p>
    <w:p w14:paraId="49D48B3A" w14:textId="77777777" w:rsidR="00F1262E" w:rsidRPr="002C23B3" w:rsidRDefault="00F1262E">
      <w:pPr>
        <w:pStyle w:val="ListParagraph"/>
        <w:numPr>
          <w:ilvl w:val="0"/>
          <w:numId w:val="344"/>
        </w:numPr>
        <w:spacing w:after="100" w:line="276" w:lineRule="auto"/>
      </w:pPr>
      <w:r w:rsidRPr="002C23B3">
        <w:rPr>
          <w:b/>
          <w:bCs/>
        </w:rPr>
        <w:t>Summary of Benefits and Coverage (SBC):</w:t>
      </w:r>
      <w:r w:rsidRPr="002C23B3">
        <w:t xml:space="preserve"> Failure to provide group health plan participants and beneficiaries with an SBC may result in a penalty of up to </w:t>
      </w:r>
      <w:r w:rsidRPr="002C23B3">
        <w:rPr>
          <w:b/>
          <w:bCs/>
        </w:rPr>
        <w:t xml:space="preserve">$1,443 </w:t>
      </w:r>
      <w:r w:rsidRPr="002C23B3">
        <w:t xml:space="preserve">per participant or beneficiary. </w:t>
      </w:r>
    </w:p>
    <w:p w14:paraId="79EE1F43" w14:textId="77777777" w:rsidR="00F1262E" w:rsidRPr="002C23B3" w:rsidRDefault="00F1262E">
      <w:pPr>
        <w:pStyle w:val="ListParagraph"/>
        <w:numPr>
          <w:ilvl w:val="0"/>
          <w:numId w:val="344"/>
        </w:numPr>
        <w:spacing w:after="100" w:line="276" w:lineRule="auto"/>
      </w:pPr>
      <w:r w:rsidRPr="002C23B3">
        <w:rPr>
          <w:b/>
          <w:bCs/>
        </w:rPr>
        <w:t>Form 5500 filings:</w:t>
      </w:r>
      <w:r w:rsidRPr="002C23B3">
        <w:t xml:space="preserve"> Failure to file an annual Form 5500 with the DOL can result in a penalty of up to </w:t>
      </w:r>
      <w:r w:rsidRPr="002C23B3">
        <w:rPr>
          <w:b/>
          <w:bCs/>
        </w:rPr>
        <w:t>$2,739</w:t>
      </w:r>
      <w:r w:rsidRPr="002C23B3">
        <w:t xml:space="preserve"> per day.</w:t>
      </w:r>
    </w:p>
    <w:p w14:paraId="3F323C75" w14:textId="77777777" w:rsidR="00F1262E" w:rsidRPr="002C23B3" w:rsidRDefault="00F1262E">
      <w:pPr>
        <w:pStyle w:val="ListParagraph"/>
        <w:numPr>
          <w:ilvl w:val="0"/>
          <w:numId w:val="344"/>
        </w:numPr>
        <w:spacing w:after="100" w:line="276" w:lineRule="auto"/>
      </w:pPr>
      <w:r w:rsidRPr="002C23B3">
        <w:rPr>
          <w:b/>
          <w:bCs/>
        </w:rPr>
        <w:t>FMLA notice:</w:t>
      </w:r>
      <w:r w:rsidRPr="002C23B3">
        <w:t xml:space="preserve"> Employers who willfully violate the FMLA posting requirement may face a penalty of up to </w:t>
      </w:r>
      <w:r w:rsidRPr="002C23B3">
        <w:rPr>
          <w:b/>
          <w:bCs/>
        </w:rPr>
        <w:t xml:space="preserve">$216 </w:t>
      </w:r>
      <w:r w:rsidRPr="002C23B3">
        <w:t>for each separate offense.</w:t>
      </w:r>
    </w:p>
    <w:p w14:paraId="05463CBC" w14:textId="77777777" w:rsidR="00F1262E" w:rsidRPr="002C23B3" w:rsidRDefault="00F1262E">
      <w:pPr>
        <w:pStyle w:val="ListParagraph"/>
        <w:numPr>
          <w:ilvl w:val="0"/>
          <w:numId w:val="344"/>
        </w:numPr>
        <w:spacing w:after="100" w:line="276" w:lineRule="auto"/>
      </w:pPr>
      <w:r w:rsidRPr="002C23B3">
        <w:rPr>
          <w:b/>
          <w:bCs/>
        </w:rPr>
        <w:t>Children’s Health Insurance Program (CHIP) notice:</w:t>
      </w:r>
      <w:r w:rsidRPr="002C23B3">
        <w:t xml:space="preserve"> Failure to provide the annual notice regarding CHIP coverage opportunities may result in a penalty of up to </w:t>
      </w:r>
      <w:r w:rsidRPr="002C23B3">
        <w:rPr>
          <w:b/>
          <w:bCs/>
        </w:rPr>
        <w:t>$145</w:t>
      </w:r>
      <w:r w:rsidRPr="002C23B3">
        <w:t xml:space="preserve"> per day (each employee is a separate violation). </w:t>
      </w:r>
    </w:p>
    <w:p w14:paraId="72949ECF" w14:textId="77777777" w:rsidR="00F1262E" w:rsidRPr="002C23B3" w:rsidRDefault="00F1262E">
      <w:pPr>
        <w:pStyle w:val="ListParagraph"/>
        <w:numPr>
          <w:ilvl w:val="0"/>
          <w:numId w:val="344"/>
        </w:numPr>
        <w:spacing w:after="100" w:line="276" w:lineRule="auto"/>
      </w:pPr>
      <w:r w:rsidRPr="002C23B3">
        <w:rPr>
          <w:b/>
          <w:bCs/>
        </w:rPr>
        <w:t>Failure to furnish DOL-requested plan information:</w:t>
      </w:r>
      <w:r w:rsidRPr="002C23B3">
        <w:t xml:space="preserve"> Penalties of up to </w:t>
      </w:r>
      <w:r w:rsidRPr="002C23B3">
        <w:rPr>
          <w:b/>
          <w:bCs/>
        </w:rPr>
        <w:t>$195</w:t>
      </w:r>
      <w:r w:rsidRPr="002C23B3">
        <w:t xml:space="preserve"> per day apply, not to exceed </w:t>
      </w:r>
      <w:r w:rsidRPr="002C23B3">
        <w:rPr>
          <w:b/>
          <w:bCs/>
        </w:rPr>
        <w:t>$1,956</w:t>
      </w:r>
      <w:r w:rsidRPr="002C23B3">
        <w:t xml:space="preserve"> per request. </w:t>
      </w:r>
    </w:p>
    <w:p w14:paraId="4A9D52F9" w14:textId="77777777" w:rsidR="00F1262E" w:rsidRPr="002C23B3" w:rsidRDefault="00F1262E">
      <w:pPr>
        <w:pStyle w:val="ListParagraph"/>
        <w:numPr>
          <w:ilvl w:val="0"/>
          <w:numId w:val="344"/>
        </w:numPr>
        <w:spacing w:after="100" w:line="276" w:lineRule="auto"/>
      </w:pPr>
      <w:r w:rsidRPr="002C23B3">
        <w:rPr>
          <w:b/>
          <w:bCs/>
        </w:rPr>
        <w:t>OSH Act:</w:t>
      </w:r>
      <w:r w:rsidRPr="002C23B3">
        <w:t xml:space="preserve"> Civil penalties range from no penalty for de minimis violations to up to </w:t>
      </w:r>
      <w:r w:rsidRPr="002C23B3">
        <w:rPr>
          <w:b/>
          <w:bCs/>
        </w:rPr>
        <w:t>$16,550</w:t>
      </w:r>
      <w:r w:rsidRPr="002C23B3">
        <w:t xml:space="preserve"> per violation for serious, other-than-serious or uncorrected violations. Willful or repeat violations carry penalties between </w:t>
      </w:r>
      <w:r w:rsidRPr="002C23B3">
        <w:rPr>
          <w:b/>
          <w:bCs/>
        </w:rPr>
        <w:t>$11,823</w:t>
      </w:r>
      <w:r w:rsidRPr="002C23B3">
        <w:t xml:space="preserve"> and </w:t>
      </w:r>
      <w:r w:rsidRPr="002C23B3">
        <w:rPr>
          <w:b/>
          <w:bCs/>
        </w:rPr>
        <w:t>$165,514</w:t>
      </w:r>
      <w:r w:rsidRPr="002C23B3">
        <w:t xml:space="preserve"> per violation.</w:t>
      </w:r>
    </w:p>
    <w:p w14:paraId="10850A54" w14:textId="77777777" w:rsidR="00F1262E" w:rsidRPr="00652DB1" w:rsidRDefault="00F1262E" w:rsidP="00F1262E">
      <w:pPr>
        <w:rPr>
          <w:sz w:val="12"/>
          <w:szCs w:val="12"/>
        </w:rPr>
      </w:pPr>
    </w:p>
    <w:p w14:paraId="5AE9F342" w14:textId="77777777" w:rsidR="00F1262E" w:rsidRDefault="00F1262E" w:rsidP="00F1262E">
      <w:pPr>
        <w:spacing w:after="0"/>
        <w:rPr>
          <w:b/>
          <w:bCs/>
          <w:caps/>
          <w:noProof/>
          <w:color w:val="0070C0"/>
          <w:sz w:val="28"/>
          <w:szCs w:val="28"/>
        </w:rPr>
      </w:pPr>
      <w:r>
        <w:rPr>
          <w:b/>
          <w:bCs/>
          <w:caps/>
          <w:noProof/>
          <w:color w:val="0070C0"/>
          <w:sz w:val="28"/>
          <w:szCs w:val="28"/>
        </w:rPr>
        <w:t>New!</w:t>
      </w:r>
      <w:r w:rsidRPr="00CF68A7">
        <w:rPr>
          <w:b/>
          <w:bCs/>
          <w:caps/>
          <w:noProof/>
          <w:color w:val="0E425C"/>
          <w:sz w:val="28"/>
          <w:szCs w:val="28"/>
        </w:rPr>
        <w:t xml:space="preserve"> IRS Releases ACA Pay-or-Play Penalties for 2027</w:t>
      </w:r>
      <w:r>
        <w:rPr>
          <w:b/>
          <w:bCs/>
          <w:caps/>
          <w:noProof/>
          <w:color w:val="0E425C"/>
          <w:sz w:val="28"/>
          <w:szCs w:val="28"/>
        </w:rPr>
        <w:t xml:space="preserve"> &amp; Changes to Essential Health Benefits</w:t>
      </w:r>
    </w:p>
    <w:p w14:paraId="5C261466" w14:textId="77777777" w:rsidR="00F1262E" w:rsidRDefault="00F1262E" w:rsidP="00F1262E">
      <w:pPr>
        <w:spacing w:after="0"/>
      </w:pPr>
      <w:r w:rsidRPr="00692368">
        <w:t>On May 4, 2026, the IRS</w:t>
      </w:r>
      <w:r>
        <w:t xml:space="preserve"> </w:t>
      </w:r>
      <w:hyperlink r:id="rId196" w:history="1">
        <w:r w:rsidRPr="00670D09">
          <w:rPr>
            <w:rStyle w:val="Hyperlink"/>
          </w:rPr>
          <w:t>released</w:t>
        </w:r>
      </w:hyperlink>
      <w:r>
        <w:t xml:space="preserve"> </w:t>
      </w:r>
      <w:r w:rsidRPr="00692368">
        <w:t xml:space="preserve">updated penalty amounts for 2027 related to the employer shared responsibility (“pay-or-play”) rules under the Affordable Care Act (ACA). For calendar year 2027, the adjusted $2,000 penalty amount is </w:t>
      </w:r>
      <w:r w:rsidRPr="00692368">
        <w:rPr>
          <w:b/>
          <w:bCs/>
        </w:rPr>
        <w:t>$3,780</w:t>
      </w:r>
      <w:r w:rsidRPr="00692368">
        <w:t xml:space="preserve">, and the adjusted $3,000 penalty amount is </w:t>
      </w:r>
      <w:r w:rsidRPr="00692368">
        <w:rPr>
          <w:b/>
          <w:bCs/>
        </w:rPr>
        <w:t>$5,670</w:t>
      </w:r>
      <w:r w:rsidRPr="00692368">
        <w:t xml:space="preserve">. This is an increase from the penalty amounts for the 2026 calendar year, which are $3,340 and $5,010, respectively. ALEs should consider these penalty amounts when reviewing their health plan coverage for each year. </w:t>
      </w:r>
    </w:p>
    <w:p w14:paraId="3BE97CB3" w14:textId="77777777" w:rsidR="00F1262E" w:rsidRPr="00E74C5A" w:rsidRDefault="00F1262E" w:rsidP="00F1262E">
      <w:pPr>
        <w:spacing w:after="0"/>
        <w:rPr>
          <w:sz w:val="12"/>
          <w:szCs w:val="12"/>
        </w:rPr>
      </w:pPr>
    </w:p>
    <w:p w14:paraId="0761AB3C" w14:textId="77777777" w:rsidR="00F1262E" w:rsidRPr="007C2269" w:rsidRDefault="00F1262E" w:rsidP="00F1262E">
      <w:pPr>
        <w:spacing w:after="0"/>
      </w:pPr>
      <w:r>
        <w:t>Additionally, t</w:t>
      </w:r>
      <w:r w:rsidRPr="007C2269">
        <w:t>he U.S. Department of Health and Human Services (HHS) has issued the </w:t>
      </w:r>
      <w:hyperlink r:id="rId197" w:tgtFrame="_blank" w:tooltip="https://public-inspection.federalregister.gov/2026-10050.pdf" w:history="1">
        <w:r w:rsidRPr="007C2269">
          <w:rPr>
            <w:rStyle w:val="Hyperlink"/>
          </w:rPr>
          <w:t>2027 Notice of Benefit and Payment Parameters</w:t>
        </w:r>
      </w:hyperlink>
      <w:r w:rsidRPr="007C2269">
        <w:t> (NBPP) Final Rule, which includes significant changes affecting </w:t>
      </w:r>
      <w:hyperlink r:id="rId198" w:tgtFrame="_blank" w:tooltip="https://apps.trustmineral.com/hr-compliance/laws/mC5hAMhttkxdlGPzUsluxL/details" w:history="1">
        <w:r w:rsidRPr="007C2269">
          <w:rPr>
            <w:rStyle w:val="Hyperlink"/>
          </w:rPr>
          <w:t>essential health benefits</w:t>
        </w:r>
      </w:hyperlink>
      <w:r w:rsidRPr="007C2269">
        <w:t> (EHBs), state-mandated benefits, and Marketplace coverage under the Affordable Care Act (ACA).</w:t>
      </w:r>
    </w:p>
    <w:p w14:paraId="48F2C5DB" w14:textId="77777777" w:rsidR="00F1262E" w:rsidRDefault="00F1262E" w:rsidP="00F1262E">
      <w:pPr>
        <w:spacing w:after="0"/>
      </w:pPr>
      <w:r w:rsidRPr="007C2269">
        <w:t xml:space="preserve">While insurance carriers generally handle legal compliance for fully insured plans, employees may still have questions for their employer about changes to plan coverage. For self-funded and large group </w:t>
      </w:r>
      <w:proofErr w:type="gramStart"/>
      <w:r w:rsidRPr="007C2269">
        <w:t>plans—</w:t>
      </w:r>
      <w:proofErr w:type="gramEnd"/>
      <w:r w:rsidRPr="007C2269">
        <w:t>even those that use a third-party administrator (</w:t>
      </w:r>
      <w:proofErr w:type="gramStart"/>
      <w:r w:rsidRPr="007C2269">
        <w:t>TPA)—</w:t>
      </w:r>
      <w:proofErr w:type="gramEnd"/>
      <w:r w:rsidRPr="007C2269">
        <w:t>employers remain responsible for understanding the legal limits of plan design and applicable ACA compliance requirements.</w:t>
      </w:r>
    </w:p>
    <w:p w14:paraId="249D5114" w14:textId="77777777" w:rsidR="00F1262E" w:rsidRPr="00E74C5A" w:rsidRDefault="00F1262E" w:rsidP="00F1262E">
      <w:pPr>
        <w:spacing w:after="0"/>
        <w:rPr>
          <w:b/>
          <w:bCs/>
          <w:sz w:val="12"/>
          <w:szCs w:val="12"/>
        </w:rPr>
      </w:pPr>
    </w:p>
    <w:p w14:paraId="423C4308" w14:textId="77777777" w:rsidR="00F1262E" w:rsidRPr="007C2269" w:rsidRDefault="00F1262E" w:rsidP="00F1262E">
      <w:pPr>
        <w:spacing w:after="0"/>
        <w:rPr>
          <w:b/>
          <w:bCs/>
        </w:rPr>
      </w:pPr>
      <w:r w:rsidRPr="007C2269">
        <w:rPr>
          <w:b/>
          <w:bCs/>
        </w:rPr>
        <w:t>Notable Changes</w:t>
      </w:r>
    </w:p>
    <w:p w14:paraId="1CE470C9" w14:textId="77777777" w:rsidR="00F1262E" w:rsidRPr="007C2269" w:rsidRDefault="00F1262E" w:rsidP="00F1262E">
      <w:pPr>
        <w:spacing w:after="0"/>
      </w:pPr>
      <w:r w:rsidRPr="007C2269">
        <w:lastRenderedPageBreak/>
        <w:t>Changes that employers should be aware of for plan years beginning in 2027 include the following:</w:t>
      </w:r>
    </w:p>
    <w:p w14:paraId="02C7918F" w14:textId="77777777" w:rsidR="00F1262E" w:rsidRPr="007C2269" w:rsidRDefault="00F1262E">
      <w:pPr>
        <w:numPr>
          <w:ilvl w:val="0"/>
          <w:numId w:val="345"/>
        </w:numPr>
        <w:spacing w:after="0" w:line="276" w:lineRule="auto"/>
      </w:pPr>
      <w:r w:rsidRPr="007C2269">
        <w:rPr>
          <w:b/>
          <w:bCs/>
        </w:rPr>
        <w:t>Routine adult dental services:</w:t>
      </w:r>
      <w:r w:rsidRPr="007C2269">
        <w:t> The final rule reverses prior guidance that would have allowed routine non-pediatric dental services (i.e., adult dental benefits) to be treated as EHBs. Under the final rule, issuers cannot include routine adult dental services as EHBs.</w:t>
      </w:r>
    </w:p>
    <w:p w14:paraId="3D27D9D1" w14:textId="77777777" w:rsidR="00F1262E" w:rsidRPr="007C2269" w:rsidRDefault="00F1262E">
      <w:pPr>
        <w:numPr>
          <w:ilvl w:val="0"/>
          <w:numId w:val="345"/>
        </w:numPr>
        <w:spacing w:after="0" w:line="276" w:lineRule="auto"/>
      </w:pPr>
      <w:r w:rsidRPr="007C2269">
        <w:rPr>
          <w:b/>
          <w:bCs/>
        </w:rPr>
        <w:t>Premium tax credit and Marketplace verification changes:</w:t>
      </w:r>
      <w:r w:rsidRPr="007C2269">
        <w:t> The final rule revises certain Marketplace eligibility, premium tax credit (PTC), and verification procedures. These changes may affect employees purchasing individual market coverage, including employees participating in </w:t>
      </w:r>
      <w:hyperlink r:id="rId199" w:tgtFrame="_blank" w:tooltip="https://apps.trustmineral.com/hr-compliance/laws/5sztgnpMjr0Ze9xDAYjBWG/details" w:history="1">
        <w:r w:rsidRPr="007C2269">
          <w:rPr>
            <w:rStyle w:val="Hyperlink"/>
          </w:rPr>
          <w:t>individual coverage health reimbursement arrangements</w:t>
        </w:r>
      </w:hyperlink>
      <w:r w:rsidRPr="007C2269">
        <w:t> (ICHRAs) or </w:t>
      </w:r>
      <w:hyperlink r:id="rId200" w:tgtFrame="_blank" w:tooltip="https://apps.trustmineral.com/hr-compliance/laws/N5Bwa8MZrsOsloa4KHPiC/details" w:history="1">
        <w:r w:rsidRPr="007C2269">
          <w:rPr>
            <w:rStyle w:val="Hyperlink"/>
          </w:rPr>
          <w:t>qualified small employer health reimbursement arrangements</w:t>
        </w:r>
      </w:hyperlink>
      <w:r w:rsidRPr="007C2269">
        <w:t> (QSEHRAs).</w:t>
      </w:r>
    </w:p>
    <w:p w14:paraId="3CDBE99D" w14:textId="77777777" w:rsidR="00F1262E" w:rsidRPr="00E74C5A" w:rsidRDefault="00F1262E" w:rsidP="00F1262E">
      <w:pPr>
        <w:spacing w:after="0"/>
        <w:rPr>
          <w:sz w:val="12"/>
          <w:szCs w:val="12"/>
        </w:rPr>
      </w:pPr>
    </w:p>
    <w:p w14:paraId="5B9E0FD7" w14:textId="77777777" w:rsidR="00F1262E" w:rsidRPr="007C2269" w:rsidRDefault="00F1262E" w:rsidP="00F1262E">
      <w:pPr>
        <w:spacing w:after="0"/>
      </w:pPr>
      <w:r w:rsidRPr="007C2269">
        <w:rPr>
          <w:b/>
          <w:bCs/>
        </w:rPr>
        <w:t>Employer Takeaways:</w:t>
      </w:r>
      <w:r>
        <w:t xml:space="preserve"> </w:t>
      </w:r>
      <w:r w:rsidRPr="007C2269">
        <w:t xml:space="preserve">Employers </w:t>
      </w:r>
      <w:r>
        <w:t xml:space="preserve">are encouraged to </w:t>
      </w:r>
      <w:r w:rsidRPr="007C2269">
        <w:t>work with their carriers, brokers, or TPAs to:</w:t>
      </w:r>
    </w:p>
    <w:p w14:paraId="59D282D8" w14:textId="77777777" w:rsidR="00F1262E" w:rsidRPr="007C2269" w:rsidRDefault="00F1262E">
      <w:pPr>
        <w:numPr>
          <w:ilvl w:val="0"/>
          <w:numId w:val="346"/>
        </w:numPr>
        <w:spacing w:after="0" w:line="276" w:lineRule="auto"/>
      </w:pPr>
      <w:r w:rsidRPr="007C2269">
        <w:t xml:space="preserve">Determine whether plan communications or participant materials need to be updated, including any references to routine adult dental </w:t>
      </w:r>
      <w:proofErr w:type="gramStart"/>
      <w:r w:rsidRPr="007C2269">
        <w:t>services</w:t>
      </w:r>
      <w:proofErr w:type="gramEnd"/>
      <w:r w:rsidRPr="007C2269">
        <w:t xml:space="preserve"> as EHBs.</w:t>
      </w:r>
    </w:p>
    <w:p w14:paraId="7BF28D34" w14:textId="77777777" w:rsidR="00F1262E" w:rsidRPr="00652DB1" w:rsidRDefault="00F1262E">
      <w:pPr>
        <w:numPr>
          <w:ilvl w:val="0"/>
          <w:numId w:val="346"/>
        </w:numPr>
        <w:spacing w:after="0" w:line="276" w:lineRule="auto"/>
      </w:pPr>
      <w:r w:rsidRPr="007C2269">
        <w:t>Monitor how Marketplace eligibility and premium tax credit verification changes may affect employees purchasing individual market coverage, including employees participating in ICHRAs or QSEHRAs.</w:t>
      </w:r>
    </w:p>
    <w:p w14:paraId="232003F2" w14:textId="77777777" w:rsidR="00F1262E" w:rsidRDefault="00F1262E" w:rsidP="00F1262E">
      <w:pPr>
        <w:spacing w:after="0"/>
      </w:pPr>
      <w:r w:rsidRPr="00924FED">
        <w:rPr>
          <w:b/>
          <w:bCs/>
          <w:caps/>
          <w:noProof/>
          <w:color w:val="0070C0"/>
          <w:sz w:val="28"/>
          <w:szCs w:val="28"/>
        </w:rPr>
        <w:t>New!</w:t>
      </w:r>
      <w:r w:rsidRPr="00924FED">
        <w:rPr>
          <w:b/>
          <w:bCs/>
          <w:caps/>
          <w:noProof/>
          <w:color w:val="0E425C"/>
          <w:sz w:val="28"/>
          <w:szCs w:val="28"/>
        </w:rPr>
        <w:t xml:space="preserve"> IRS Releases FAQs on Educational Assistance Programs</w:t>
      </w:r>
    </w:p>
    <w:p w14:paraId="1E441EBA" w14:textId="77777777" w:rsidR="00F1262E" w:rsidRPr="00924FED" w:rsidRDefault="00F1262E" w:rsidP="00F1262E">
      <w:pPr>
        <w:spacing w:after="0"/>
      </w:pPr>
      <w:r w:rsidRPr="00924FED">
        <w:t>Recently, the IRS issued </w:t>
      </w:r>
      <w:hyperlink r:id="rId201" w:tgtFrame="_blank" w:history="1">
        <w:r w:rsidRPr="00924FED">
          <w:rPr>
            <w:rStyle w:val="Hyperlink"/>
          </w:rPr>
          <w:t>Fact Sheet 2026-10</w:t>
        </w:r>
      </w:hyperlink>
      <w:r w:rsidRPr="00924FED">
        <w:t>, which provides FAQs about educational assistance programs and an updated sample program document. This fact sheet supersedes the IRS’ 2024 FAQs in </w:t>
      </w:r>
      <w:hyperlink r:id="rId202" w:tgtFrame="_blank" w:history="1">
        <w:r w:rsidRPr="00924FED">
          <w:rPr>
            <w:rStyle w:val="Hyperlink"/>
          </w:rPr>
          <w:t>Fact Sheet 2024-22</w:t>
        </w:r>
      </w:hyperlink>
      <w:r w:rsidRPr="00924FED">
        <w:t>. Note that FAQs are merely informal guidance and non-precedential.</w:t>
      </w:r>
    </w:p>
    <w:p w14:paraId="365B87CF" w14:textId="77777777" w:rsidR="00F1262E" w:rsidRPr="005E4403" w:rsidRDefault="00F1262E" w:rsidP="00F1262E">
      <w:pPr>
        <w:spacing w:after="0"/>
        <w:rPr>
          <w:sz w:val="12"/>
          <w:szCs w:val="12"/>
        </w:rPr>
      </w:pPr>
    </w:p>
    <w:p w14:paraId="7075D98D" w14:textId="77777777" w:rsidR="00F1262E" w:rsidRPr="00924FED" w:rsidRDefault="00F1262E" w:rsidP="00F1262E">
      <w:pPr>
        <w:spacing w:after="0"/>
      </w:pPr>
      <w:r w:rsidRPr="00924FED">
        <w:t>The 2026 FAQs also include the following noteworthy changes:</w:t>
      </w:r>
    </w:p>
    <w:p w14:paraId="7427EFC1" w14:textId="77777777" w:rsidR="00F1262E" w:rsidRPr="00924FED" w:rsidRDefault="00F1262E">
      <w:pPr>
        <w:numPr>
          <w:ilvl w:val="0"/>
          <w:numId w:val="342"/>
        </w:numPr>
        <w:spacing w:after="0" w:line="276" w:lineRule="auto"/>
      </w:pPr>
      <w:r w:rsidRPr="00924FED">
        <w:t>For educational expenses other than Student Loans, the 2024 FAQs required that “expenses must be paid by the employee in the same calendar year for which reimbursement is made by the employer.”  The sample program document had similar language. </w:t>
      </w:r>
      <w:r>
        <w:t>T</w:t>
      </w:r>
      <w:r w:rsidRPr="00924FED">
        <w:t xml:space="preserve">he 2026 fact sheet revises the statement to say that expenses merely “must not have been incurred prior to </w:t>
      </w:r>
      <w:proofErr w:type="gramStart"/>
      <w:r w:rsidRPr="00924FED">
        <w:t>employment.”</w:t>
      </w:r>
      <w:proofErr w:type="gramEnd"/>
    </w:p>
    <w:p w14:paraId="3B25B0EE" w14:textId="77777777" w:rsidR="00F1262E" w:rsidRPr="005E4403" w:rsidRDefault="00F1262E" w:rsidP="00F1262E">
      <w:pPr>
        <w:spacing w:after="0"/>
        <w:rPr>
          <w:sz w:val="12"/>
          <w:szCs w:val="12"/>
        </w:rPr>
      </w:pPr>
    </w:p>
    <w:p w14:paraId="30017101" w14:textId="77777777" w:rsidR="00F1262E" w:rsidRPr="00924FED" w:rsidRDefault="00F1262E" w:rsidP="00F1262E">
      <w:pPr>
        <w:spacing w:after="0"/>
      </w:pPr>
      <w:r w:rsidRPr="00924FED">
        <w:t>Neither the Code nor the Regulations imposed the timing restrictions that the 2024 FAQs noted. Many employers reimburse educational expenses in the calendar year after the employee paid them. The employer reimburses the course once the employee has received the grade or completed the course in the beginning on year 2. The 2024 FAQs could be interpreted to imply that this expense would be ineligible for tax-free reimbursement. </w:t>
      </w:r>
      <w:r>
        <w:t>T</w:t>
      </w:r>
      <w:r w:rsidRPr="00924FED">
        <w:t>he clarification in the 2026 FAQs is a welcome clarification of the IRS’ interpretation of the timing rule.</w:t>
      </w:r>
    </w:p>
    <w:p w14:paraId="42590556" w14:textId="77777777" w:rsidR="00F1262E" w:rsidRPr="00924FED" w:rsidRDefault="00F1262E">
      <w:pPr>
        <w:numPr>
          <w:ilvl w:val="0"/>
          <w:numId w:val="342"/>
        </w:numPr>
        <w:spacing w:after="0" w:line="276" w:lineRule="auto"/>
      </w:pPr>
      <w:r w:rsidRPr="00924FED">
        <w:t>The 2026 FAQs clarify that, unlike other expenses, an employee may incur Student Loan expenses prior to employment. For example, the employee incurred the loan while in college in 2000 and is still making Student Loan payments in 2026. The employer can reimburse/pay the Student Loan payments in 2026.</w:t>
      </w:r>
    </w:p>
    <w:p w14:paraId="6C2E8324" w14:textId="77777777" w:rsidR="00F1262E" w:rsidRPr="00924FED" w:rsidRDefault="00F1262E">
      <w:pPr>
        <w:numPr>
          <w:ilvl w:val="0"/>
          <w:numId w:val="342"/>
        </w:numPr>
        <w:spacing w:after="0" w:line="276" w:lineRule="auto"/>
      </w:pPr>
      <w:r w:rsidRPr="00924FED">
        <w:t> The 2026 FAQs revised language from the 2024 FAQs to make clear that the employer “must” (rather than “can”) inform the employees about the program and its terms. </w:t>
      </w:r>
    </w:p>
    <w:p w14:paraId="4F69E02F" w14:textId="77777777" w:rsidR="00F1262E" w:rsidRPr="00924FED" w:rsidRDefault="00F1262E">
      <w:pPr>
        <w:numPr>
          <w:ilvl w:val="0"/>
          <w:numId w:val="342"/>
        </w:numPr>
        <w:spacing w:after="0" w:line="276" w:lineRule="auto"/>
      </w:pPr>
      <w:r w:rsidRPr="00924FED">
        <w:t>The 2026 FAQs reflect the OBBBA indexing provision, beginning in 2027.</w:t>
      </w:r>
    </w:p>
    <w:p w14:paraId="07DFAC69" w14:textId="7183B454" w:rsidR="00F1262E" w:rsidRPr="00F1262E" w:rsidRDefault="00F1262E">
      <w:pPr>
        <w:numPr>
          <w:ilvl w:val="0"/>
          <w:numId w:val="342"/>
        </w:numPr>
        <w:spacing w:after="0" w:line="276" w:lineRule="auto"/>
      </w:pPr>
      <w:r w:rsidRPr="00924FED">
        <w:t xml:space="preserve">The 2026 FAQs clarify that the Code section 132 working condition fringe benefit exclusion for certain educational expenses is a benefit that, had the employee paid for it, the employee could deduct as an employee business expense in relation to the employer’s trade or business. </w:t>
      </w:r>
    </w:p>
    <w:p w14:paraId="2BB3AB52" w14:textId="477B3583" w:rsidR="00F1262E" w:rsidRPr="00F1262E" w:rsidRDefault="00F1262E" w:rsidP="00F1262E">
      <w:pPr>
        <w:rPr>
          <w:b/>
          <w:bCs/>
          <w:caps/>
          <w:noProof/>
          <w:color w:val="0E425C"/>
          <w:sz w:val="28"/>
          <w:szCs w:val="28"/>
        </w:rPr>
      </w:pPr>
      <w:r w:rsidRPr="00156B3D">
        <w:rPr>
          <w:b/>
          <w:bCs/>
          <w:caps/>
          <w:noProof/>
          <w:color w:val="0E425C"/>
          <w:sz w:val="28"/>
          <w:szCs w:val="28"/>
        </w:rPr>
        <w:t>Reminder</w:t>
      </w:r>
      <w:r>
        <w:rPr>
          <w:b/>
          <w:bCs/>
          <w:caps/>
          <w:noProof/>
          <w:color w:val="0E425C"/>
          <w:sz w:val="28"/>
          <w:szCs w:val="28"/>
        </w:rPr>
        <w:t>:</w:t>
      </w:r>
      <w:r w:rsidRPr="00582B5D">
        <w:rPr>
          <w:b/>
          <w:bCs/>
          <w:caps/>
          <w:noProof/>
          <w:color w:val="0070C0"/>
          <w:sz w:val="28"/>
          <w:szCs w:val="28"/>
        </w:rPr>
        <w:t xml:space="preserve">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45F88664" w14:textId="526AEAE7" w:rsidR="00F1262E" w:rsidRDefault="00865E7B" w:rsidP="00865E7B">
      <w:pPr>
        <w:pStyle w:val="BodyText"/>
        <w:tabs>
          <w:tab w:val="left" w:pos="1055"/>
        </w:tabs>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ab/>
      </w:r>
    </w:p>
    <w:p w14:paraId="2F275C00" w14:textId="0DEFDCDB" w:rsidR="00FE503A" w:rsidRPr="00FE503A" w:rsidRDefault="00FE503A" w:rsidP="008F584F">
      <w:pPr>
        <w:pStyle w:val="BodyText"/>
        <w:spacing w:after="0" w:line="240" w:lineRule="auto"/>
        <w:ind w:right="274"/>
        <w:rPr>
          <w:rFonts w:eastAsiaTheme="minorHAnsi" w:cs="Calibri"/>
          <w:b/>
          <w:bCs/>
          <w:color w:val="C00000"/>
          <w:kern w:val="36"/>
          <w:sz w:val="28"/>
          <w:szCs w:val="28"/>
        </w:rPr>
      </w:pPr>
      <w:r w:rsidRPr="00FE503A">
        <w:rPr>
          <w:rFonts w:eastAsiaTheme="minorHAnsi" w:cs="Calibri"/>
          <w:b/>
          <w:bCs/>
          <w:color w:val="C00000"/>
          <w:kern w:val="36"/>
          <w:sz w:val="28"/>
          <w:szCs w:val="28"/>
        </w:rPr>
        <w:t>April 2026 Alerts/Reminders:</w:t>
      </w:r>
    </w:p>
    <w:p w14:paraId="4F60820B" w14:textId="77777777" w:rsidR="00906C4C" w:rsidRPr="009B6798" w:rsidRDefault="00906C4C" w:rsidP="00906C4C">
      <w:pPr>
        <w:pStyle w:val="MainSectionHead"/>
        <w:spacing w:before="0" w:after="0" w:line="240" w:lineRule="auto"/>
        <w:rPr>
          <w:caps/>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sidRPr="009A18DC">
        <w:rPr>
          <w:caps/>
          <w:color w:val="0070C0"/>
        </w:rPr>
        <w:t>April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May</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4469C60C" w14:textId="77777777" w:rsidR="00906C4C" w:rsidRPr="00906C4C" w:rsidRDefault="00906C4C" w:rsidP="00906C4C">
      <w:pPr>
        <w:pStyle w:val="MainSectionHead"/>
        <w:spacing w:before="0" w:after="0" w:line="240" w:lineRule="auto"/>
        <w:rPr>
          <w:caps/>
          <w:sz w:val="12"/>
          <w:szCs w:val="12"/>
        </w:rPr>
      </w:pPr>
    </w:p>
    <w:p w14:paraId="28DFA356" w14:textId="77777777" w:rsidR="00906C4C" w:rsidRDefault="00906C4C" w:rsidP="00906C4C">
      <w:pPr>
        <w:pStyle w:val="MainSectionHead"/>
        <w:spacing w:before="0" w:after="0" w:line="240" w:lineRule="auto"/>
        <w:rPr>
          <w:caps/>
          <w:color w:val="0070C0"/>
        </w:rPr>
      </w:pPr>
      <w:r w:rsidRPr="00AB5D31">
        <w:rPr>
          <w:caps/>
          <w:color w:val="0070C0"/>
        </w:rPr>
        <w:lastRenderedPageBreak/>
        <w:t xml:space="preserve">Reminder: </w:t>
      </w:r>
      <w:r w:rsidRPr="009B6798">
        <w:rPr>
          <w:caps/>
        </w:rPr>
        <w:t>Preparing for 2025 RxDC Reporting –</w:t>
      </w:r>
      <w:r w:rsidRPr="009B6798">
        <w:rPr>
          <w:caps/>
          <w:color w:val="0070C0"/>
        </w:rPr>
        <w:t xml:space="preserve"> </w:t>
      </w:r>
    </w:p>
    <w:p w14:paraId="12661DD5" w14:textId="4B049706" w:rsidR="00906C4C" w:rsidRDefault="00906C4C" w:rsidP="00906C4C">
      <w:pPr>
        <w:pStyle w:val="MainSectionHead"/>
        <w:spacing w:before="0" w:after="0" w:line="240" w:lineRule="auto"/>
        <w:rPr>
          <w:caps/>
          <w:color w:val="0070C0"/>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6D2BDA47" w14:textId="77777777" w:rsidR="00906C4C" w:rsidRPr="00906C4C" w:rsidRDefault="00906C4C" w:rsidP="00906C4C">
      <w:pPr>
        <w:pStyle w:val="MainSectionHead"/>
        <w:spacing w:before="0" w:after="0" w:line="240" w:lineRule="auto"/>
        <w:rPr>
          <w:caps/>
          <w:sz w:val="12"/>
          <w:szCs w:val="12"/>
        </w:rPr>
      </w:pPr>
    </w:p>
    <w:p w14:paraId="7293418D" w14:textId="77777777" w:rsidR="00906C4C" w:rsidRPr="003C482D" w:rsidRDefault="00906C4C" w:rsidP="00906C4C">
      <w:pPr>
        <w:rPr>
          <w:b/>
          <w:bCs/>
          <w:caps/>
          <w:noProof/>
          <w:color w:val="0E425C"/>
          <w:sz w:val="28"/>
          <w:szCs w:val="28"/>
        </w:rPr>
      </w:pPr>
      <w:r w:rsidRPr="00F96283">
        <w:rPr>
          <w:b/>
          <w:bCs/>
          <w:caps/>
          <w:noProof/>
          <w:color w:val="0E425C"/>
          <w:sz w:val="28"/>
          <w:szCs w:val="28"/>
        </w:rPr>
        <w:t xml:space="preserve">Federal Contractor Minimum Wage Increase Effective </w:t>
      </w:r>
      <w:r w:rsidRPr="00F96283">
        <w:rPr>
          <w:b/>
          <w:bCs/>
          <w:caps/>
          <w:noProof/>
          <w:color w:val="0070C0"/>
          <w:sz w:val="28"/>
          <w:szCs w:val="28"/>
        </w:rPr>
        <w:t>May 11, 2026</w:t>
      </w:r>
    </w:p>
    <w:p w14:paraId="1646C1E0" w14:textId="77777777" w:rsidR="00906C4C" w:rsidRPr="00C2014F" w:rsidRDefault="00906C4C" w:rsidP="00906C4C">
      <w:r w:rsidRPr="00C2014F">
        <w:t xml:space="preserve">Employers performing work on certain federal contracts should also be aware of an upcoming wage change. The U.S. Department of Labor announced that the minimum wage for workers on federal contracts covered by Executive Order 13658 will increase to $13.65 per hour effective May 11, 2026. </w:t>
      </w:r>
    </w:p>
    <w:p w14:paraId="12F3704D" w14:textId="6D3B4543" w:rsidR="00906C4C" w:rsidRPr="00906C4C" w:rsidRDefault="00906C4C" w:rsidP="00906C4C">
      <w:r w:rsidRPr="00C2014F">
        <w:t xml:space="preserve">This wage rate applies to contracts that were </w:t>
      </w:r>
      <w:proofErr w:type="gramStart"/>
      <w:r w:rsidRPr="00C2014F">
        <w:t>entered into</w:t>
      </w:r>
      <w:proofErr w:type="gramEnd"/>
      <w:r w:rsidRPr="00C2014F">
        <w:t>, renewed, or extended between January 1, 2015, and January 29, 2022.</w:t>
      </w:r>
      <w:r>
        <w:t xml:space="preserve"> </w:t>
      </w:r>
    </w:p>
    <w:p w14:paraId="2027EEF3" w14:textId="77777777" w:rsidR="00906C4C" w:rsidRPr="00582B5D" w:rsidRDefault="00906C4C" w:rsidP="00906C4C">
      <w:pPr>
        <w:rPr>
          <w:b/>
          <w:bCs/>
          <w:caps/>
          <w:noProof/>
          <w:color w:val="0E425C"/>
          <w:sz w:val="28"/>
          <w:szCs w:val="28"/>
        </w:rPr>
      </w:pPr>
      <w:r w:rsidRPr="00582B5D">
        <w:rPr>
          <w:b/>
          <w:bCs/>
          <w:caps/>
          <w:noProof/>
          <w:color w:val="0070C0"/>
          <w:sz w:val="28"/>
          <w:szCs w:val="28"/>
        </w:rPr>
        <w:t xml:space="preserve">New!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3706A3DD" w14:textId="77777777" w:rsidR="00906C4C" w:rsidRPr="00C2014F" w:rsidRDefault="00906C4C" w:rsidP="00906C4C">
      <w:r w:rsidRPr="00C2014F">
        <w:t>The PCORI fee was created by the Affordable Care Act (ACA) and first applied for plan or policy years ending on or after October 1, 2012, and before October 1, 2029.</w:t>
      </w:r>
    </w:p>
    <w:p w14:paraId="14C928FC" w14:textId="77777777" w:rsidR="00906C4C" w:rsidRPr="00C2014F" w:rsidRDefault="00906C4C" w:rsidP="00906C4C">
      <w:pPr>
        <w:rPr>
          <w:b/>
          <w:bCs/>
        </w:rPr>
      </w:pPr>
      <w:r w:rsidRPr="00C2014F">
        <w:rPr>
          <w:b/>
          <w:bCs/>
        </w:rPr>
        <w:t>Fee Applicability</w:t>
      </w:r>
    </w:p>
    <w:p w14:paraId="0435FAE8" w14:textId="77777777" w:rsidR="00906C4C" w:rsidRPr="00C2014F" w:rsidRDefault="00906C4C" w:rsidP="00906C4C">
      <w:r w:rsidRPr="00C2014F">
        <w:t xml:space="preserve">The fee is imposed on health insurance issuers and self-insured plan sponsors to fund comparative effectiveness research.  </w:t>
      </w:r>
    </w:p>
    <w:p w14:paraId="25E741F7" w14:textId="77777777" w:rsidR="00906C4C" w:rsidRPr="00C2014F" w:rsidRDefault="00906C4C" w:rsidP="00906C4C">
      <w:r w:rsidRPr="00C2014F">
        <w:rPr>
          <w:b/>
          <w:bCs/>
          <w:u w:val="single"/>
        </w:rPr>
        <w:t xml:space="preserve">Employers offering level funded or self-insured Plans which ENDED in 2025 have PCORI fees due by July 31, 2026. </w:t>
      </w:r>
      <w:r w:rsidRPr="00C2014F">
        <w:t xml:space="preserve"> </w:t>
      </w:r>
    </w:p>
    <w:p w14:paraId="33DA7699" w14:textId="77777777" w:rsidR="00906C4C" w:rsidRPr="00C2014F" w:rsidRDefault="00906C4C" w:rsidP="00906C4C">
      <w:r w:rsidRPr="00C2014F">
        <w:t>Ex: Employer A offers a level funded medical plan and has a benefits plan year that started July 1, 2024.  That Plan ended June 30, 2025.  With a Level Funded benefit Plan/Plan Year ENDING in 2025, the PCORI fees would become due and payable by July 1, 2026.</w:t>
      </w:r>
    </w:p>
    <w:p w14:paraId="5F04AB90" w14:textId="77777777" w:rsidR="00906C4C" w:rsidRPr="00AF4290" w:rsidRDefault="00906C4C" w:rsidP="00906C4C">
      <w:pPr>
        <w:rPr>
          <w:b/>
          <w:bCs/>
        </w:rPr>
      </w:pPr>
      <w:r w:rsidRPr="00AF4290">
        <w:rPr>
          <w:b/>
          <w:bCs/>
        </w:rPr>
        <w:t xml:space="preserve">Fee Payment &amp; Reporting Deadline </w:t>
      </w:r>
    </w:p>
    <w:p w14:paraId="5136A74D" w14:textId="77777777" w:rsidR="00906C4C" w:rsidRPr="00AF4290" w:rsidRDefault="00906C4C" w:rsidP="00906C4C">
      <w:r w:rsidRPr="00AF4290">
        <w:t>PCORI fees are reported and paid annually on IRS</w:t>
      </w:r>
      <w:r w:rsidRPr="00191743">
        <w:t xml:space="preserve"> </w:t>
      </w:r>
      <w:hyperlink r:id="rId203" w:history="1">
        <w:r w:rsidRPr="00AA0176">
          <w:rPr>
            <w:rStyle w:val="Hyperlink"/>
          </w:rPr>
          <w:t>Form 720</w:t>
        </w:r>
      </w:hyperlink>
      <w:r w:rsidRPr="00191743">
        <w:t xml:space="preserve"> </w:t>
      </w:r>
      <w:r w:rsidRPr="00AF4290">
        <w:t>(Quarterly Federal Excise Tax Return).</w:t>
      </w:r>
    </w:p>
    <w:p w14:paraId="38BD15B5" w14:textId="77777777" w:rsidR="00906C4C" w:rsidRPr="00AF4290" w:rsidRDefault="00906C4C" w:rsidP="00906C4C">
      <w:r w:rsidRPr="00AF4290">
        <w:t>2026 Fee Adjustment</w:t>
      </w:r>
    </w:p>
    <w:p w14:paraId="34B2CC21" w14:textId="21AC0ECA" w:rsidR="00906C4C" w:rsidRPr="00906C4C" w:rsidRDefault="00906C4C" w:rsidP="00906C4C">
      <w:r w:rsidRPr="00AF4290">
        <w:t xml:space="preserve">The Internal Revenue Service (IRS) has issued </w:t>
      </w:r>
      <w:hyperlink r:id="rId204" w:anchor="NOT-2025-61" w:history="1">
        <w:r w:rsidRPr="00CF173D">
          <w:rPr>
            <w:rStyle w:val="Hyperlink"/>
          </w:rPr>
          <w:t>Notice 2025-61</w:t>
        </w:r>
      </w:hyperlink>
      <w:r w:rsidRPr="00C25373">
        <w:t xml:space="preserve"> </w:t>
      </w:r>
      <w:r w:rsidRPr="00AF4290">
        <w:t>to increase the Patient-Centered Outcomes Research Institute (PCORI) fee amount for plan years ending on or after Oct. 1, 2025, and before Oct. 1, 2026.</w:t>
      </w:r>
    </w:p>
    <w:p w14:paraId="4A4DD851" w14:textId="77777777" w:rsidR="00906C4C" w:rsidRPr="00AF4290" w:rsidRDefault="00906C4C" w:rsidP="00906C4C">
      <w:pPr>
        <w:rPr>
          <w:b/>
          <w:bCs/>
        </w:rPr>
      </w:pPr>
      <w:r w:rsidRPr="00AF4290">
        <w:rPr>
          <w:b/>
          <w:bCs/>
        </w:rPr>
        <w:t>PCORI Fee Calculation</w:t>
      </w:r>
    </w:p>
    <w:p w14:paraId="27707C76" w14:textId="77777777" w:rsidR="00906C4C" w:rsidRPr="00AF4290" w:rsidRDefault="00906C4C" w:rsidP="00906C4C">
      <w:pPr>
        <w:spacing w:after="240"/>
        <w:rPr>
          <w:b/>
          <w:bCs/>
          <w:u w:val="single"/>
        </w:rPr>
      </w:pPr>
      <w:r w:rsidRPr="00AF4290">
        <w:t xml:space="preserve">The PCORI fees are calculated based on the average number of </w:t>
      </w:r>
      <w:proofErr w:type="gramStart"/>
      <w:r w:rsidRPr="00AF4290">
        <w:t>covered lives</w:t>
      </w:r>
      <w:proofErr w:type="gramEnd"/>
      <w:r w:rsidRPr="00AF4290">
        <w:t xml:space="preserve"> under the plan or policy. This generally includes employees and their enrolled spouses and dependents, unless the plan is an HRA or FSA. For 2026, the updated PCORI fee amount is </w:t>
      </w:r>
      <w:r w:rsidRPr="00AF4290">
        <w:rPr>
          <w:b/>
          <w:bCs/>
          <w:u w:val="single"/>
        </w:rPr>
        <w:t>$3.84 multiplied by the average number of lives covered under the plan.</w:t>
      </w:r>
    </w:p>
    <w:p w14:paraId="216376F6" w14:textId="77777777" w:rsidR="00906C4C" w:rsidRPr="00C2014F" w:rsidRDefault="00906C4C" w:rsidP="00906C4C">
      <w:pPr>
        <w:spacing w:after="0" w:line="240" w:lineRule="auto"/>
        <w:rPr>
          <w:b/>
          <w:bCs/>
        </w:rPr>
      </w:pPr>
      <w:r w:rsidRPr="00C2014F">
        <w:rPr>
          <w:b/>
          <w:bCs/>
        </w:rPr>
        <w:t>Resources:</w:t>
      </w:r>
    </w:p>
    <w:p w14:paraId="7FD788C4"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205" w:history="1">
        <w:r w:rsidRPr="001834A2">
          <w:rPr>
            <w:rStyle w:val="Hyperlink"/>
            <w:rFonts w:eastAsia="Calibri"/>
            <w:lang w:eastAsia="en-GB"/>
          </w:rPr>
          <w:t>PCORI Fee Overview Page</w:t>
        </w:r>
      </w:hyperlink>
    </w:p>
    <w:p w14:paraId="0AA6B966"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206" w:history="1">
        <w:r w:rsidRPr="001834A2">
          <w:rPr>
            <w:rStyle w:val="Hyperlink"/>
            <w:rFonts w:eastAsia="Calibri"/>
            <w:lang w:eastAsia="en-GB"/>
          </w:rPr>
          <w:t>PCORI Fee: Questions and Answers</w:t>
        </w:r>
      </w:hyperlink>
    </w:p>
    <w:p w14:paraId="39232AA3"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207" w:history="1">
        <w:r w:rsidRPr="001834A2">
          <w:rPr>
            <w:rStyle w:val="Hyperlink"/>
            <w:rFonts w:eastAsia="Calibri"/>
            <w:lang w:eastAsia="en-GB"/>
          </w:rPr>
          <w:t>PCORI Fee Due Dates and Applicable Rates</w:t>
        </w:r>
      </w:hyperlink>
    </w:p>
    <w:p w14:paraId="15278BFB"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208" w:history="1">
        <w:r w:rsidRPr="001834A2">
          <w:rPr>
            <w:rStyle w:val="Hyperlink"/>
            <w:rFonts w:eastAsia="Calibri"/>
            <w:lang w:eastAsia="en-GB"/>
          </w:rPr>
          <w:t>Chart: Application of the PCORI Fee to Common Types of Health Coverage or Arrangements</w:t>
        </w:r>
      </w:hyperlink>
    </w:p>
    <w:p w14:paraId="2931CAB7" w14:textId="77777777" w:rsidR="00906C4C" w:rsidRPr="00906C4C" w:rsidRDefault="00906C4C" w:rsidP="00906C4C">
      <w:pPr>
        <w:rPr>
          <w:sz w:val="12"/>
          <w:szCs w:val="12"/>
        </w:rPr>
      </w:pPr>
    </w:p>
    <w:p w14:paraId="763AA099" w14:textId="77777777" w:rsidR="00906C4C" w:rsidRPr="00E65156" w:rsidRDefault="00906C4C" w:rsidP="00906C4C">
      <w:pPr>
        <w:rPr>
          <w:b/>
          <w:bCs/>
          <w:caps/>
          <w:noProof/>
          <w:color w:val="0E425C"/>
          <w:sz w:val="28"/>
          <w:szCs w:val="28"/>
        </w:rPr>
      </w:pPr>
      <w:r w:rsidRPr="003F2438">
        <w:rPr>
          <w:b/>
          <w:bCs/>
          <w:caps/>
          <w:noProof/>
          <w:color w:val="0070C0"/>
          <w:sz w:val="28"/>
          <w:szCs w:val="28"/>
        </w:rPr>
        <w:t xml:space="preserve">New! </w:t>
      </w:r>
      <w:r w:rsidRPr="003F2438">
        <w:rPr>
          <w:b/>
          <w:bCs/>
          <w:caps/>
          <w:noProof/>
          <w:color w:val="0E425C"/>
          <w:sz w:val="28"/>
          <w:szCs w:val="28"/>
        </w:rPr>
        <w:t>ICE Revises Enfor</w:t>
      </w:r>
      <w:r w:rsidRPr="00E65156">
        <w:rPr>
          <w:b/>
          <w:bCs/>
          <w:caps/>
          <w:noProof/>
          <w:color w:val="0E425C"/>
          <w:sz w:val="28"/>
          <w:szCs w:val="28"/>
        </w:rPr>
        <w:t>cement Approach for Form I-9 Violations</w:t>
      </w:r>
    </w:p>
    <w:p w14:paraId="423010C8" w14:textId="77777777" w:rsidR="00906C4C" w:rsidRDefault="00906C4C" w:rsidP="00906C4C">
      <w:r>
        <w:t>E</w:t>
      </w:r>
      <w:r w:rsidRPr="003F2438">
        <w:t>mployers not compl</w:t>
      </w:r>
      <w:r>
        <w:t>ying with</w:t>
      </w:r>
      <w:r w:rsidRPr="003F2438">
        <w:t xml:space="preserve"> or incorrectly complet</w:t>
      </w:r>
      <w:r>
        <w:t>ing</w:t>
      </w:r>
      <w:r w:rsidRPr="003F2438">
        <w:t xml:space="preserve"> Form I-9</w:t>
      </w:r>
      <w:r>
        <w:t xml:space="preserve"> </w:t>
      </w:r>
      <w:r w:rsidRPr="003F2438">
        <w:t>become subject to fines that can add up to potentially hundreds of thousands of dollars.</w:t>
      </w:r>
      <w:r>
        <w:t xml:space="preserve">  </w:t>
      </w:r>
      <w:r w:rsidRPr="00312BD2">
        <w:t xml:space="preserve">Immigration and Customs Enforcement (“ICE”) classifies Form I-9 errors as either substantive </w:t>
      </w:r>
      <w:r w:rsidRPr="00312BD2">
        <w:lastRenderedPageBreak/>
        <w:t xml:space="preserve">or technical. In the event of an ICE audit, technical errors can be fixed so that employers can avoid fines </w:t>
      </w:r>
      <w:proofErr w:type="gramStart"/>
      <w:r w:rsidRPr="00312BD2">
        <w:t>as long as</w:t>
      </w:r>
      <w:proofErr w:type="gramEnd"/>
      <w:r w:rsidRPr="00312BD2">
        <w:t xml:space="preserve"> the errors are corrected. Substantive errors, however, are not correctable and will result in fines.</w:t>
      </w:r>
    </w:p>
    <w:p w14:paraId="4900A498" w14:textId="77777777" w:rsidR="00906C4C" w:rsidRDefault="00906C4C" w:rsidP="00906C4C">
      <w:r>
        <w:t xml:space="preserve">Recently, </w:t>
      </w:r>
      <w:r w:rsidRPr="00AF4290">
        <w:t>US Immigration and Customs Enforcement (ICE) has significantly revised its enforcement approach to violations, reclassifying numerous common errors</w:t>
      </w:r>
      <w:r w:rsidRPr="006906E5">
        <w:rPr>
          <w:u w:val="single"/>
        </w:rPr>
        <w:t xml:space="preserve"> as substantive violations subject to immediate penalties</w:t>
      </w:r>
      <w:r w:rsidRPr="00AF4290">
        <w:t xml:space="preserve">.  </w:t>
      </w:r>
    </w:p>
    <w:p w14:paraId="38B73030" w14:textId="77777777" w:rsidR="00906C4C" w:rsidRPr="006C03C8" w:rsidRDefault="00906C4C" w:rsidP="00906C4C">
      <w:r w:rsidRPr="006C03C8">
        <w:t xml:space="preserve">Examples of errors that were </w:t>
      </w:r>
      <w:r>
        <w:t xml:space="preserve">previously </w:t>
      </w:r>
      <w:r w:rsidRPr="006C03C8">
        <w:t>classified as technical but now substantive include:</w:t>
      </w:r>
    </w:p>
    <w:p w14:paraId="66C07A86" w14:textId="77777777" w:rsidR="00906C4C" w:rsidRPr="006C03C8" w:rsidRDefault="00906C4C">
      <w:pPr>
        <w:numPr>
          <w:ilvl w:val="0"/>
          <w:numId w:val="336"/>
        </w:numPr>
        <w:spacing w:after="0" w:line="240" w:lineRule="auto"/>
      </w:pPr>
      <w:r w:rsidRPr="006C03C8">
        <w:t>Failure to date Section 1</w:t>
      </w:r>
    </w:p>
    <w:p w14:paraId="012965C3" w14:textId="77777777" w:rsidR="00906C4C" w:rsidRPr="006C03C8" w:rsidRDefault="00906C4C">
      <w:pPr>
        <w:numPr>
          <w:ilvl w:val="0"/>
          <w:numId w:val="336"/>
        </w:numPr>
        <w:spacing w:after="0" w:line="240" w:lineRule="auto"/>
      </w:pPr>
      <w:r w:rsidRPr="006C03C8">
        <w:t>Missing the date of birth in Section 1</w:t>
      </w:r>
    </w:p>
    <w:p w14:paraId="2C319FB7" w14:textId="77777777" w:rsidR="00906C4C" w:rsidRPr="006C03C8" w:rsidRDefault="00906C4C">
      <w:pPr>
        <w:numPr>
          <w:ilvl w:val="0"/>
          <w:numId w:val="336"/>
        </w:numPr>
        <w:spacing w:after="0" w:line="240" w:lineRule="auto"/>
      </w:pPr>
      <w:r w:rsidRPr="006C03C8">
        <w:t>Missing the date of hire in Section 2</w:t>
      </w:r>
    </w:p>
    <w:p w14:paraId="06C8F9F7" w14:textId="77777777" w:rsidR="00906C4C" w:rsidRPr="006C03C8" w:rsidRDefault="00906C4C">
      <w:pPr>
        <w:numPr>
          <w:ilvl w:val="0"/>
          <w:numId w:val="336"/>
        </w:numPr>
        <w:spacing w:after="0" w:line="240" w:lineRule="auto"/>
      </w:pPr>
      <w:r w:rsidRPr="006C03C8">
        <w:t>Missing the name and title of employer representative in Section 2</w:t>
      </w:r>
    </w:p>
    <w:p w14:paraId="672A2679" w14:textId="77777777" w:rsidR="00906C4C" w:rsidRPr="006C03C8" w:rsidRDefault="00906C4C">
      <w:pPr>
        <w:numPr>
          <w:ilvl w:val="0"/>
          <w:numId w:val="336"/>
        </w:numPr>
        <w:spacing w:after="0" w:line="240" w:lineRule="auto"/>
      </w:pPr>
      <w:r w:rsidRPr="006C03C8">
        <w:t>Failure to date Section 2</w:t>
      </w:r>
    </w:p>
    <w:p w14:paraId="5712D8D1" w14:textId="77777777" w:rsidR="00906C4C" w:rsidRPr="006C03C8" w:rsidRDefault="00906C4C">
      <w:pPr>
        <w:numPr>
          <w:ilvl w:val="0"/>
          <w:numId w:val="336"/>
        </w:numPr>
        <w:spacing w:after="0" w:line="240" w:lineRule="auto"/>
      </w:pPr>
      <w:r w:rsidRPr="006C03C8">
        <w:t>If utilizing remote verification, failure to check the alternative procedure box</w:t>
      </w:r>
    </w:p>
    <w:p w14:paraId="0914BED1" w14:textId="77777777" w:rsidR="00906C4C" w:rsidRPr="006C03C8" w:rsidRDefault="00906C4C">
      <w:pPr>
        <w:numPr>
          <w:ilvl w:val="0"/>
          <w:numId w:val="336"/>
        </w:numPr>
        <w:spacing w:after="0" w:line="240" w:lineRule="auto"/>
      </w:pPr>
      <w:r w:rsidRPr="006C03C8">
        <w:t>Using the Spanish version of Form I-9 outside of Puerto Rico</w:t>
      </w:r>
    </w:p>
    <w:p w14:paraId="7BE9192F" w14:textId="77777777" w:rsidR="00906C4C" w:rsidRPr="006C03C8" w:rsidRDefault="00906C4C">
      <w:pPr>
        <w:numPr>
          <w:ilvl w:val="0"/>
          <w:numId w:val="336"/>
        </w:numPr>
        <w:spacing w:after="0" w:line="240" w:lineRule="auto"/>
      </w:pPr>
      <w:r w:rsidRPr="006C03C8">
        <w:t>Failure to record correctly List A, B and C data in Section 2</w:t>
      </w:r>
    </w:p>
    <w:p w14:paraId="3878284B" w14:textId="77777777" w:rsidR="00906C4C" w:rsidRPr="006C03C8" w:rsidRDefault="00906C4C">
      <w:pPr>
        <w:numPr>
          <w:ilvl w:val="0"/>
          <w:numId w:val="336"/>
        </w:numPr>
        <w:spacing w:after="0" w:line="240" w:lineRule="auto"/>
      </w:pPr>
      <w:r w:rsidRPr="006C03C8">
        <w:t>Failure to participate in E-Verify when using remote verification procedure</w:t>
      </w:r>
    </w:p>
    <w:p w14:paraId="74AEA7C6" w14:textId="77777777" w:rsidR="00906C4C" w:rsidRPr="006C03C8" w:rsidRDefault="00906C4C">
      <w:pPr>
        <w:numPr>
          <w:ilvl w:val="0"/>
          <w:numId w:val="336"/>
        </w:numPr>
        <w:spacing w:after="0" w:line="276" w:lineRule="auto"/>
      </w:pPr>
      <w:r w:rsidRPr="006C03C8">
        <w:t>Failure to have adequate audit trails and electronic signature protocols when using electronic Form I-9</w:t>
      </w:r>
    </w:p>
    <w:p w14:paraId="6B6751A9" w14:textId="77777777" w:rsidR="00906C4C" w:rsidRDefault="00906C4C" w:rsidP="00906C4C">
      <w:pPr>
        <w:rPr>
          <w:b/>
          <w:bCs/>
        </w:rPr>
      </w:pPr>
      <w:r w:rsidRPr="00427960">
        <w:t>Employers cannot avoid fines for these types of errors because they are no longer considered technical violations. Without an opportunity to cure, mistakes like these will increase fines. Because ICE assesses fines per-form and per-violation, for employers with a large workforce, the cumulative exposure could be substantial. Currently, fines per violation range from $288 to $2,861 </w:t>
      </w:r>
      <w:r w:rsidRPr="00427960">
        <w:rPr>
          <w:b/>
          <w:bCs/>
          <w:i/>
          <w:iCs/>
        </w:rPr>
        <w:t>per violation</w:t>
      </w:r>
      <w:r w:rsidRPr="00427960">
        <w:rPr>
          <w:b/>
          <w:bCs/>
        </w:rPr>
        <w:t>.</w:t>
      </w:r>
    </w:p>
    <w:p w14:paraId="75B4AE9C" w14:textId="77777777" w:rsidR="00906C4C" w:rsidRPr="00CA5EA5" w:rsidRDefault="00906C4C" w:rsidP="00906C4C">
      <w:r w:rsidRPr="00CA5EA5">
        <w:t>For additional details, access the USCIS</w:t>
      </w:r>
      <w:r>
        <w:t>’s</w:t>
      </w:r>
      <w:r w:rsidRPr="00CA5EA5">
        <w:t xml:space="preserve"> </w:t>
      </w:r>
      <w:hyperlink r:id="rId209" w:history="1">
        <w:r w:rsidRPr="00CA5EA5">
          <w:rPr>
            <w:rStyle w:val="Hyperlink"/>
          </w:rPr>
          <w:t xml:space="preserve">Form I-9 Inspection Under Immigration and Nationality Act § 274A Fact Sheet </w:t>
        </w:r>
      </w:hyperlink>
    </w:p>
    <w:p w14:paraId="00175432" w14:textId="0BBA35BC" w:rsidR="00906C4C" w:rsidRDefault="00906C4C" w:rsidP="00906C4C">
      <w:r w:rsidRPr="003E16B4">
        <w:rPr>
          <w:b/>
          <w:bCs/>
          <w:highlight w:val="lightGray"/>
        </w:rPr>
        <w:t>Employer Takeaway:</w:t>
      </w:r>
      <w:r w:rsidRPr="003E16B4">
        <w:rPr>
          <w:b/>
          <w:bCs/>
        </w:rPr>
        <w:t xml:space="preserve"> </w:t>
      </w:r>
      <w:r w:rsidRPr="003E16B4">
        <w:t>To minimize risk, employers should ensure that they have robust compliance practices</w:t>
      </w:r>
      <w:r>
        <w:t>.  Annual</w:t>
      </w:r>
      <w:r w:rsidRPr="003E16B4">
        <w:t xml:space="preserve"> internal Form I-9 audits </w:t>
      </w:r>
      <w:r>
        <w:t>can assist employers with remaining in compliance</w:t>
      </w:r>
      <w:r w:rsidRPr="003E16B4">
        <w:t xml:space="preserve">. If </w:t>
      </w:r>
      <w:r>
        <w:t xml:space="preserve">an </w:t>
      </w:r>
      <w:r w:rsidRPr="003E16B4">
        <w:t xml:space="preserve">employer </w:t>
      </w:r>
      <w:r>
        <w:t xml:space="preserve">is </w:t>
      </w:r>
      <w:r w:rsidRPr="003E16B4">
        <w:t xml:space="preserve">using remote verification, </w:t>
      </w:r>
      <w:r>
        <w:t xml:space="preserve">it should </w:t>
      </w:r>
      <w:r w:rsidRPr="003E16B4">
        <w:t xml:space="preserve">confirm proper enrollment in E-Verify. </w:t>
      </w:r>
      <w:r>
        <w:t xml:space="preserve">Lastly, if electronic Form I-9s are used, it is imperative that employers </w:t>
      </w:r>
      <w:r w:rsidRPr="003E16B4">
        <w:t xml:space="preserve">ensure full compliance with federal </w:t>
      </w:r>
      <w:r>
        <w:t xml:space="preserve">Form I-9 </w:t>
      </w:r>
      <w:r w:rsidRPr="003E16B4">
        <w:t>requirements</w:t>
      </w:r>
      <w:r>
        <w:t>.</w:t>
      </w:r>
    </w:p>
    <w:p w14:paraId="1A059FB0" w14:textId="77777777" w:rsidR="00906C4C" w:rsidRDefault="00906C4C" w:rsidP="00906C4C">
      <w:r w:rsidRPr="007370DF">
        <w:rPr>
          <w:b/>
          <w:bCs/>
          <w:caps/>
          <w:noProof/>
          <w:color w:val="0070C0"/>
          <w:sz w:val="28"/>
          <w:szCs w:val="28"/>
        </w:rPr>
        <w:t xml:space="preserve">New! </w:t>
      </w:r>
      <w:r w:rsidRPr="0046124F">
        <w:rPr>
          <w:b/>
          <w:bCs/>
          <w:caps/>
          <w:noProof/>
          <w:color w:val="0E425C"/>
          <w:sz w:val="28"/>
          <w:szCs w:val="28"/>
        </w:rPr>
        <w:t xml:space="preserve">Update </w:t>
      </w:r>
      <w:r w:rsidRPr="007370DF">
        <w:rPr>
          <w:b/>
          <w:bCs/>
          <w:caps/>
          <w:noProof/>
          <w:color w:val="0E425C"/>
          <w:sz w:val="28"/>
          <w:szCs w:val="28"/>
        </w:rPr>
        <w:t>O</w:t>
      </w:r>
      <w:r>
        <w:rPr>
          <w:b/>
          <w:bCs/>
          <w:caps/>
          <w:noProof/>
          <w:color w:val="0E425C"/>
          <w:sz w:val="28"/>
          <w:szCs w:val="28"/>
        </w:rPr>
        <w:t>ne Big Beautiful Bill Act (OBBBA)</w:t>
      </w:r>
      <w:r w:rsidRPr="007370DF">
        <w:rPr>
          <w:b/>
          <w:bCs/>
          <w:caps/>
          <w:noProof/>
          <w:color w:val="0E425C"/>
          <w:sz w:val="28"/>
          <w:szCs w:val="28"/>
        </w:rPr>
        <w:t xml:space="preserve"> - List of Occupations Qualifying for No Tax on Tips Effective </w:t>
      </w:r>
      <w:r w:rsidRPr="007370DF">
        <w:rPr>
          <w:b/>
          <w:bCs/>
          <w:caps/>
          <w:noProof/>
          <w:color w:val="0070C0"/>
          <w:sz w:val="28"/>
          <w:szCs w:val="28"/>
        </w:rPr>
        <w:t>Jun</w:t>
      </w:r>
      <w:r>
        <w:rPr>
          <w:b/>
          <w:bCs/>
          <w:caps/>
          <w:noProof/>
          <w:color w:val="0070C0"/>
          <w:sz w:val="28"/>
          <w:szCs w:val="28"/>
        </w:rPr>
        <w:t>e</w:t>
      </w:r>
      <w:r w:rsidRPr="007370DF">
        <w:rPr>
          <w:b/>
          <w:bCs/>
          <w:caps/>
          <w:noProof/>
          <w:color w:val="0070C0"/>
          <w:sz w:val="28"/>
          <w:szCs w:val="28"/>
        </w:rPr>
        <w:t xml:space="preserve"> 12, 2026</w:t>
      </w:r>
    </w:p>
    <w:p w14:paraId="64CBEC24" w14:textId="77777777" w:rsidR="00906C4C" w:rsidRPr="00D32324" w:rsidRDefault="00906C4C" w:rsidP="00906C4C">
      <w:r w:rsidRPr="00FB3F76">
        <w:t>On April 13, 2026, the U.S. Department of the Treasury (Treasury) and IRS issued</w:t>
      </w:r>
      <w:r>
        <w:t xml:space="preserve"> </w:t>
      </w:r>
      <w:hyperlink r:id="rId210" w:history="1">
        <w:r w:rsidRPr="00CB578C">
          <w:rPr>
            <w:rStyle w:val="Hyperlink"/>
          </w:rPr>
          <w:t>final regulations</w:t>
        </w:r>
      </w:hyperlink>
      <w:r>
        <w:t xml:space="preserve"> </w:t>
      </w:r>
      <w:r w:rsidRPr="00FB3F76">
        <w:t>on the “No Tax on Tips” provision enacted under the</w:t>
      </w:r>
      <w:r>
        <w:t xml:space="preserve"> </w:t>
      </w:r>
      <w:hyperlink r:id="rId211" w:history="1">
        <w:r w:rsidRPr="00756FFE">
          <w:rPr>
            <w:rStyle w:val="Hyperlink"/>
          </w:rPr>
          <w:t>One Big Beautiful Bill Act</w:t>
        </w:r>
      </w:hyperlink>
      <w:r>
        <w:t xml:space="preserve"> </w:t>
      </w:r>
      <w:r w:rsidRPr="00FB3F76">
        <w:t xml:space="preserve">(OBBBA). The final regulations are effective on </w:t>
      </w:r>
      <w:r w:rsidRPr="00FB3F76">
        <w:rPr>
          <w:b/>
          <w:bCs/>
        </w:rPr>
        <w:t>June 12, 2026</w:t>
      </w:r>
      <w:r w:rsidRPr="00FB3F76">
        <w:t>.</w:t>
      </w:r>
      <w:r>
        <w:t xml:space="preserve"> </w:t>
      </w:r>
      <w:r w:rsidRPr="00D32324">
        <w:t>The Act allows certain workers an above-the-line deduction for “qualified tips” and “qualified overtime compensation” for taxable years beginning after Dec</w:t>
      </w:r>
      <w:r>
        <w:t>ember</w:t>
      </w:r>
      <w:r w:rsidRPr="00D32324">
        <w:t xml:space="preserve"> 31, 2024, and ending for taxable years beginning after Dec</w:t>
      </w:r>
      <w:r>
        <w:t>ember</w:t>
      </w:r>
      <w:r w:rsidRPr="00D32324">
        <w:t xml:space="preserve"> 31, 2028. Individuals must earn $150,000 or less ($300,000 if married filing jointly) in 2025 to be eligible for the tip deduction. The maximum deduction for tip income is capped at $25,000 per year, and the deduction applies only to cash tips, which include tips that are charged and tips received under a tip-sharing agreement. </w:t>
      </w:r>
    </w:p>
    <w:p w14:paraId="7E2F1A54" w14:textId="77777777" w:rsidR="00906C4C" w:rsidRPr="00906C4C" w:rsidRDefault="00906C4C" w:rsidP="00906C4C">
      <w:pPr>
        <w:pStyle w:val="Heading2"/>
        <w:spacing w:before="0" w:line="240" w:lineRule="auto"/>
        <w:rPr>
          <w:rFonts w:eastAsiaTheme="minorEastAsia" w:cs="Calibri"/>
          <w:b/>
          <w:bCs/>
          <w:noProof/>
          <w:color w:val="auto"/>
          <w:sz w:val="24"/>
          <w:szCs w:val="24"/>
        </w:rPr>
      </w:pPr>
      <w:r w:rsidRPr="00906C4C">
        <w:rPr>
          <w:rFonts w:eastAsiaTheme="minorEastAsia" w:cs="Calibri"/>
          <w:b/>
          <w:bCs/>
          <w:noProof/>
          <w:color w:val="auto"/>
          <w:sz w:val="24"/>
          <w:szCs w:val="24"/>
        </w:rPr>
        <w:t>Key Highlights</w:t>
      </w:r>
    </w:p>
    <w:p w14:paraId="7011FCCD" w14:textId="77777777" w:rsidR="00906C4C" w:rsidRPr="008F70C5" w:rsidRDefault="00906C4C" w:rsidP="00906C4C">
      <w:pPr>
        <w:pStyle w:val="Heading3"/>
        <w:spacing w:before="0" w:line="240" w:lineRule="auto"/>
        <w:rPr>
          <w:rFonts w:eastAsiaTheme="minorEastAsia" w:cs="Calibri"/>
          <w:b/>
          <w:bCs/>
          <w:i/>
          <w:iCs/>
          <w:noProof/>
          <w:color w:val="auto"/>
        </w:rPr>
      </w:pPr>
      <w:r w:rsidRPr="008F70C5">
        <w:rPr>
          <w:rFonts w:eastAsiaTheme="minorEastAsia" w:cs="Calibri"/>
          <w:b/>
          <w:bCs/>
          <w:i/>
          <w:iCs/>
          <w:noProof/>
          <w:color w:val="auto"/>
        </w:rPr>
        <w:t>List of Occupations That Receive Tips</w:t>
      </w:r>
    </w:p>
    <w:p w14:paraId="7D1C4113" w14:textId="77777777" w:rsidR="00906C4C" w:rsidRPr="00FB3F76" w:rsidRDefault="00906C4C" w:rsidP="00906C4C">
      <w:pPr>
        <w:spacing w:after="0" w:line="240" w:lineRule="auto"/>
      </w:pPr>
      <w:r w:rsidRPr="00FB3F76">
        <w:t>The final regulations list more than 70 occupations of tipped workers that may qualify for the deduction. Qualifying occupations fall into one of the following eight categories, classified by the Treasury Tipped Occupation Code system:</w:t>
      </w:r>
    </w:p>
    <w:p w14:paraId="3FF978CD" w14:textId="77777777" w:rsidR="00906C4C" w:rsidRPr="00FB3F76" w:rsidRDefault="00906C4C" w:rsidP="00906C4C">
      <w:pPr>
        <w:pStyle w:val="ListParagraph"/>
        <w:tabs>
          <w:tab w:val="left" w:pos="288"/>
        </w:tabs>
        <w:spacing w:after="0" w:line="240" w:lineRule="auto"/>
        <w:ind w:left="288" w:hanging="216"/>
        <w:contextualSpacing w:val="0"/>
      </w:pPr>
      <w:r w:rsidRPr="00FB3F76">
        <w:t>100s—Beverage and food services;</w:t>
      </w:r>
    </w:p>
    <w:p w14:paraId="609C36E6" w14:textId="77777777" w:rsidR="00906C4C" w:rsidRPr="00FB3F76" w:rsidRDefault="00906C4C" w:rsidP="00906C4C">
      <w:pPr>
        <w:pStyle w:val="ListParagraph"/>
        <w:tabs>
          <w:tab w:val="left" w:pos="288"/>
        </w:tabs>
        <w:spacing w:after="0" w:line="240" w:lineRule="auto"/>
        <w:ind w:left="288" w:hanging="216"/>
        <w:contextualSpacing w:val="0"/>
      </w:pPr>
      <w:r w:rsidRPr="00FB3F76">
        <w:t>200s—Entertainment and events;</w:t>
      </w:r>
    </w:p>
    <w:p w14:paraId="63F2FB01" w14:textId="77777777" w:rsidR="00906C4C" w:rsidRPr="00FB3F76" w:rsidRDefault="00906C4C" w:rsidP="00906C4C">
      <w:pPr>
        <w:pStyle w:val="ListParagraph"/>
        <w:tabs>
          <w:tab w:val="left" w:pos="288"/>
        </w:tabs>
        <w:spacing w:after="0" w:line="240" w:lineRule="auto"/>
        <w:ind w:left="288" w:hanging="216"/>
        <w:contextualSpacing w:val="0"/>
      </w:pPr>
      <w:r w:rsidRPr="00FB3F76">
        <w:t>300s—Hospitality and guest services;</w:t>
      </w:r>
    </w:p>
    <w:p w14:paraId="7B945350" w14:textId="77777777" w:rsidR="00906C4C" w:rsidRPr="00FB3F76" w:rsidRDefault="00906C4C" w:rsidP="00906C4C">
      <w:pPr>
        <w:pStyle w:val="ListParagraph"/>
        <w:tabs>
          <w:tab w:val="left" w:pos="288"/>
        </w:tabs>
        <w:spacing w:after="0" w:line="240" w:lineRule="auto"/>
        <w:ind w:left="288" w:hanging="216"/>
        <w:contextualSpacing w:val="0"/>
      </w:pPr>
      <w:r w:rsidRPr="00FB3F76">
        <w:t>400s—Home services;</w:t>
      </w:r>
    </w:p>
    <w:p w14:paraId="044D313B" w14:textId="77777777" w:rsidR="00906C4C" w:rsidRPr="00FB3F76" w:rsidRDefault="00906C4C" w:rsidP="00906C4C">
      <w:pPr>
        <w:pStyle w:val="ListParagraph"/>
        <w:tabs>
          <w:tab w:val="left" w:pos="288"/>
        </w:tabs>
        <w:spacing w:after="0" w:line="240" w:lineRule="auto"/>
        <w:ind w:left="288" w:hanging="216"/>
        <w:contextualSpacing w:val="0"/>
      </w:pPr>
      <w:r w:rsidRPr="00FB3F76">
        <w:t>500s—Personal Services;</w:t>
      </w:r>
    </w:p>
    <w:p w14:paraId="20666001" w14:textId="77777777" w:rsidR="00906C4C" w:rsidRPr="00FB3F76" w:rsidRDefault="00906C4C" w:rsidP="00906C4C">
      <w:pPr>
        <w:pStyle w:val="ListParagraph"/>
        <w:tabs>
          <w:tab w:val="left" w:pos="288"/>
        </w:tabs>
        <w:spacing w:after="0" w:line="240" w:lineRule="auto"/>
        <w:ind w:left="288" w:hanging="216"/>
        <w:contextualSpacing w:val="0"/>
      </w:pPr>
      <w:r w:rsidRPr="00FB3F76">
        <w:t>600s—Personal appearance and wellness;</w:t>
      </w:r>
    </w:p>
    <w:p w14:paraId="127DC95A" w14:textId="77777777" w:rsidR="00906C4C" w:rsidRPr="00FB3F76" w:rsidRDefault="00906C4C" w:rsidP="00906C4C">
      <w:pPr>
        <w:pStyle w:val="ListParagraph"/>
        <w:tabs>
          <w:tab w:val="left" w:pos="288"/>
        </w:tabs>
        <w:spacing w:after="0" w:line="240" w:lineRule="auto"/>
        <w:ind w:left="288" w:hanging="216"/>
        <w:contextualSpacing w:val="0"/>
      </w:pPr>
      <w:r w:rsidRPr="00FB3F76">
        <w:lastRenderedPageBreak/>
        <w:t>700s—Recreation and instruction; and</w:t>
      </w:r>
    </w:p>
    <w:p w14:paraId="7EA24401" w14:textId="77777777" w:rsidR="00906C4C" w:rsidRDefault="00906C4C" w:rsidP="00906C4C">
      <w:pPr>
        <w:pStyle w:val="ListParagraph"/>
        <w:tabs>
          <w:tab w:val="left" w:pos="288"/>
        </w:tabs>
        <w:spacing w:after="0" w:line="240" w:lineRule="auto"/>
        <w:ind w:left="288" w:hanging="216"/>
        <w:contextualSpacing w:val="0"/>
      </w:pPr>
      <w:r w:rsidRPr="00FB3F76">
        <w:t>800s—Transportation and delivery.</w:t>
      </w:r>
    </w:p>
    <w:p w14:paraId="7DCFE231" w14:textId="77777777" w:rsidR="00906C4C" w:rsidRPr="00FB3F76" w:rsidRDefault="00906C4C" w:rsidP="00906C4C">
      <w:pPr>
        <w:pStyle w:val="ListParagraph"/>
        <w:tabs>
          <w:tab w:val="left" w:pos="288"/>
        </w:tabs>
        <w:spacing w:after="0" w:line="240" w:lineRule="auto"/>
        <w:ind w:left="288" w:hanging="216"/>
        <w:contextualSpacing w:val="0"/>
      </w:pPr>
    </w:p>
    <w:p w14:paraId="3217D10D" w14:textId="77777777" w:rsidR="00906C4C" w:rsidRPr="00FB3F76" w:rsidRDefault="00906C4C" w:rsidP="00906C4C">
      <w:pPr>
        <w:ind w:left="90"/>
      </w:pPr>
      <w:r w:rsidRPr="00FB3F76">
        <w:t>The final regulations expand the list to include visual artists and floral designers in the personal services category and add gas pump attendants in the transportation and delivery category.</w:t>
      </w:r>
    </w:p>
    <w:p w14:paraId="56BBAEC5" w14:textId="77777777" w:rsidR="00906C4C" w:rsidRPr="008F70C5" w:rsidRDefault="00906C4C" w:rsidP="00906C4C">
      <w:pPr>
        <w:pStyle w:val="Heading3"/>
        <w:ind w:left="90"/>
        <w:rPr>
          <w:rFonts w:eastAsiaTheme="minorEastAsia" w:cs="Calibri"/>
          <w:b/>
          <w:bCs/>
          <w:i/>
          <w:iCs/>
          <w:noProof/>
          <w:color w:val="auto"/>
        </w:rPr>
      </w:pPr>
      <w:r w:rsidRPr="008F70C5">
        <w:rPr>
          <w:rFonts w:eastAsiaTheme="minorEastAsia" w:cs="Calibri"/>
          <w:b/>
          <w:bCs/>
          <w:i/>
          <w:iCs/>
          <w:noProof/>
          <w:color w:val="auto"/>
        </w:rPr>
        <w:t>Qualified Tips Definition</w:t>
      </w:r>
    </w:p>
    <w:p w14:paraId="792CAD9B" w14:textId="77777777" w:rsidR="00906C4C" w:rsidRPr="00FB3F76" w:rsidRDefault="00906C4C" w:rsidP="00906C4C">
      <w:pPr>
        <w:ind w:left="90"/>
      </w:pPr>
      <w:r w:rsidRPr="00FB3F76">
        <w:t>A worker may only claim the deduction for qualified tips. To be a qualified tip, the tip must be received by a worker in an occupation on the List of Occupations That Receive Tips. The final regulations clarify that qualified tips must satisfy certain requirements, including the following:</w:t>
      </w:r>
    </w:p>
    <w:p w14:paraId="420CFEAE"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paid in cash or an equivalent medium, such as a check, credit card, debit card, gift card, tangible or intangible tokens that are readily exchangeable for a fixed amount in cash, or another form of electronic settlement or mobile payment application denominated in cash;</w:t>
      </w:r>
    </w:p>
    <w:p w14:paraId="07933E4B"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received from customers or, in the case of an employee, through a mandatory or voluntary tip-sharing arrangement, such as a tip pool; and</w:t>
      </w:r>
    </w:p>
    <w:p w14:paraId="36C977FF"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paid voluntarily by the customer and not be subject to negotiation. Qualified tips do not include service charges unless the customer has the option to disregard or modify the service charge. For instance, in the case of a restaurant that imposes an automatic 18% service charge for large parties and distributes that amount to waiters, bussers and kitchen staff, if the charge is added with no option for the customer to disregard or modify it, the amounts distributed to the workers from this service charge are not qualified tips.   </w:t>
      </w:r>
    </w:p>
    <w:p w14:paraId="6A0D46AE" w14:textId="77777777" w:rsidR="00906C4C" w:rsidRPr="00FB3F76" w:rsidRDefault="00906C4C" w:rsidP="00906C4C">
      <w:r w:rsidRPr="00FB3F76">
        <w:t>Importantly, workers can take the deduction only for qualified tips that are included on Form W-2, Form 1099-NEC, Form 1099-MISC, Form 1099-K or reported by the worker on Form 4137. Gig workers and other self-employed individuals can qualify for this deduction if their occupation is on the List of Occupations That Receive Tips and the other statutory and regulatory requirements are met.</w:t>
      </w:r>
    </w:p>
    <w:p w14:paraId="1A5D6146" w14:textId="77777777" w:rsidR="00906C4C" w:rsidRPr="00FB3F76" w:rsidRDefault="00906C4C" w:rsidP="00906C4C">
      <w:r w:rsidRPr="00FB3F76">
        <w:t>The regulations limit the deduction for self-employed individuals to the individual’s net income.</w:t>
      </w:r>
    </w:p>
    <w:p w14:paraId="65E0F801" w14:textId="557E7F9D" w:rsidR="00906C4C" w:rsidRPr="00906C4C" w:rsidRDefault="00906C4C" w:rsidP="00906C4C">
      <w:pPr>
        <w:pStyle w:val="Heading2"/>
        <w:rPr>
          <w:rFonts w:asciiTheme="minorHAnsi" w:eastAsiaTheme="minorHAnsi" w:hAnsiTheme="minorHAnsi" w:cstheme="minorBidi"/>
          <w:color w:val="auto"/>
          <w:sz w:val="22"/>
          <w:szCs w:val="22"/>
        </w:rPr>
      </w:pPr>
      <w:r w:rsidRPr="00906C4C">
        <w:rPr>
          <w:rFonts w:asciiTheme="minorHAnsi" w:eastAsiaTheme="minorHAnsi" w:hAnsiTheme="minorHAnsi" w:cstheme="minorBidi"/>
          <w:b/>
          <w:bCs/>
          <w:color w:val="auto"/>
          <w:sz w:val="22"/>
          <w:szCs w:val="22"/>
          <w:highlight w:val="lightGray"/>
        </w:rPr>
        <w:t>Employer Takeaway:</w:t>
      </w:r>
      <w:r w:rsidRPr="00906C4C">
        <w:rPr>
          <w:rFonts w:asciiTheme="minorHAnsi" w:eastAsiaTheme="minorHAnsi" w:hAnsiTheme="minorHAnsi" w:cstheme="minorBidi"/>
          <w:b/>
          <w:bCs/>
          <w:color w:val="auto"/>
          <w:sz w:val="22"/>
          <w:szCs w:val="22"/>
        </w:rPr>
        <w:t xml:space="preserve"> </w:t>
      </w:r>
      <w:r w:rsidRPr="00906C4C">
        <w:rPr>
          <w:rFonts w:asciiTheme="minorHAnsi" w:eastAsiaTheme="minorHAnsi" w:hAnsiTheme="minorHAnsi" w:cstheme="minorBidi"/>
          <w:color w:val="auto"/>
          <w:sz w:val="22"/>
          <w:szCs w:val="22"/>
        </w:rPr>
        <w:t>Employers should review their payroll systems to ensure they accurately track and report qualifying tips and overtime compensation on employees’ Forms W-2.</w:t>
      </w:r>
    </w:p>
    <w:p w14:paraId="24C52283" w14:textId="77777777" w:rsidR="00906C4C" w:rsidRPr="00906C4C" w:rsidRDefault="00906C4C" w:rsidP="00906C4C"/>
    <w:p w14:paraId="02972BB0" w14:textId="77777777" w:rsidR="00906C4C" w:rsidRPr="00944ACB" w:rsidRDefault="00906C4C" w:rsidP="00906C4C">
      <w:pPr>
        <w:rPr>
          <w:b/>
          <w:bCs/>
          <w:caps/>
          <w:noProof/>
          <w:color w:val="0E425C"/>
          <w:sz w:val="28"/>
          <w:szCs w:val="28"/>
        </w:rPr>
      </w:pPr>
      <w:r w:rsidRPr="00944ACB">
        <w:rPr>
          <w:b/>
          <w:bCs/>
          <w:caps/>
          <w:noProof/>
          <w:color w:val="0070C0"/>
          <w:sz w:val="28"/>
          <w:szCs w:val="28"/>
        </w:rPr>
        <w:t xml:space="preserve">New! </w:t>
      </w:r>
      <w:r w:rsidRPr="00944ACB">
        <w:rPr>
          <w:b/>
          <w:bCs/>
          <w:caps/>
          <w:noProof/>
          <w:color w:val="0E425C"/>
          <w:sz w:val="28"/>
          <w:szCs w:val="28"/>
        </w:rPr>
        <w:t>OSHA Updates Heat-related Hazards National Emphasis Program</w:t>
      </w:r>
    </w:p>
    <w:p w14:paraId="7C73B2EF" w14:textId="77777777" w:rsidR="00906C4C" w:rsidRPr="00944ACB" w:rsidRDefault="00906C4C" w:rsidP="00906C4C">
      <w:pPr>
        <w:pStyle w:val="BodyText"/>
        <w:rPr>
          <w:color w:val="auto"/>
        </w:rPr>
      </w:pPr>
      <w:r w:rsidRPr="00944ACB">
        <w:rPr>
          <w:color w:val="auto"/>
        </w:rPr>
        <w:t xml:space="preserve">On April 10, 2026, OSHA updated its </w:t>
      </w:r>
      <w:hyperlink r:id="rId212" w:history="1">
        <w:r w:rsidRPr="00B44501">
          <w:rPr>
            <w:rStyle w:val="Hyperlink"/>
          </w:rPr>
          <w:t>National Emphasis Program</w:t>
        </w:r>
      </w:hyperlink>
      <w:r w:rsidRPr="00B44501">
        <w:t xml:space="preserve"> </w:t>
      </w:r>
      <w:r w:rsidRPr="00944ACB">
        <w:rPr>
          <w:color w:val="auto"/>
        </w:rPr>
        <w:t>(NEP) to address indoor and outdoor heat hazards by focusing inspections and outreach on high-risk industries and workplaces. The revised NEP prioritizes on-site inspections for complaints and employer-reported hospitalizations, reserving rapid response investigations for limited cases with area director approval. The updated NEP is effective immediately and will remain in place until April 10, 2031.</w:t>
      </w:r>
    </w:p>
    <w:p w14:paraId="7DA47D46" w14:textId="77777777" w:rsidR="00906C4C" w:rsidRPr="005C7804" w:rsidRDefault="00906C4C" w:rsidP="00906C4C">
      <w:pPr>
        <w:pStyle w:val="SubHeader"/>
        <w:rPr>
          <w:rFonts w:eastAsiaTheme="minorEastAsia" w:cs="Calibri"/>
          <w:bCs/>
          <w:caps/>
          <w:noProof/>
          <w:color w:val="auto"/>
          <w:sz w:val="24"/>
          <w:szCs w:val="24"/>
        </w:rPr>
      </w:pPr>
      <w:r w:rsidRPr="005C7804">
        <w:rPr>
          <w:rFonts w:eastAsiaTheme="minorEastAsia" w:cs="Calibri"/>
          <w:bCs/>
          <w:caps/>
          <w:noProof/>
          <w:color w:val="auto"/>
          <w:sz w:val="24"/>
          <w:szCs w:val="24"/>
        </w:rPr>
        <w:t xml:space="preserve">What to Expect </w:t>
      </w:r>
    </w:p>
    <w:p w14:paraId="2A66E057" w14:textId="77777777" w:rsidR="00906C4C" w:rsidRPr="00944ACB" w:rsidRDefault="00906C4C" w:rsidP="00906C4C">
      <w:pPr>
        <w:pStyle w:val="BodyText"/>
        <w:rPr>
          <w:color w:val="auto"/>
        </w:rPr>
      </w:pPr>
      <w:r w:rsidRPr="00944ACB">
        <w:rPr>
          <w:color w:val="auto"/>
        </w:rPr>
        <w:t xml:space="preserve">Establishments identified for programmed inspections will, where possible, have heat-related hazard inspections conducted concurrently with other programmed inspections. For employers with multiple locations engaged in similar operations, OSHA may notify corporate entities of any heat-related inspection and provide relevant information on required protective measures. Inspections will follow standard OSHA procedures, including an opening conference, walkaround and closing conference. </w:t>
      </w:r>
    </w:p>
    <w:p w14:paraId="47B93176" w14:textId="77777777" w:rsidR="00906C4C" w:rsidRPr="00944ACB" w:rsidRDefault="00906C4C" w:rsidP="00906C4C">
      <w:pPr>
        <w:pStyle w:val="BodyText"/>
        <w:rPr>
          <w:color w:val="auto"/>
        </w:rPr>
      </w:pPr>
      <w:r w:rsidRPr="00944ACB">
        <w:rPr>
          <w:color w:val="auto"/>
        </w:rPr>
        <w:t xml:space="preserve">OSHA launched its original NEP on April 8, 2022. Through the program, OSHA conducts workplace inspections to identify heat-related hazards before workers suffer preventable injuries, illnesses or fatalities. </w:t>
      </w:r>
    </w:p>
    <w:p w14:paraId="26AB5D20" w14:textId="77777777" w:rsidR="00906C4C" w:rsidRPr="00944ACB" w:rsidRDefault="00906C4C" w:rsidP="00906C4C">
      <w:r w:rsidRPr="00944ACB">
        <w:t>The NEP establishes heat priority days, when the heat index is expected to be 80 degrees Fahrenheit or higher.</w:t>
      </w:r>
    </w:p>
    <w:p w14:paraId="172065A0" w14:textId="77777777" w:rsidR="00906C4C" w:rsidRPr="00944ACB" w:rsidRDefault="00906C4C" w:rsidP="00906C4C">
      <w:pPr>
        <w:pStyle w:val="BodyText"/>
        <w:rPr>
          <w:color w:val="auto"/>
        </w:rPr>
      </w:pPr>
      <w:r w:rsidRPr="00944ACB">
        <w:rPr>
          <w:color w:val="auto"/>
        </w:rPr>
        <w:lastRenderedPageBreak/>
        <w:t xml:space="preserve">The purpose of OSHA’s updated NEP is to ensure that workers in high-hazard industries are protected from indoor and outdoor heat hazards that may cause serious illness, injury or death. The program applies OSHA-wide and focuses on: </w:t>
      </w:r>
    </w:p>
    <w:p w14:paraId="50E76C29" w14:textId="77777777" w:rsidR="00906C4C" w:rsidRPr="00944ACB" w:rsidRDefault="00906C4C" w:rsidP="00906C4C">
      <w:pPr>
        <w:pStyle w:val="BulletList"/>
        <w:rPr>
          <w:color w:val="auto"/>
        </w:rPr>
      </w:pPr>
      <w:r w:rsidRPr="00944ACB">
        <w:rPr>
          <w:color w:val="auto"/>
        </w:rPr>
        <w:t xml:space="preserve">General industry; </w:t>
      </w:r>
    </w:p>
    <w:p w14:paraId="592D5435" w14:textId="77777777" w:rsidR="00906C4C" w:rsidRPr="00944ACB" w:rsidRDefault="00906C4C" w:rsidP="00906C4C">
      <w:pPr>
        <w:pStyle w:val="BulletList"/>
        <w:rPr>
          <w:color w:val="auto"/>
        </w:rPr>
      </w:pPr>
      <w:r w:rsidRPr="00944ACB">
        <w:rPr>
          <w:color w:val="auto"/>
        </w:rPr>
        <w:t xml:space="preserve">Construction; </w:t>
      </w:r>
    </w:p>
    <w:p w14:paraId="3B046400" w14:textId="77777777" w:rsidR="00906C4C" w:rsidRPr="00944ACB" w:rsidRDefault="00906C4C" w:rsidP="00906C4C">
      <w:pPr>
        <w:pStyle w:val="BulletList"/>
        <w:rPr>
          <w:color w:val="auto"/>
        </w:rPr>
      </w:pPr>
      <w:r w:rsidRPr="00944ACB">
        <w:rPr>
          <w:color w:val="auto"/>
        </w:rPr>
        <w:t xml:space="preserve">Maritime; and </w:t>
      </w:r>
    </w:p>
    <w:p w14:paraId="327D194F" w14:textId="77777777" w:rsidR="00906C4C" w:rsidRPr="00944ACB" w:rsidRDefault="00906C4C" w:rsidP="00906C4C">
      <w:pPr>
        <w:pStyle w:val="BulletList"/>
        <w:spacing w:after="120"/>
        <w:ind w:left="547"/>
        <w:rPr>
          <w:color w:val="auto"/>
        </w:rPr>
      </w:pPr>
      <w:r w:rsidRPr="00944ACB">
        <w:rPr>
          <w:color w:val="auto"/>
        </w:rPr>
        <w:t xml:space="preserve">Agriculture. </w:t>
      </w:r>
    </w:p>
    <w:p w14:paraId="0440C637" w14:textId="77777777" w:rsidR="00906C4C" w:rsidRPr="00944ACB" w:rsidRDefault="00906C4C" w:rsidP="00906C4C">
      <w:pPr>
        <w:pStyle w:val="BodyText"/>
        <w:spacing w:after="120"/>
        <w:rPr>
          <w:color w:val="auto"/>
        </w:rPr>
      </w:pPr>
      <w:r w:rsidRPr="00944ACB">
        <w:rPr>
          <w:color w:val="auto"/>
        </w:rPr>
        <w:t>Heat-related illnesses range from heat cramps to heat stroke, which can be fatal when body temperature exceeds approximately 104 degrees Fahrenheit. The heat index, used by the National Weather Service (NWS), combines temperature and humidity to reflect how hot conditions feel:</w:t>
      </w:r>
    </w:p>
    <w:p w14:paraId="4400EFA4" w14:textId="77777777" w:rsidR="00906C4C" w:rsidRPr="00944ACB" w:rsidRDefault="00906C4C" w:rsidP="00906C4C">
      <w:pPr>
        <w:pStyle w:val="BulletList"/>
        <w:rPr>
          <w:color w:val="auto"/>
        </w:rPr>
      </w:pPr>
      <w:r w:rsidRPr="00944ACB">
        <w:rPr>
          <w:color w:val="auto"/>
        </w:rPr>
        <w:t xml:space="preserve">Caution: &lt;80 degrees Fahrenheit; </w:t>
      </w:r>
    </w:p>
    <w:p w14:paraId="72F6413D" w14:textId="77777777" w:rsidR="00906C4C" w:rsidRPr="00944ACB" w:rsidRDefault="00906C4C" w:rsidP="00906C4C">
      <w:pPr>
        <w:pStyle w:val="BulletList"/>
        <w:rPr>
          <w:color w:val="auto"/>
        </w:rPr>
      </w:pPr>
      <w:r w:rsidRPr="00944ACB">
        <w:rPr>
          <w:color w:val="auto"/>
        </w:rPr>
        <w:t xml:space="preserve">Warning: 80-94 degrees Fahrenheit; and </w:t>
      </w:r>
    </w:p>
    <w:p w14:paraId="6C31B91E" w14:textId="77777777" w:rsidR="00906C4C" w:rsidRDefault="00906C4C" w:rsidP="00906C4C">
      <w:pPr>
        <w:pStyle w:val="BulletList"/>
        <w:spacing w:after="120"/>
        <w:ind w:left="547"/>
        <w:rPr>
          <w:color w:val="auto"/>
        </w:rPr>
      </w:pPr>
      <w:r w:rsidRPr="00944ACB">
        <w:rPr>
          <w:color w:val="auto"/>
        </w:rPr>
        <w:t xml:space="preserve">Danger: ≥95 degrees Fahrenheit. </w:t>
      </w:r>
    </w:p>
    <w:p w14:paraId="4A97ACC2" w14:textId="77777777" w:rsidR="00906C4C" w:rsidRPr="006E63DC" w:rsidRDefault="00906C4C" w:rsidP="00906C4C">
      <w:pPr>
        <w:pStyle w:val="BulletList"/>
        <w:numPr>
          <w:ilvl w:val="0"/>
          <w:numId w:val="0"/>
        </w:numPr>
        <w:spacing w:line="276" w:lineRule="auto"/>
        <w:rPr>
          <w:rFonts w:eastAsiaTheme="minorEastAsia" w:cs="Calibri"/>
          <w:color w:val="auto"/>
          <w:szCs w:val="24"/>
        </w:rPr>
      </w:pPr>
      <w:r w:rsidRPr="00D16DAB">
        <w:rPr>
          <w:color w:val="auto"/>
        </w:rPr>
        <w:t xml:space="preserve">The </w:t>
      </w:r>
      <w:hyperlink r:id="rId213" w:history="1">
        <w:r w:rsidRPr="00F1105B">
          <w:rPr>
            <w:rStyle w:val="Hyperlink"/>
          </w:rPr>
          <w:t>OSHA-NIOSH Heat Safety Tool App</w:t>
        </w:r>
      </w:hyperlink>
      <w:r w:rsidRPr="002E2EA8">
        <w:t xml:space="preserve"> </w:t>
      </w:r>
      <w:r w:rsidRPr="00D16DAB">
        <w:rPr>
          <w:color w:val="auto"/>
        </w:rPr>
        <w:t>may be used to monitor heat conditions. A heat priority day o</w:t>
      </w:r>
      <w:r w:rsidRPr="006E63DC">
        <w:rPr>
          <w:rFonts w:eastAsiaTheme="minorEastAsia" w:cs="Calibri"/>
          <w:color w:val="auto"/>
          <w:szCs w:val="24"/>
        </w:rPr>
        <w:t>ccurs when the heat index is expected to be 80 degrees Fahrenheit or higher.</w:t>
      </w:r>
    </w:p>
    <w:p w14:paraId="115C7DE0" w14:textId="071449A0" w:rsidR="00906C4C" w:rsidRPr="00906C4C" w:rsidRDefault="00906C4C" w:rsidP="00906C4C">
      <w:pPr>
        <w:pStyle w:val="BodyText"/>
        <w:rPr>
          <w:color w:val="auto"/>
        </w:rPr>
      </w:pPr>
      <w:r w:rsidRPr="006E63DC">
        <w:rPr>
          <w:b/>
          <w:bCs/>
          <w:color w:val="auto"/>
          <w:highlight w:val="lightGray"/>
        </w:rPr>
        <w:t>Employer Take-away:</w:t>
      </w:r>
      <w:r w:rsidRPr="006E63DC">
        <w:rPr>
          <w:b/>
          <w:bCs/>
          <w:color w:val="auto"/>
        </w:rPr>
        <w:t xml:space="preserve"> </w:t>
      </w:r>
      <w:r w:rsidRPr="00944ACB">
        <w:rPr>
          <w:color w:val="auto"/>
        </w:rPr>
        <w:t>Employers should review the updated NEP and any existing heat illness prevention program to ensure their policies are adequate and current.</w:t>
      </w:r>
    </w:p>
    <w:p w14:paraId="2455C621" w14:textId="77777777" w:rsidR="00906C4C" w:rsidRPr="00C62E38" w:rsidRDefault="00906C4C" w:rsidP="00906C4C">
      <w:pPr>
        <w:spacing w:line="278" w:lineRule="auto"/>
        <w:rPr>
          <w:b/>
          <w:bCs/>
          <w:caps/>
          <w:noProof/>
          <w:color w:val="0E425C"/>
          <w:sz w:val="28"/>
          <w:szCs w:val="28"/>
        </w:rPr>
      </w:pPr>
      <w:r w:rsidRPr="00113C81">
        <w:rPr>
          <w:b/>
          <w:bCs/>
          <w:caps/>
          <w:noProof/>
          <w:color w:val="0070C0"/>
          <w:sz w:val="28"/>
          <w:szCs w:val="28"/>
        </w:rPr>
        <w:t xml:space="preserve">Overview: </w:t>
      </w:r>
      <w:r w:rsidRPr="00880327">
        <w:rPr>
          <w:b/>
          <w:bCs/>
          <w:caps/>
          <w:noProof/>
          <w:color w:val="0E425C"/>
          <w:sz w:val="28"/>
          <w:szCs w:val="28"/>
        </w:rPr>
        <w:t>State Employee Leave Law Developments</w:t>
      </w:r>
    </w:p>
    <w:p w14:paraId="099EABF8" w14:textId="77777777" w:rsidR="00906C4C" w:rsidRPr="00AF4290" w:rsidRDefault="00906C4C" w:rsidP="00906C4C">
      <w:pPr>
        <w:spacing w:line="278" w:lineRule="auto"/>
      </w:pPr>
      <w:r w:rsidRPr="00AF4290">
        <w:t xml:space="preserve">Since the beginning of the year, brand-new paid family and medical leave programs have been launched in Delaware and Minnesota, and a significant redesign of the Washington paid family and medical leave program took effect. </w:t>
      </w:r>
    </w:p>
    <w:p w14:paraId="2738039D" w14:textId="77777777" w:rsidR="00906C4C" w:rsidRPr="00AF4290" w:rsidRDefault="00906C4C" w:rsidP="00906C4C">
      <w:pPr>
        <w:spacing w:line="278" w:lineRule="auto"/>
      </w:pPr>
      <w:r w:rsidRPr="00AF4290">
        <w:t>Smaller expansions to existing leave rights have gone into effect since January in states such as California, Colorado, Connecticut, Oregon and Rhode Island.</w:t>
      </w:r>
    </w:p>
    <w:p w14:paraId="0B43AFEF" w14:textId="2AEF728E" w:rsidR="00FE503A" w:rsidRDefault="00906C4C" w:rsidP="00906C4C">
      <w:pPr>
        <w:pStyle w:val="BodyText"/>
        <w:spacing w:after="0" w:line="240" w:lineRule="auto"/>
        <w:ind w:right="274"/>
        <w:rPr>
          <w:rFonts w:eastAsiaTheme="minorHAnsi" w:cs="Calibri"/>
          <w:b/>
          <w:bCs/>
          <w:color w:val="C00000"/>
          <w:kern w:val="36"/>
          <w:szCs w:val="22"/>
        </w:rPr>
      </w:pPr>
      <w:r w:rsidRPr="00AF4290">
        <w:rPr>
          <w:color w:val="auto"/>
        </w:rPr>
        <w:t xml:space="preserve">Employers </w:t>
      </w:r>
      <w:r>
        <w:rPr>
          <w:color w:val="auto"/>
        </w:rPr>
        <w:t>are strongly encouraged</w:t>
      </w:r>
      <w:r w:rsidRPr="00AF4290">
        <w:rPr>
          <w:color w:val="auto"/>
        </w:rPr>
        <w:t xml:space="preserve"> also keep their eye on the near-term horizon, as more changes in the employee leave landscape are</w:t>
      </w:r>
      <w:r>
        <w:rPr>
          <w:color w:val="auto"/>
        </w:rPr>
        <w:t xml:space="preserve"> anticipated </w:t>
      </w:r>
      <w:r w:rsidRPr="00AF4290">
        <w:rPr>
          <w:color w:val="auto"/>
        </w:rPr>
        <w:t xml:space="preserve">this year, particularly in Illinois, Maine and New Jersey. </w:t>
      </w:r>
      <w:r>
        <w:rPr>
          <w:color w:val="auto"/>
        </w:rPr>
        <w:t>Employers engaging directly with ETC for HR Compliance Support engagements will continue to receive state regulatory updates assisting multi-state employers remain “in the know.”</w:t>
      </w:r>
    </w:p>
    <w:p w14:paraId="7CA1D280" w14:textId="77777777" w:rsidR="00FE503A" w:rsidRDefault="00FE503A" w:rsidP="008F584F">
      <w:pPr>
        <w:pStyle w:val="BodyText"/>
        <w:spacing w:after="0" w:line="240" w:lineRule="auto"/>
        <w:ind w:right="274"/>
        <w:rPr>
          <w:rFonts w:eastAsiaTheme="minorHAnsi" w:cs="Calibri"/>
          <w:b/>
          <w:bCs/>
          <w:color w:val="C00000"/>
          <w:kern w:val="36"/>
          <w:szCs w:val="22"/>
        </w:rPr>
      </w:pPr>
    </w:p>
    <w:p w14:paraId="08D95EAE" w14:textId="1401270C" w:rsidR="008F584F" w:rsidRPr="00FE503A" w:rsidRDefault="008F584F" w:rsidP="008F584F">
      <w:pPr>
        <w:pStyle w:val="BodyText"/>
        <w:spacing w:after="0" w:line="240" w:lineRule="auto"/>
        <w:ind w:right="274"/>
        <w:rPr>
          <w:rFonts w:eastAsiaTheme="minorHAnsi" w:cs="Calibri"/>
          <w:b/>
          <w:bCs/>
          <w:color w:val="C00000"/>
          <w:kern w:val="36"/>
          <w:sz w:val="28"/>
          <w:szCs w:val="28"/>
        </w:rPr>
      </w:pPr>
      <w:r w:rsidRPr="00FE503A">
        <w:rPr>
          <w:rFonts w:eastAsiaTheme="minorHAnsi" w:cs="Calibri"/>
          <w:b/>
          <w:bCs/>
          <w:color w:val="C00000"/>
          <w:kern w:val="36"/>
          <w:sz w:val="28"/>
          <w:szCs w:val="28"/>
        </w:rPr>
        <w:t>March 2026 Alerts/Reminders:</w:t>
      </w:r>
    </w:p>
    <w:p w14:paraId="6A5C5B89" w14:textId="77777777" w:rsidR="008F584F" w:rsidRPr="00FE503A" w:rsidRDefault="008F584F" w:rsidP="001558B8">
      <w:pPr>
        <w:pStyle w:val="BodyText"/>
        <w:spacing w:after="0" w:line="240" w:lineRule="auto"/>
        <w:ind w:right="274"/>
        <w:rPr>
          <w:rFonts w:eastAsiaTheme="minorHAnsi" w:cs="Calibri"/>
          <w:b/>
          <w:bCs/>
          <w:color w:val="auto"/>
          <w:kern w:val="36"/>
          <w:sz w:val="12"/>
          <w:szCs w:val="12"/>
        </w:rPr>
      </w:pPr>
    </w:p>
    <w:p w14:paraId="17B71A17" w14:textId="77777777" w:rsidR="008F584F" w:rsidRDefault="008F584F" w:rsidP="008F584F">
      <w:pPr>
        <w:pStyle w:val="MainSectionHead"/>
        <w:spacing w:before="0" w:after="0" w:line="240" w:lineRule="auto"/>
        <w:rPr>
          <w:caps/>
          <w:color w:val="0070C0"/>
        </w:rPr>
      </w:pPr>
      <w:r w:rsidRPr="009B6798">
        <w:rPr>
          <w:caps/>
        </w:rPr>
        <w:t>Preparing for 2025 RxDC Reporting –</w:t>
      </w:r>
      <w:r w:rsidRPr="009B6798">
        <w:rPr>
          <w:caps/>
          <w:color w:val="0070C0"/>
        </w:rPr>
        <w:t xml:space="preserve"> </w:t>
      </w:r>
    </w:p>
    <w:p w14:paraId="6670AA09" w14:textId="77777777" w:rsidR="008F584F" w:rsidRPr="009B6798" w:rsidRDefault="008F584F" w:rsidP="008F584F">
      <w:pPr>
        <w:pStyle w:val="MainSectionHead"/>
        <w:spacing w:before="0" w:after="0" w:line="240" w:lineRule="auto"/>
        <w:rPr>
          <w:caps/>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0B3818A1" w14:textId="77777777" w:rsidR="008F584F" w:rsidRPr="005E5A41" w:rsidRDefault="008F584F" w:rsidP="008F584F">
      <w:pPr>
        <w:pStyle w:val="BulletList"/>
        <w:ind w:left="450"/>
        <w:rPr>
          <w:rFonts w:cs="Calibri"/>
          <w:color w:val="auto"/>
          <w:szCs w:val="24"/>
        </w:rPr>
      </w:pPr>
      <w:r w:rsidRPr="005E5A41">
        <w:rPr>
          <w:rFonts w:cs="Calibri"/>
          <w:color w:val="auto"/>
          <w:szCs w:val="24"/>
        </w:rPr>
        <w:t>Health plans and issuers are required to submit RxDC reports annually.</w:t>
      </w:r>
    </w:p>
    <w:p w14:paraId="0215878C" w14:textId="77777777" w:rsidR="008F584F" w:rsidRPr="005E5A41" w:rsidRDefault="008F584F" w:rsidP="008F584F">
      <w:pPr>
        <w:pStyle w:val="BulletList"/>
        <w:ind w:left="450"/>
        <w:rPr>
          <w:rFonts w:cs="Calibri"/>
          <w:color w:val="auto"/>
          <w:szCs w:val="24"/>
        </w:rPr>
      </w:pPr>
      <w:r w:rsidRPr="005E5A41">
        <w:rPr>
          <w:rFonts w:cs="Calibri"/>
          <w:color w:val="auto"/>
          <w:szCs w:val="24"/>
        </w:rPr>
        <w:t>Most employers rely on issuers, TPAs or PBMs to submit RxDC files for their health plans.</w:t>
      </w:r>
    </w:p>
    <w:p w14:paraId="0EFDBC09" w14:textId="77777777" w:rsidR="008F584F" w:rsidRPr="005E5A41" w:rsidRDefault="008F584F" w:rsidP="008F584F">
      <w:pPr>
        <w:pStyle w:val="BulletList"/>
        <w:ind w:left="450"/>
        <w:rPr>
          <w:rFonts w:cs="Calibri"/>
          <w:color w:val="auto"/>
          <w:szCs w:val="24"/>
        </w:rPr>
      </w:pPr>
      <w:r w:rsidRPr="005E5A41">
        <w:rPr>
          <w:rFonts w:cs="Calibri"/>
          <w:color w:val="auto"/>
          <w:szCs w:val="24"/>
        </w:rPr>
        <w:t>If an issuer is required by written agreement to submit the RxDC report for a fully insured health plan but fails to do so, then the issuer (not the plan) violates the reporting requirements.</w:t>
      </w:r>
    </w:p>
    <w:p w14:paraId="37236543" w14:textId="77777777" w:rsidR="008F584F" w:rsidRPr="008B688D" w:rsidRDefault="008F584F" w:rsidP="008F584F">
      <w:pPr>
        <w:pStyle w:val="BulletList"/>
        <w:ind w:left="450"/>
        <w:rPr>
          <w:rFonts w:cs="Calibri"/>
          <w:color w:val="auto"/>
          <w:szCs w:val="24"/>
        </w:rPr>
      </w:pPr>
      <w:r w:rsidRPr="005E5A41">
        <w:rPr>
          <w:rFonts w:cs="Calibri"/>
          <w:color w:val="auto"/>
          <w:szCs w:val="24"/>
        </w:rPr>
        <w:t>The reporting liability stays with a self-insured health plan, even if a third party contractually agrees to submit the required information.</w:t>
      </w:r>
    </w:p>
    <w:p w14:paraId="63F08A76" w14:textId="77777777" w:rsidR="008F584F" w:rsidRPr="005E5A41" w:rsidRDefault="008F584F" w:rsidP="008F584F">
      <w:pPr>
        <w:pStyle w:val="BodyText"/>
      </w:pPr>
      <w:r w:rsidRPr="005E5A41">
        <w:rPr>
          <w:color w:val="auto"/>
        </w:rPr>
        <w:t>The RxDC report is comprised of several files, including those that require specific plan-level information, such as plan year beginning and end dates and enrollment and premium data. It also includes files that require detailed information about medical and pharmacy benefits. There are no major changes to the</w:t>
      </w:r>
      <w:r w:rsidRPr="005E5A41">
        <w:t xml:space="preserve"> </w:t>
      </w:r>
      <w:hyperlink r:id="rId214" w:history="1">
        <w:r w:rsidRPr="005E5A41">
          <w:rPr>
            <w:rStyle w:val="Hyperlink"/>
          </w:rPr>
          <w:t>reporting instructions</w:t>
        </w:r>
      </w:hyperlink>
      <w:r w:rsidRPr="005E5A41">
        <w:rPr>
          <w:color w:val="auto"/>
        </w:rPr>
        <w:t xml:space="preserve"> from the RxDC reporting that was completed in 2025.</w:t>
      </w:r>
    </w:p>
    <w:p w14:paraId="1DFCC9E1" w14:textId="77777777" w:rsidR="008F584F" w:rsidRPr="005E5A41" w:rsidRDefault="008F584F" w:rsidP="008F584F">
      <w:pPr>
        <w:pStyle w:val="BodyText"/>
        <w:rPr>
          <w:b/>
          <w:color w:val="auto"/>
        </w:rPr>
      </w:pPr>
      <w:r w:rsidRPr="005E5A41">
        <w:rPr>
          <w:color w:val="auto"/>
        </w:rPr>
        <w:lastRenderedPageBreak/>
        <w:t>Most employers contract with third parties, such as issuers, third-party administrators (TPAs</w:t>
      </w:r>
      <w:r>
        <w:rPr>
          <w:color w:val="auto"/>
        </w:rPr>
        <w:t>)</w:t>
      </w:r>
      <w:r w:rsidRPr="005E5A41">
        <w:rPr>
          <w:color w:val="auto"/>
        </w:rPr>
        <w:t xml:space="preserve">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w:t>
      </w:r>
    </w:p>
    <w:p w14:paraId="05D97DA1" w14:textId="77777777" w:rsidR="008F584F" w:rsidRPr="005E5A41" w:rsidRDefault="008F584F" w:rsidP="008F584F">
      <w:pPr>
        <w:pStyle w:val="BodyText"/>
        <w:rPr>
          <w:color w:val="auto"/>
        </w:rPr>
      </w:pPr>
      <w:r w:rsidRPr="005E5A41">
        <w:rPr>
          <w:color w:val="auto"/>
        </w:rPr>
        <w:t>Employers should start reaching out to their issuers, TPAs or PBMs, as applicable, to confirm that they will submit the RxDC files for their health plans by June 1, 2026. Employers should also confirm that their written agreements with these third parties address this reporting responsibility.</w:t>
      </w:r>
    </w:p>
    <w:p w14:paraId="03B54882" w14:textId="77777777" w:rsidR="008F584F" w:rsidRPr="005E5A41" w:rsidRDefault="008F584F" w:rsidP="008F584F">
      <w:pPr>
        <w:pStyle w:val="BodyText"/>
        <w:rPr>
          <w:color w:val="auto"/>
        </w:rPr>
      </w:pPr>
      <w:r w:rsidRPr="005E5A41">
        <w:rPr>
          <w:color w:val="auto"/>
        </w:rPr>
        <w:t xml:space="preserve">Also, employers will likely need to provide their third-party vendors with plan-specific information, such as enrollment and premium data, to complete their RxDC submission. Employers should </w:t>
      </w:r>
      <w:r>
        <w:rPr>
          <w:color w:val="auto"/>
        </w:rPr>
        <w:t>be on the lookout for</w:t>
      </w:r>
      <w:r w:rsidRPr="005E5A41">
        <w:rPr>
          <w:color w:val="auto"/>
        </w:rPr>
        <w:t xml:space="preserve"> these vendor surveys and promptly provide the requested information. Because employers with self-funded plans are ultimately responsible for RxDC reporting, they should monitor their TPAs’ or PBMs’ compliance with this reporting requirement. </w:t>
      </w:r>
    </w:p>
    <w:p w14:paraId="5CAB4D7C" w14:textId="77777777" w:rsidR="008F584F" w:rsidRDefault="008F584F" w:rsidP="008F584F">
      <w:pPr>
        <w:pStyle w:val="BodyText"/>
      </w:pPr>
      <w:r w:rsidRPr="005E5A41">
        <w:rPr>
          <w:color w:val="auto"/>
        </w:rPr>
        <w:t xml:space="preserve">More information on RxDC reporting, including updated reporting instructions, is available on CMS’ RxDC </w:t>
      </w:r>
      <w:hyperlink r:id="rId215" w:history="1">
        <w:r w:rsidRPr="005E5A41">
          <w:rPr>
            <w:rStyle w:val="Hyperlink"/>
          </w:rPr>
          <w:t>website</w:t>
        </w:r>
      </w:hyperlink>
      <w:r w:rsidRPr="005E5A41">
        <w:t xml:space="preserve">. </w:t>
      </w:r>
    </w:p>
    <w:p w14:paraId="0CB154B7" w14:textId="77777777" w:rsidR="00C058AC" w:rsidRPr="008A7C2F" w:rsidRDefault="00C058AC" w:rsidP="00C058AC">
      <w:pPr>
        <w:pStyle w:val="BodyText"/>
        <w:rPr>
          <w:b/>
          <w:bCs/>
          <w:caps/>
          <w:noProof/>
          <w:color w:val="0E425C"/>
          <w:sz w:val="28"/>
          <w:szCs w:val="28"/>
        </w:rPr>
      </w:pPr>
      <w:r w:rsidRPr="008A7C2F">
        <w:rPr>
          <w:b/>
          <w:bCs/>
          <w:caps/>
          <w:noProof/>
          <w:color w:val="0E425C"/>
          <w:sz w:val="28"/>
          <w:szCs w:val="28"/>
        </w:rPr>
        <w:t>April is Workplace Violence Previ</w:t>
      </w:r>
      <w:r>
        <w:rPr>
          <w:b/>
          <w:bCs/>
          <w:caps/>
          <w:noProof/>
          <w:color w:val="0E425C"/>
          <w:sz w:val="28"/>
          <w:szCs w:val="28"/>
        </w:rPr>
        <w:t>t</w:t>
      </w:r>
      <w:r w:rsidRPr="008A7C2F">
        <w:rPr>
          <w:b/>
          <w:bCs/>
          <w:caps/>
          <w:noProof/>
          <w:color w:val="0E425C"/>
          <w:sz w:val="28"/>
          <w:szCs w:val="28"/>
        </w:rPr>
        <w:t xml:space="preserve">ion Month </w:t>
      </w:r>
    </w:p>
    <w:p w14:paraId="0A0BA83B" w14:textId="77777777" w:rsidR="00C058AC" w:rsidRPr="00C058AC" w:rsidRDefault="00C058AC" w:rsidP="00C058AC">
      <w:pPr>
        <w:pStyle w:val="BodyText"/>
        <w:rPr>
          <w:color w:val="auto"/>
        </w:rPr>
      </w:pPr>
      <w:r w:rsidRPr="00C058AC">
        <w:rPr>
          <w:color w:val="auto"/>
        </w:rPr>
        <w:t>With April being designated as Workplace Violence Prevention Month, it is a great time for employers to not only understand that dangerous altercations can happen anywhere, even at work, but also assess the need for related handbook policies as violent acts are the third leading cause of injuries in the workplace.</w:t>
      </w:r>
    </w:p>
    <w:p w14:paraId="7C41984D" w14:textId="77777777" w:rsidR="00C058AC" w:rsidRPr="00C058AC" w:rsidRDefault="00C058AC" w:rsidP="00C058AC">
      <w:pPr>
        <w:pStyle w:val="BodyText"/>
        <w:rPr>
          <w:color w:val="auto"/>
        </w:rPr>
      </w:pPr>
      <w:r w:rsidRPr="00C058AC">
        <w:rPr>
          <w:color w:val="auto"/>
        </w:rPr>
        <w:t xml:space="preserve">Anyone who </w:t>
      </w:r>
      <w:proofErr w:type="gramStart"/>
      <w:r w:rsidRPr="00C058AC">
        <w:rPr>
          <w:color w:val="auto"/>
        </w:rPr>
        <w:t>comes in contact with</w:t>
      </w:r>
      <w:proofErr w:type="gramEnd"/>
      <w:r w:rsidRPr="00C058AC">
        <w:rPr>
          <w:color w:val="auto"/>
        </w:rPr>
        <w:t xml:space="preserve"> your business – employees, customers, contractors, vendors and even parties connected to employees – can create a safety risk, and at present, there are no federal regulations mandating that employers take steps to prevent or respond to workplace violence. However, employers are still expected to maintain a hazard-free workplace under the Occupational Safety and Health Act’s General Duty Clause.  When it comes to enforcement, the Occupational Safety and Health Administration (OSHA) typically looks at whether an employer knew or should have known of a serious risk and failed to act.</w:t>
      </w:r>
      <w:r w:rsidRPr="00C058AC">
        <w:rPr>
          <w:rFonts w:ascii="Georgia" w:hAnsi="Georgia"/>
          <w:b/>
          <w:bCs/>
          <w:color w:val="auto"/>
          <w:spacing w:val="3"/>
          <w:sz w:val="27"/>
          <w:szCs w:val="27"/>
          <w:shd w:val="clear" w:color="auto" w:fill="FFFFFF"/>
        </w:rPr>
        <w:t xml:space="preserve"> </w:t>
      </w:r>
      <w:r w:rsidRPr="00C058AC">
        <w:rPr>
          <w:b/>
          <w:bCs/>
          <w:color w:val="auto"/>
        </w:rPr>
        <w:t>At the state level, it’s a different story. </w:t>
      </w:r>
      <w:r w:rsidRPr="00C058AC">
        <w:rPr>
          <w:color w:val="auto"/>
        </w:rPr>
        <w:t>More than half of the states have issued their own workplace violence prevention rules for employers, but many are limited to healthcare settings. These rules vary broadly and typically apply to different sectors. The common thread among these state rules is that they require employers to develop comprehensive plans, implement training, keep records, and remediate after the incident. </w:t>
      </w:r>
    </w:p>
    <w:p w14:paraId="7B7CBD00" w14:textId="77777777" w:rsidR="00C058AC" w:rsidRPr="00C058AC" w:rsidRDefault="00C058AC" w:rsidP="00C058AC">
      <w:pPr>
        <w:pStyle w:val="BodyText"/>
        <w:rPr>
          <w:color w:val="auto"/>
        </w:rPr>
      </w:pPr>
      <w:r w:rsidRPr="00C058AC">
        <w:rPr>
          <w:color w:val="auto"/>
        </w:rPr>
        <w:t>Employers are encouraged to review their policies and determine whether they would benefit from adopting a Workplace Violence Policy and/or ensuring their policies address related employee expectations as to prohibited conduct and/or weapons.  Additionally, multi-state employers are encouraged understand any applicable state regulations and/or requirements related to workplace violence.</w:t>
      </w:r>
    </w:p>
    <w:p w14:paraId="7E80C3E7" w14:textId="77777777" w:rsidR="008F584F" w:rsidRPr="00DD7BD1" w:rsidRDefault="008F584F" w:rsidP="001558B8">
      <w:pPr>
        <w:pStyle w:val="BodyText"/>
        <w:spacing w:after="0" w:line="240" w:lineRule="auto"/>
        <w:ind w:right="274"/>
        <w:rPr>
          <w:rFonts w:eastAsiaTheme="minorHAnsi" w:cs="Calibri"/>
          <w:b/>
          <w:bCs/>
          <w:color w:val="auto"/>
          <w:kern w:val="36"/>
          <w:szCs w:val="22"/>
        </w:rPr>
      </w:pPr>
    </w:p>
    <w:p w14:paraId="73E4A459" w14:textId="130AB048" w:rsidR="006A0AA7" w:rsidRPr="00DD7BD1" w:rsidRDefault="006A0AA7"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February 2026 Alerts/Reminders:</w:t>
      </w:r>
    </w:p>
    <w:p w14:paraId="68EEC62D" w14:textId="21342A32" w:rsidR="00B32A03" w:rsidRPr="00DD7BD1" w:rsidRDefault="00B32A03" w:rsidP="00B32A03">
      <w:pPr>
        <w:pStyle w:val="Heading1"/>
        <w:shd w:val="clear" w:color="auto" w:fill="FFFFFF"/>
        <w:spacing w:before="0" w:beforeAutospacing="0" w:after="0" w:afterAutospacing="0" w:line="264" w:lineRule="atLeast"/>
        <w:ind w:left="54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Benefits_____________________________________________________________________________</w:t>
      </w:r>
    </w:p>
    <w:p w14:paraId="2B359C4B" w14:textId="77777777" w:rsidR="00B32A03" w:rsidRPr="00DD7BD1" w:rsidRDefault="00B32A03" w:rsidP="00B32A03">
      <w:pPr>
        <w:pStyle w:val="Heading1"/>
        <w:spacing w:before="0" w:beforeAutospacing="0" w:after="0" w:afterAutospacing="0"/>
        <w:ind w:left="1080"/>
        <w:rPr>
          <w:rFonts w:ascii="Calibri" w:hAnsi="Calibri" w:cs="Calibri"/>
          <w:color w:val="0070C0"/>
          <w:sz w:val="24"/>
          <w:szCs w:val="24"/>
        </w:rPr>
      </w:pPr>
      <w:r w:rsidRPr="00DD7BD1">
        <w:rPr>
          <w:rFonts w:ascii="Calibri" w:eastAsiaTheme="minorHAnsi" w:hAnsi="Calibri" w:cs="Calibri"/>
          <w:color w:val="C00000"/>
          <w:sz w:val="24"/>
          <w:szCs w:val="24"/>
          <w:u w:val="single"/>
        </w:rPr>
        <w:t>New!</w:t>
      </w:r>
      <w:r w:rsidRPr="00DD7BD1">
        <w:rPr>
          <w:rFonts w:ascii="Calibri" w:eastAsiaTheme="minorHAnsi" w:hAnsi="Calibri" w:cs="Calibri"/>
          <w:color w:val="0070C0"/>
          <w:sz w:val="24"/>
          <w:szCs w:val="24"/>
          <w:u w:val="single"/>
        </w:rPr>
        <w:t xml:space="preserve"> </w:t>
      </w:r>
      <w:r w:rsidRPr="00DD7BD1">
        <w:rPr>
          <w:rFonts w:ascii="Calibri" w:hAnsi="Calibri" w:cs="Calibri"/>
          <w:sz w:val="24"/>
          <w:szCs w:val="24"/>
        </w:rPr>
        <w:t>Benefit</w:t>
      </w:r>
      <w:r w:rsidRPr="00DD7BD1">
        <w:rPr>
          <w:rFonts w:ascii="Calibri" w:hAnsi="Calibri" w:cs="Calibri"/>
          <w:spacing w:val="-11"/>
          <w:sz w:val="24"/>
          <w:szCs w:val="24"/>
        </w:rPr>
        <w:t xml:space="preserve"> </w:t>
      </w:r>
      <w:r w:rsidRPr="00DD7BD1">
        <w:rPr>
          <w:rFonts w:ascii="Calibri" w:hAnsi="Calibri" w:cs="Calibri"/>
          <w:sz w:val="24"/>
          <w:szCs w:val="24"/>
        </w:rPr>
        <w:t>Plans</w:t>
      </w:r>
      <w:r w:rsidRPr="00DD7BD1">
        <w:rPr>
          <w:rFonts w:ascii="Calibri" w:hAnsi="Calibri" w:cs="Calibri"/>
          <w:spacing w:val="-12"/>
          <w:sz w:val="24"/>
          <w:szCs w:val="24"/>
        </w:rPr>
        <w:t xml:space="preserve"> </w:t>
      </w:r>
      <w:r w:rsidRPr="00DD7BD1">
        <w:rPr>
          <w:rFonts w:ascii="Calibri" w:hAnsi="Calibri" w:cs="Calibri"/>
          <w:sz w:val="24"/>
          <w:szCs w:val="24"/>
        </w:rPr>
        <w:t>Starting</w:t>
      </w:r>
      <w:r w:rsidRPr="00DD7BD1">
        <w:rPr>
          <w:rFonts w:ascii="Calibri" w:hAnsi="Calibri" w:cs="Calibri"/>
          <w:spacing w:val="-5"/>
          <w:sz w:val="24"/>
          <w:szCs w:val="24"/>
        </w:rPr>
        <w:t xml:space="preserve"> </w:t>
      </w:r>
      <w:r w:rsidRPr="00DD7BD1">
        <w:rPr>
          <w:rFonts w:ascii="Calibri" w:hAnsi="Calibri" w:cs="Calibri"/>
          <w:i/>
          <w:iCs/>
          <w:color w:val="0070C0"/>
          <w:sz w:val="24"/>
          <w:szCs w:val="24"/>
        </w:rPr>
        <w:t>February</w:t>
      </w:r>
      <w:r w:rsidRPr="00DD7BD1">
        <w:rPr>
          <w:rFonts w:ascii="Calibri" w:hAnsi="Calibri" w:cs="Calibri"/>
          <w:i/>
          <w:iCs/>
          <w:color w:val="0070C0"/>
          <w:spacing w:val="-12"/>
          <w:sz w:val="24"/>
          <w:szCs w:val="24"/>
        </w:rPr>
        <w:t xml:space="preserve"> </w:t>
      </w:r>
      <w:r w:rsidRPr="00DD7BD1">
        <w:rPr>
          <w:rFonts w:ascii="Calibri" w:hAnsi="Calibri" w:cs="Calibri"/>
          <w:i/>
          <w:iCs/>
          <w:color w:val="0070C0"/>
          <w:sz w:val="24"/>
          <w:szCs w:val="24"/>
        </w:rPr>
        <w:t>1</w:t>
      </w:r>
      <w:r w:rsidRPr="00DD7BD1">
        <w:rPr>
          <w:rFonts w:ascii="Calibri" w:hAnsi="Calibri" w:cs="Calibri"/>
          <w:color w:val="0070C0"/>
          <w:spacing w:val="-28"/>
          <w:sz w:val="24"/>
          <w:szCs w:val="24"/>
        </w:rPr>
        <w:t xml:space="preserve"> </w:t>
      </w:r>
      <w:r w:rsidRPr="00DD7BD1">
        <w:rPr>
          <w:rFonts w:ascii="Calibri" w:hAnsi="Calibri" w:cs="Calibri"/>
          <w:sz w:val="24"/>
          <w:szCs w:val="24"/>
        </w:rPr>
        <w:t>-</w:t>
      </w:r>
      <w:r w:rsidRPr="00DD7BD1">
        <w:rPr>
          <w:rFonts w:ascii="Calibri" w:hAnsi="Calibri" w:cs="Calibri"/>
          <w:spacing w:val="-6"/>
          <w:sz w:val="24"/>
          <w:szCs w:val="24"/>
        </w:rPr>
        <w:t xml:space="preserve"> </w:t>
      </w:r>
      <w:r w:rsidRPr="00DD7BD1">
        <w:rPr>
          <w:rFonts w:ascii="Calibri" w:hAnsi="Calibri" w:cs="Calibri"/>
          <w:sz w:val="24"/>
          <w:szCs w:val="24"/>
        </w:rPr>
        <w:t>Employer’s</w:t>
      </w:r>
      <w:r w:rsidRPr="00DD7BD1">
        <w:rPr>
          <w:rFonts w:ascii="Calibri" w:hAnsi="Calibri" w:cs="Calibri"/>
          <w:spacing w:val="-11"/>
          <w:sz w:val="24"/>
          <w:szCs w:val="24"/>
        </w:rPr>
        <w:t xml:space="preserve"> </w:t>
      </w:r>
      <w:r w:rsidRPr="00DD7BD1">
        <w:rPr>
          <w:rFonts w:ascii="Calibri" w:hAnsi="Calibri" w:cs="Calibri"/>
          <w:sz w:val="24"/>
          <w:szCs w:val="24"/>
        </w:rPr>
        <w:t>CMS</w:t>
      </w:r>
      <w:r w:rsidRPr="00DD7BD1">
        <w:rPr>
          <w:rFonts w:ascii="Calibri" w:hAnsi="Calibri" w:cs="Calibri"/>
          <w:spacing w:val="-9"/>
          <w:sz w:val="24"/>
          <w:szCs w:val="24"/>
        </w:rPr>
        <w:t xml:space="preserve"> </w:t>
      </w:r>
      <w:r w:rsidRPr="00DD7BD1">
        <w:rPr>
          <w:rFonts w:ascii="Calibri" w:hAnsi="Calibri" w:cs="Calibri"/>
          <w:sz w:val="24"/>
          <w:szCs w:val="24"/>
        </w:rPr>
        <w:t>Part</w:t>
      </w:r>
      <w:r w:rsidRPr="00DD7BD1">
        <w:rPr>
          <w:rFonts w:ascii="Calibri" w:hAnsi="Calibri" w:cs="Calibri"/>
          <w:spacing w:val="-9"/>
          <w:sz w:val="24"/>
          <w:szCs w:val="24"/>
        </w:rPr>
        <w:t xml:space="preserve"> </w:t>
      </w:r>
      <w:r w:rsidRPr="00DD7BD1">
        <w:rPr>
          <w:rFonts w:ascii="Calibri" w:hAnsi="Calibri" w:cs="Calibri"/>
          <w:sz w:val="24"/>
          <w:szCs w:val="24"/>
        </w:rPr>
        <w:t>D</w:t>
      </w:r>
      <w:r w:rsidRPr="00DD7BD1">
        <w:rPr>
          <w:rFonts w:ascii="Calibri" w:hAnsi="Calibri" w:cs="Calibri"/>
          <w:spacing w:val="-12"/>
          <w:sz w:val="24"/>
          <w:szCs w:val="24"/>
        </w:rPr>
        <w:t xml:space="preserve"> </w:t>
      </w:r>
      <w:r w:rsidRPr="00DD7BD1">
        <w:rPr>
          <w:rFonts w:ascii="Calibri" w:hAnsi="Calibri" w:cs="Calibri"/>
          <w:sz w:val="24"/>
          <w:szCs w:val="24"/>
        </w:rPr>
        <w:t>Creditable</w:t>
      </w:r>
      <w:r w:rsidRPr="00DD7BD1">
        <w:rPr>
          <w:rFonts w:ascii="Calibri" w:hAnsi="Calibri" w:cs="Calibri"/>
          <w:spacing w:val="-11"/>
          <w:sz w:val="24"/>
          <w:szCs w:val="24"/>
        </w:rPr>
        <w:t xml:space="preserve"> </w:t>
      </w:r>
      <w:r w:rsidRPr="00DD7BD1">
        <w:rPr>
          <w:rFonts w:ascii="Calibri" w:hAnsi="Calibri" w:cs="Calibri"/>
          <w:sz w:val="24"/>
          <w:szCs w:val="24"/>
        </w:rPr>
        <w:t>Coverage Online</w:t>
      </w:r>
      <w:r w:rsidRPr="00DD7BD1">
        <w:rPr>
          <w:rFonts w:ascii="Calibri" w:hAnsi="Calibri" w:cs="Calibri"/>
          <w:spacing w:val="-6"/>
          <w:sz w:val="24"/>
          <w:szCs w:val="24"/>
        </w:rPr>
        <w:t xml:space="preserve"> </w:t>
      </w:r>
      <w:r w:rsidRPr="00DD7BD1">
        <w:rPr>
          <w:rFonts w:ascii="Calibri" w:hAnsi="Calibri" w:cs="Calibri"/>
          <w:sz w:val="24"/>
          <w:szCs w:val="24"/>
        </w:rPr>
        <w:t>Disclosure</w:t>
      </w:r>
      <w:r w:rsidRPr="00DD7BD1">
        <w:rPr>
          <w:rFonts w:ascii="Calibri" w:hAnsi="Calibri" w:cs="Calibri"/>
          <w:spacing w:val="-5"/>
          <w:sz w:val="24"/>
          <w:szCs w:val="24"/>
        </w:rPr>
        <w:t xml:space="preserve"> </w:t>
      </w:r>
      <w:r w:rsidRPr="00DD7BD1">
        <w:rPr>
          <w:rFonts w:ascii="Calibri" w:hAnsi="Calibri" w:cs="Calibri"/>
          <w:sz w:val="24"/>
          <w:szCs w:val="24"/>
        </w:rPr>
        <w:t xml:space="preserve">– </w:t>
      </w:r>
      <w:r w:rsidRPr="00DD7BD1">
        <w:rPr>
          <w:rFonts w:ascii="Calibri" w:hAnsi="Calibri" w:cs="Calibri"/>
          <w:color w:val="0070C0"/>
          <w:sz w:val="24"/>
          <w:szCs w:val="24"/>
        </w:rPr>
        <w:t>March 31,</w:t>
      </w:r>
      <w:r w:rsidRPr="00DD7BD1">
        <w:rPr>
          <w:rFonts w:ascii="Calibri" w:hAnsi="Calibri" w:cs="Calibri"/>
          <w:color w:val="0070C0"/>
          <w:spacing w:val="-9"/>
          <w:sz w:val="24"/>
          <w:szCs w:val="24"/>
        </w:rPr>
        <w:t xml:space="preserve"> </w:t>
      </w:r>
      <w:r w:rsidRPr="00DD7BD1">
        <w:rPr>
          <w:rFonts w:ascii="Calibri" w:hAnsi="Calibri" w:cs="Calibri"/>
          <w:color w:val="0070C0"/>
          <w:sz w:val="24"/>
          <w:szCs w:val="24"/>
        </w:rPr>
        <w:t>2026</w:t>
      </w:r>
    </w:p>
    <w:p w14:paraId="42B9AAF5"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u w:val="single"/>
        </w:rPr>
        <w:t xml:space="preserve"> </w:t>
      </w:r>
      <w:r w:rsidRPr="00DD7BD1">
        <w:rPr>
          <w:rFonts w:ascii="Calibri" w:hAnsi="Calibri" w:cs="Calibri"/>
          <w:sz w:val="24"/>
          <w:szCs w:val="24"/>
        </w:rPr>
        <w:t>Annual HIPAA Notice of Privacy Practices (NPP) for Self &amp; Level Funded Health Plans –</w:t>
      </w:r>
      <w:r w:rsidRPr="00DD7BD1">
        <w:rPr>
          <w:rFonts w:ascii="Calibri" w:hAnsi="Calibri" w:cs="Calibri"/>
          <w:color w:val="C00000"/>
          <w:sz w:val="24"/>
          <w:szCs w:val="24"/>
        </w:rPr>
        <w:t xml:space="preserve"> </w:t>
      </w:r>
      <w:r w:rsidRPr="00DD7BD1">
        <w:rPr>
          <w:rFonts w:ascii="Calibri" w:hAnsi="Calibri" w:cs="Calibri"/>
          <w:color w:val="0070C0"/>
          <w:sz w:val="24"/>
          <w:szCs w:val="24"/>
        </w:rPr>
        <w:t>Eff Feb 16, 2026</w:t>
      </w:r>
    </w:p>
    <w:p w14:paraId="258EC65B" w14:textId="25A537CA"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Department of Health and Human Services (HHS) now requires specific updates to some </w:t>
      </w:r>
      <w:r w:rsidRPr="00DD7BD1">
        <w:rPr>
          <w:rFonts w:ascii="Calibri" w:hAnsi="Calibri" w:cs="Calibri"/>
          <w:b/>
          <w:bCs/>
        </w:rPr>
        <w:t>HIPAA Notice of Privacy Practices (NPPs or Notices)</w:t>
      </w:r>
      <w:r w:rsidRPr="00DD7BD1">
        <w:rPr>
          <w:rFonts w:ascii="Calibri" w:hAnsi="Calibri" w:cs="Calibri"/>
        </w:rPr>
        <w:t xml:space="preserve">. The updated Notice must now </w:t>
      </w:r>
      <w:proofErr w:type="gramStart"/>
      <w:r w:rsidRPr="00DD7BD1">
        <w:rPr>
          <w:rFonts w:ascii="Calibri" w:hAnsi="Calibri" w:cs="Calibri"/>
        </w:rPr>
        <w:t>aligns</w:t>
      </w:r>
      <w:proofErr w:type="gramEnd"/>
      <w:r w:rsidRPr="00DD7BD1">
        <w:rPr>
          <w:rFonts w:ascii="Calibri" w:hAnsi="Calibri" w:cs="Calibri"/>
        </w:rPr>
        <w:t xml:space="preserve"> with federal Substance Use Disorder (SUD) privacy protections (42 CFR Part 2) and is mandatory for organizations handling Protected Health Information (PHI) as of February 16.  Additionally on Feb 13, 2026, the U.S. Department of Health and Human </w:t>
      </w:r>
      <w:r w:rsidRPr="00DD7BD1">
        <w:rPr>
          <w:rFonts w:ascii="Calibri" w:hAnsi="Calibri" w:cs="Calibri"/>
        </w:rPr>
        <w:lastRenderedPageBreak/>
        <w:t xml:space="preserve">Services (HHS) released updated </w:t>
      </w:r>
      <w:hyperlink r:id="rId216" w:history="1">
        <w:r w:rsidRPr="00DD7BD1">
          <w:rPr>
            <w:rStyle w:val="Hyperlink"/>
            <w:rFonts w:ascii="Calibri" w:hAnsi="Calibri" w:cs="Calibri"/>
          </w:rPr>
          <w:t>model HIPAA Notices of Privacy Practices</w:t>
        </w:r>
      </w:hyperlink>
      <w:r w:rsidRPr="00DD7BD1">
        <w:rPr>
          <w:rFonts w:ascii="Calibri" w:hAnsi="Calibri" w:cs="Calibri"/>
        </w:rPr>
        <w:t xml:space="preserve"> (Privacy Notices) for health plans and health care providers to use.</w:t>
      </w:r>
    </w:p>
    <w:p w14:paraId="715C59BD" w14:textId="77777777" w:rsidR="00B32A03" w:rsidRPr="00DD7BD1" w:rsidRDefault="00B32A03" w:rsidP="00B32A03">
      <w:pPr>
        <w:pStyle w:val="Heading2"/>
        <w:tabs>
          <w:tab w:val="left" w:pos="630"/>
        </w:tabs>
        <w:spacing w:line="276" w:lineRule="auto"/>
        <w:ind w:left="1260" w:right="360"/>
        <w:rPr>
          <w:rFonts w:ascii="Calibri" w:hAnsi="Calibri" w:cs="Calibri"/>
          <w:b/>
          <w:bCs/>
          <w:color w:val="auto"/>
          <w:sz w:val="22"/>
          <w:szCs w:val="22"/>
        </w:rPr>
      </w:pPr>
      <w:r w:rsidRPr="00DD7BD1">
        <w:rPr>
          <w:rFonts w:ascii="Calibri" w:hAnsi="Calibri" w:cs="Calibri"/>
          <w:b/>
          <w:bCs/>
          <w:color w:val="auto"/>
          <w:sz w:val="22"/>
          <w:szCs w:val="22"/>
        </w:rPr>
        <w:t>HIPAA Privacy Notice</w:t>
      </w:r>
    </w:p>
    <w:p w14:paraId="7EEB88D7"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HIPAA Privacy Rule generally requires covered entities to develop and distribute a Privacy Notice that provides a clear, user-friendly explanation of individuals’ rights with respect to their protected health information (PHI) and the entity’s privacy practices. </w:t>
      </w:r>
    </w:p>
    <w:p w14:paraId="2CED9093" w14:textId="77777777" w:rsidR="00B32A03" w:rsidRPr="00DD7BD1" w:rsidRDefault="00B32A03" w:rsidP="00B32A03">
      <w:pPr>
        <w:tabs>
          <w:tab w:val="left" w:pos="630"/>
        </w:tabs>
        <w:spacing w:after="100" w:line="276" w:lineRule="auto"/>
        <w:ind w:left="1260" w:right="360"/>
        <w:rPr>
          <w:rFonts w:ascii="Calibri" w:hAnsi="Calibri" w:cs="Calibri"/>
        </w:rPr>
      </w:pPr>
      <w:r w:rsidRPr="00DD7BD1">
        <w:rPr>
          <w:rFonts w:ascii="Calibri" w:hAnsi="Calibri" w:cs="Calibri"/>
        </w:rPr>
        <w:t xml:space="preserve">Self-insured health plans must maintain and provide their own Privacy Notices at enrollment time, when there is a material change to the notice and upon request. Special rules apply to fully insured health plans, which generally make the health insurance issuer, and not the health plan itself, primarily responsible for the Privacy Notice. Under these special rules: </w:t>
      </w:r>
    </w:p>
    <w:p w14:paraId="30D0239B" w14:textId="77777777" w:rsidR="00B32A03" w:rsidRPr="00DD7BD1" w:rsidRDefault="00B32A03">
      <w:pPr>
        <w:pStyle w:val="ListParagraph"/>
        <w:numPr>
          <w:ilvl w:val="0"/>
          <w:numId w:val="317"/>
        </w:numPr>
        <w:tabs>
          <w:tab w:val="left" w:pos="288"/>
          <w:tab w:val="left" w:pos="630"/>
        </w:tabs>
        <w:spacing w:after="60" w:line="276" w:lineRule="auto"/>
        <w:ind w:left="1980" w:right="360"/>
        <w:contextualSpacing w:val="0"/>
        <w:rPr>
          <w:rFonts w:ascii="Calibri" w:hAnsi="Calibri" w:cs="Calibri"/>
        </w:rPr>
      </w:pPr>
      <w:r w:rsidRPr="00DD7BD1">
        <w:rPr>
          <w:rFonts w:ascii="Calibri" w:hAnsi="Calibri" w:cs="Calibri"/>
        </w:rPr>
        <w:t xml:space="preserve">Fully insured health plans that do not have access to PHI (other than enrollment and summary health information) are not required to maintain or provide a Privacy Notice. </w:t>
      </w:r>
    </w:p>
    <w:p w14:paraId="3BF2C0BC" w14:textId="77777777" w:rsidR="00B32A03" w:rsidRPr="00DD7BD1" w:rsidRDefault="00B32A03">
      <w:pPr>
        <w:pStyle w:val="ListParagraph"/>
        <w:numPr>
          <w:ilvl w:val="0"/>
          <w:numId w:val="317"/>
        </w:numPr>
        <w:tabs>
          <w:tab w:val="left" w:pos="288"/>
          <w:tab w:val="left" w:pos="630"/>
        </w:tabs>
        <w:spacing w:after="100" w:line="276" w:lineRule="auto"/>
        <w:ind w:left="1980" w:right="360"/>
        <w:contextualSpacing w:val="0"/>
        <w:rPr>
          <w:rFonts w:ascii="Calibri" w:hAnsi="Calibri" w:cs="Calibri"/>
        </w:rPr>
      </w:pPr>
      <w:r w:rsidRPr="00DD7BD1">
        <w:rPr>
          <w:rFonts w:ascii="Calibri" w:hAnsi="Calibri" w:cs="Calibri"/>
        </w:rPr>
        <w:t>Fully insured health plans that have access to PHI must maintain a Privacy Notice and provide it upon request.</w:t>
      </w:r>
    </w:p>
    <w:p w14:paraId="6AD8B473" w14:textId="77777777" w:rsidR="00B32A03" w:rsidRPr="00DD7BD1" w:rsidRDefault="00B32A03" w:rsidP="00B32A03">
      <w:pPr>
        <w:pStyle w:val="Heading2"/>
        <w:tabs>
          <w:tab w:val="left" w:pos="630"/>
        </w:tabs>
        <w:spacing w:line="276" w:lineRule="auto"/>
        <w:ind w:left="1260" w:right="360"/>
        <w:rPr>
          <w:rFonts w:ascii="Calibri" w:hAnsi="Calibri" w:cs="Calibri"/>
          <w:b/>
          <w:bCs/>
          <w:sz w:val="22"/>
          <w:szCs w:val="22"/>
        </w:rPr>
      </w:pPr>
      <w:r w:rsidRPr="00DD7BD1">
        <w:rPr>
          <w:rFonts w:ascii="Calibri" w:hAnsi="Calibri" w:cs="Calibri"/>
          <w:b/>
          <w:bCs/>
          <w:color w:val="auto"/>
          <w:sz w:val="22"/>
          <w:szCs w:val="22"/>
        </w:rPr>
        <w:t>Updates for Part 2 Records</w:t>
      </w:r>
    </w:p>
    <w:p w14:paraId="168F9CE9"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Federal law protects the privacy of patient records related to SUD. The law applies to federally assisted programs providing education, prevention, training, treatment, rehabilitation, or research for SUD. The law provides safeguards and procedures for using and disclosing Part 2 records, including criteria for court orders to authorize disclosure of SUD records. </w:t>
      </w:r>
    </w:p>
    <w:p w14:paraId="1E83574F"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A </w:t>
      </w:r>
      <w:hyperlink r:id="rId217" w:history="1">
        <w:r w:rsidRPr="00DD7BD1">
          <w:rPr>
            <w:rStyle w:val="Hyperlink"/>
            <w:rFonts w:ascii="Calibri" w:hAnsi="Calibri" w:cs="Calibri"/>
          </w:rPr>
          <w:t>final rule</w:t>
        </w:r>
      </w:hyperlink>
      <w:r w:rsidRPr="00DD7BD1">
        <w:rPr>
          <w:rFonts w:ascii="Calibri" w:hAnsi="Calibri" w:cs="Calibri"/>
        </w:rPr>
        <w:t xml:space="preserve"> issued by HHS in April 2024 requires covered entities to update their HIPAA Privacy Notices if they receive or maintain Part 2 records. The updated Privacy Notices must address how the covered entity may use and disclose Part 2 records, the entity’s responsibilities with respect to the records and individuals’ privacy rights. The deadline for updating Privacy Notices for these additional privacy protections was </w:t>
      </w:r>
      <w:r w:rsidRPr="00DD7BD1">
        <w:rPr>
          <w:rFonts w:ascii="Calibri" w:hAnsi="Calibri" w:cs="Calibri"/>
          <w:b/>
          <w:bCs/>
        </w:rPr>
        <w:t>Feb. 16, 2026</w:t>
      </w:r>
      <w:r w:rsidRPr="00DD7BD1">
        <w:rPr>
          <w:rFonts w:ascii="Calibri" w:hAnsi="Calibri" w:cs="Calibri"/>
        </w:rPr>
        <w:t xml:space="preserve">. </w:t>
      </w:r>
    </w:p>
    <w:p w14:paraId="712C6EF8" w14:textId="2CFC7F9D"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Previously, HHS maintained model Privacy Notices in various formats (e.g., booklet, full-page, layered, and text-only versions) and provided Spanish translations for each format. In connection with updating its model Privacy Notices to incorporate the requirements for Part 2 records, HHS consolidated its model notices to single </w:t>
      </w:r>
      <w:hyperlink r:id="rId218" w:history="1">
        <w:r w:rsidRPr="00DD7BD1">
          <w:rPr>
            <w:rStyle w:val="Hyperlink"/>
            <w:rFonts w:ascii="Calibri" w:hAnsi="Calibri" w:cs="Calibri"/>
          </w:rPr>
          <w:t>text-only versions</w:t>
        </w:r>
      </w:hyperlink>
      <w:r w:rsidRPr="00DD7BD1">
        <w:rPr>
          <w:rFonts w:ascii="Calibri" w:hAnsi="Calibri" w:cs="Calibri"/>
        </w:rPr>
        <w:t xml:space="preserve"> for health plans and health care providers. </w:t>
      </w:r>
    </w:p>
    <w:p w14:paraId="50AA09E4"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MISC_____________________________________________________________________________</w:t>
      </w:r>
    </w:p>
    <w:p w14:paraId="264A5BF4"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Federal Mileage Reimbursement Rate 2026</w:t>
      </w:r>
    </w:p>
    <w:p w14:paraId="0DB6573E"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sz w:val="22"/>
        </w:rPr>
        <w:t>For 2026, the IRS standard mileage rate will be 72.5 cents per mile driven for business purposes (up from 70 cents in 2025). This rate also applies to electric and hybrid vehicles. Use of this rate is optional for private employers, though it’s widely accepted as an easy and standard reimbursement rate for employees who use their personal vehicle for work. If your organization uses the IRS rate to calculate mileage reimbursement, be sure to update your systems to account for this change.</w:t>
      </w:r>
    </w:p>
    <w:p w14:paraId="273D9076" w14:textId="77777777" w:rsidR="00B32A03" w:rsidRPr="00DD7BD1" w:rsidRDefault="00B32A03" w:rsidP="00B32A03">
      <w:pPr>
        <w:pStyle w:val="Heading1"/>
        <w:spacing w:before="0" w:beforeAutospacing="0" w:after="0" w:afterAutospacing="0"/>
        <w:rPr>
          <w:rFonts w:ascii="Calibri" w:hAnsi="Calibri" w:cs="Calibri"/>
          <w:color w:val="C00000"/>
          <w:sz w:val="16"/>
          <w:szCs w:val="16"/>
        </w:rPr>
      </w:pPr>
    </w:p>
    <w:p w14:paraId="7FDBB569"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ACA______________________________________________________________________________</w:t>
      </w:r>
    </w:p>
    <w:p w14:paraId="2ACB8657"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ACA 1095 Tax Form Distribution Due </w:t>
      </w:r>
      <w:r w:rsidRPr="00DD7BD1">
        <w:rPr>
          <w:rFonts w:ascii="Calibri" w:hAnsi="Calibri" w:cs="Calibri"/>
          <w:color w:val="0070C0"/>
          <w:sz w:val="24"/>
          <w:szCs w:val="24"/>
        </w:rPr>
        <w:t>March 2, 2026</w:t>
      </w:r>
    </w:p>
    <w:p w14:paraId="5CED818F" w14:textId="77777777" w:rsidR="00B32A03" w:rsidRPr="00DD7BD1" w:rsidRDefault="00B32A03" w:rsidP="00B32A03">
      <w:pPr>
        <w:pStyle w:val="TableParagraph"/>
        <w:spacing w:before="3" w:line="276" w:lineRule="auto"/>
        <w:ind w:left="1260"/>
        <w:jc w:val="left"/>
        <w:rPr>
          <w:rFonts w:ascii="Calibri" w:hAnsi="Calibri" w:cs="Calibri"/>
        </w:rPr>
      </w:pPr>
      <w:r w:rsidRPr="00DD7BD1">
        <w:rPr>
          <w:rFonts w:ascii="Calibri" w:eastAsia="Times New Roman" w:hAnsi="Calibri" w:cs="Calibri"/>
          <w:kern w:val="36"/>
        </w:rPr>
        <w:t xml:space="preserve">Distribution of the 1095-B (self-insured and level funded only plans of less than 50 FTEs) and 1095-C (&gt;50 FTE Applicable Large Employers (ALEs)) to employees by this deadline is required. Regulations require these forms are </w:t>
      </w:r>
      <w:r w:rsidRPr="00DD7BD1">
        <w:rPr>
          <w:rFonts w:ascii="Calibri" w:eastAsia="Times New Roman" w:hAnsi="Calibri" w:cs="Calibri"/>
          <w:kern w:val="36"/>
        </w:rPr>
        <w:lastRenderedPageBreak/>
        <w:t xml:space="preserve">due no later than 30 days after Jan 31 of the following year (or next business day if the 30th falls on a weekend or holiday). Access the Distribution Rules: </w:t>
      </w:r>
      <w:hyperlink r:id="rId219" w:anchor="en_US_2021_publink100033116" w:history="1">
        <w:r w:rsidRPr="00DD7BD1">
          <w:rPr>
            <w:rStyle w:val="Hyperlink"/>
            <w:rFonts w:ascii="Calibri" w:hAnsi="Calibri" w:cs="Calibri"/>
            <w:i/>
            <w:spacing w:val="-2"/>
          </w:rPr>
          <w:t>https://www.irs.gov/instructions/i109495c#en_US_2021_publink100033116</w:t>
        </w:r>
      </w:hyperlink>
    </w:p>
    <w:p w14:paraId="1E902F81" w14:textId="77777777" w:rsidR="00B32A03" w:rsidRPr="00DD7BD1" w:rsidRDefault="00B32A03" w:rsidP="00B32A03">
      <w:pPr>
        <w:pStyle w:val="TableParagraph"/>
        <w:spacing w:before="3" w:line="247" w:lineRule="auto"/>
        <w:ind w:left="0"/>
        <w:jc w:val="left"/>
        <w:rPr>
          <w:rFonts w:ascii="Calibri" w:hAnsi="Calibri" w:cs="Calibri"/>
        </w:rPr>
      </w:pPr>
    </w:p>
    <w:p w14:paraId="1C7B3890" w14:textId="77777777" w:rsidR="00B32A03" w:rsidRPr="00DD7BD1" w:rsidRDefault="00B32A03" w:rsidP="00B32A03">
      <w:pPr>
        <w:pStyle w:val="Heading1"/>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 xml:space="preserve">ACA 1095 Electronic Tax Filing Due </w:t>
      </w:r>
      <w:r w:rsidRPr="00DD7BD1">
        <w:rPr>
          <w:rFonts w:ascii="Calibri" w:hAnsi="Calibri" w:cs="Calibri"/>
          <w:color w:val="0070C0"/>
          <w:sz w:val="24"/>
          <w:szCs w:val="24"/>
        </w:rPr>
        <w:t>March 31, 2026</w:t>
      </w:r>
    </w:p>
    <w:p w14:paraId="3E35B7D7" w14:textId="77777777" w:rsidR="00B32A03" w:rsidRPr="00DD7BD1" w:rsidRDefault="00B32A03" w:rsidP="00B32A03">
      <w:pPr>
        <w:pStyle w:val="BodyText"/>
        <w:spacing w:after="0" w:line="276" w:lineRule="auto"/>
        <w:ind w:left="1260" w:right="274"/>
        <w:rPr>
          <w:rFonts w:cs="Calibri"/>
          <w:b/>
          <w:bCs/>
          <w:color w:val="CE2C43"/>
          <w:szCs w:val="22"/>
        </w:rPr>
      </w:pPr>
      <w:r w:rsidRPr="00DD7BD1">
        <w:rPr>
          <w:rFonts w:cs="Calibri"/>
          <w:color w:val="auto"/>
          <w:szCs w:val="22"/>
        </w:rPr>
        <w:t>The Affordable Care Act (ACA) created reporting requirements under Internal Revenue Code (Code) Sections 6055 and 6056. Under these rules, certain employers must provide information to the IRS about the health plan coverage they offer (or do not offer) to their employees.   On Feb. 23, 2023, the IRS released a</w:t>
      </w:r>
      <w:r w:rsidRPr="00DD7BD1">
        <w:rPr>
          <w:rFonts w:cs="Calibri"/>
          <w:szCs w:val="22"/>
        </w:rPr>
        <w:t xml:space="preserve"> </w:t>
      </w:r>
      <w:hyperlink r:id="rId220" w:history="1">
        <w:r w:rsidRPr="00DD7BD1">
          <w:rPr>
            <w:rStyle w:val="Hyperlink"/>
            <w:rFonts w:eastAsiaTheme="majorEastAsia" w:cs="Calibri"/>
            <w:szCs w:val="22"/>
          </w:rPr>
          <w:t>final rule</w:t>
        </w:r>
      </w:hyperlink>
      <w:r w:rsidRPr="00DD7BD1">
        <w:rPr>
          <w:rFonts w:cs="Calibri"/>
          <w:szCs w:val="22"/>
        </w:rPr>
        <w:t xml:space="preserve"> </w:t>
      </w:r>
      <w:r w:rsidRPr="00DD7BD1">
        <w:rPr>
          <w:rFonts w:cs="Calibri"/>
          <w:color w:val="auto"/>
          <w:szCs w:val="22"/>
        </w:rPr>
        <w:t xml:space="preserve">which lowers the 250-return threshold for mandatory electronic reporting to </w:t>
      </w:r>
      <w:r w:rsidRPr="00DD7BD1">
        <w:rPr>
          <w:rFonts w:cs="Calibri"/>
          <w:b/>
          <w:bCs/>
          <w:color w:val="auto"/>
          <w:szCs w:val="22"/>
        </w:rPr>
        <w:t>10 returns</w:t>
      </w:r>
      <w:r w:rsidRPr="00DD7BD1">
        <w:rPr>
          <w:rFonts w:cs="Calibri"/>
          <w:color w:val="auto"/>
          <w:szCs w:val="22"/>
        </w:rPr>
        <w:t>.</w:t>
      </w:r>
      <w:r w:rsidRPr="00DD7BD1">
        <w:rPr>
          <w:rFonts w:cs="Calibri"/>
          <w:szCs w:val="22"/>
        </w:rPr>
        <w:t xml:space="preserve"> </w:t>
      </w:r>
      <w:r w:rsidRPr="00DD7BD1">
        <w:rPr>
          <w:rFonts w:cs="Calibri"/>
          <w:b/>
          <w:bCs/>
          <w:color w:val="CE2C43"/>
          <w:szCs w:val="22"/>
        </w:rPr>
        <w:t>As a result, most reporting entities are now required to complete their ACA reporting electronically.</w:t>
      </w:r>
    </w:p>
    <w:p w14:paraId="2DDA908B" w14:textId="77777777" w:rsidR="00B32A03" w:rsidRPr="00DD7BD1" w:rsidRDefault="00B32A03" w:rsidP="00B32A03">
      <w:pPr>
        <w:pStyle w:val="BodyText"/>
        <w:spacing w:after="0" w:line="240" w:lineRule="auto"/>
        <w:ind w:right="274"/>
        <w:rPr>
          <w:rFonts w:cs="Calibri"/>
          <w:b/>
          <w:bCs/>
          <w:color w:val="CE2C43"/>
          <w:szCs w:val="22"/>
        </w:rPr>
      </w:pPr>
    </w:p>
    <w:p w14:paraId="34E7EB61" w14:textId="77777777" w:rsidR="00B32A03" w:rsidRPr="00DD7BD1" w:rsidRDefault="00B32A03" w:rsidP="00B32A03">
      <w:pPr>
        <w:pStyle w:val="Heading1"/>
        <w:spacing w:before="0" w:beforeAutospacing="0" w:after="0" w:afterAutospacing="0"/>
        <w:ind w:left="1080" w:right="540"/>
        <w:rPr>
          <w:rFonts w:ascii="Calibri" w:hAnsi="Calibri" w:cs="Calibri"/>
          <w:sz w:val="26"/>
          <w:szCs w:val="26"/>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2026 Fe</w:t>
      </w:r>
      <w:r w:rsidRPr="00DD7BD1">
        <w:rPr>
          <w:rFonts w:ascii="Calibri" w:hAnsi="Calibri" w:cs="Calibri"/>
          <w:sz w:val="26"/>
          <w:szCs w:val="26"/>
        </w:rPr>
        <w:t>deral Poverty Levels Impact Employer Liability Under ACA Pay-or-Play Rules</w:t>
      </w:r>
    </w:p>
    <w:p w14:paraId="1B541610" w14:textId="522DBDC4"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To avoid pay-or-</w:t>
      </w:r>
      <w:proofErr w:type="spellStart"/>
      <w:r w:rsidRPr="00DD7BD1">
        <w:rPr>
          <w:rFonts w:ascii="Calibri" w:hAnsi="Calibri" w:cs="Calibri"/>
          <w:sz w:val="22"/>
        </w:rPr>
        <w:t>play</w:t>
      </w:r>
      <w:proofErr w:type="spellEnd"/>
      <w:r w:rsidRPr="00DD7BD1">
        <w:rPr>
          <w:rFonts w:ascii="Calibri" w:hAnsi="Calibri" w:cs="Calibri"/>
          <w:sz w:val="22"/>
        </w:rPr>
        <w:t xml:space="preserve">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221" w:history="1">
        <w:r w:rsidRPr="00DD7BD1">
          <w:rPr>
            <w:rStyle w:val="Hyperlink"/>
            <w:rFonts w:ascii="Calibri" w:eastAsiaTheme="majorEastAsia" w:hAnsi="Calibri" w:cs="Calibri"/>
            <w:sz w:val="22"/>
          </w:rPr>
          <w:t>2025 FPL guidelines</w:t>
        </w:r>
      </w:hyperlink>
      <w:r w:rsidRPr="00DD7BD1">
        <w:rPr>
          <w:rFonts w:ascii="Calibri" w:hAnsi="Calibri" w:cs="Calibri"/>
          <w:sz w:val="22"/>
        </w:rPr>
        <w:t xml:space="preserve"> for the 2026 plan year, while ALEs with non-calendar-year health plans may use the new 2026 FPL guidelines.</w:t>
      </w:r>
    </w:p>
    <w:p w14:paraId="0BEBAA8F" w14:textId="77777777" w:rsidR="00B32A03" w:rsidRPr="00DD7BD1" w:rsidRDefault="00B32A03" w:rsidP="00B32A03">
      <w:pPr>
        <w:pStyle w:val="bodytext0"/>
        <w:spacing w:after="0"/>
        <w:ind w:left="1260"/>
        <w:rPr>
          <w:rFonts w:ascii="Calibri" w:hAnsi="Calibri" w:cs="Calibri"/>
          <w:sz w:val="16"/>
          <w:szCs w:val="16"/>
        </w:rPr>
      </w:pPr>
    </w:p>
    <w:p w14:paraId="03DF1FFC"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Overtime__________________________________________________________________________</w:t>
      </w:r>
    </w:p>
    <w:p w14:paraId="21DAB48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IRS Releases FAQs Addressing New Deduction for Qualified Overtime (OBBB)</w:t>
      </w:r>
    </w:p>
    <w:p w14:paraId="5C4CD791" w14:textId="251395D1"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On January 23, 2026, the Department of Treasury and the Internal Revenue Service (IRS) issued</w:t>
      </w:r>
      <w:r w:rsidRPr="00DD7BD1">
        <w:rPr>
          <w:rFonts w:ascii="Calibri" w:hAnsi="Calibri" w:cs="Calibri"/>
          <w:color w:val="C00000"/>
          <w:sz w:val="22"/>
        </w:rPr>
        <w:t> </w:t>
      </w:r>
      <w:hyperlink r:id="rId222" w:tgtFrame="_blank" w:history="1">
        <w:r w:rsidRPr="00DD7BD1">
          <w:rPr>
            <w:rStyle w:val="Hyperlink"/>
            <w:rFonts w:ascii="Calibri" w:hAnsi="Calibri" w:cs="Calibri"/>
            <w:sz w:val="22"/>
          </w:rPr>
          <w:t>Fact Sheet 2026-01</w:t>
        </w:r>
      </w:hyperlink>
      <w:r w:rsidRPr="00DD7BD1">
        <w:rPr>
          <w:rFonts w:ascii="Calibri" w:hAnsi="Calibri" w:cs="Calibri"/>
          <w:sz w:val="22"/>
        </w:rPr>
        <w:t xml:space="preserve">, providing answers to frequently asked questions (FAQs) about the new “Deduction for Qualified Overtime Compensation” created by the One Big Beautiful Bill Act (the OBBBA). The FAQs also </w:t>
      </w:r>
      <w:proofErr w:type="gramStart"/>
      <w:r w:rsidRPr="00DD7BD1">
        <w:rPr>
          <w:rFonts w:ascii="Calibri" w:hAnsi="Calibri" w:cs="Calibri"/>
          <w:sz w:val="22"/>
        </w:rPr>
        <w:t>provides</w:t>
      </w:r>
      <w:proofErr w:type="gramEnd"/>
      <w:r w:rsidRPr="00DD7BD1">
        <w:rPr>
          <w:rFonts w:ascii="Calibri" w:hAnsi="Calibri" w:cs="Calibri"/>
          <w:sz w:val="22"/>
        </w:rPr>
        <w:t xml:space="preserve"> resources and guidance that are intended to help assist individuals in determining whether they are FLSA overtime-eligible employees and </w:t>
      </w:r>
      <w:proofErr w:type="gramStart"/>
      <w:r w:rsidRPr="00DD7BD1">
        <w:rPr>
          <w:rFonts w:ascii="Calibri" w:hAnsi="Calibri" w:cs="Calibri"/>
          <w:sz w:val="22"/>
        </w:rPr>
        <w:t>received</w:t>
      </w:r>
      <w:proofErr w:type="gramEnd"/>
      <w:r w:rsidRPr="00DD7BD1">
        <w:rPr>
          <w:rFonts w:ascii="Calibri" w:hAnsi="Calibri" w:cs="Calibri"/>
          <w:sz w:val="22"/>
        </w:rPr>
        <w:t xml:space="preserve"> qualified overtime compensation.</w:t>
      </w:r>
    </w:p>
    <w:p w14:paraId="0AF6AEEB" w14:textId="7235BD81"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OSHA_______________________________________________________________________________</w:t>
      </w:r>
    </w:p>
    <w:p w14:paraId="34A12DA9" w14:textId="77777777" w:rsidR="00B32A03" w:rsidRPr="00DD7BD1" w:rsidRDefault="00B32A03" w:rsidP="00B32A03">
      <w:pPr>
        <w:pStyle w:val="Heading1"/>
        <w:shd w:val="clear" w:color="auto" w:fill="FFFFFF"/>
        <w:tabs>
          <w:tab w:val="left" w:pos="1080"/>
        </w:tabs>
        <w:spacing w:before="0" w:beforeAutospacing="0" w:after="0" w:afterAutospacing="0"/>
        <w:ind w:left="1080"/>
        <w:rPr>
          <w:rFonts w:ascii="Calibri" w:hAnsi="Calibri" w:cs="Calibri"/>
          <w:spacing w:val="-11"/>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pacing w:val="-11"/>
          <w:sz w:val="24"/>
          <w:szCs w:val="24"/>
        </w:rPr>
        <w:t>Federal: OSHA Form 300A Posting Begins Feb 1 &amp; Electronic Reporting Mar 2</w:t>
      </w:r>
    </w:p>
    <w:p w14:paraId="26618064" w14:textId="77777777"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Form 300A Workplace Posting Begins February 1</w:t>
      </w:r>
    </w:p>
    <w:p w14:paraId="0587478F" w14:textId="77777777"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223" w:tgtFrame="_blank" w:history="1">
        <w:r w:rsidRPr="00DD7BD1">
          <w:rPr>
            <w:rStyle w:val="Hyperlink"/>
            <w:rFonts w:ascii="Calibri" w:hAnsi="Calibri" w:cs="Calibri"/>
            <w:spacing w:val="-11"/>
            <w:sz w:val="22"/>
          </w:rPr>
          <w:t>here</w:t>
        </w:r>
      </w:hyperlink>
      <w:r w:rsidRPr="00DD7BD1">
        <w:rPr>
          <w:rFonts w:ascii="Calibri" w:hAnsi="Calibri" w:cs="Calibri"/>
          <w:spacing w:val="-11"/>
          <w:sz w:val="22"/>
        </w:rPr>
        <w:t>. (</w:t>
      </w:r>
      <w:r w:rsidRPr="00DD7BD1">
        <w:rPr>
          <w:rFonts w:ascii="Calibri" w:hAnsi="Calibri" w:cs="Calibri"/>
          <w:sz w:val="22"/>
        </w:rPr>
        <w:t>The exemption is “partial” because all employers must notify OSHA when an employee is killed on the job or suffers a work-related hospitalization, amputation, or loss of an eye.)</w:t>
      </w:r>
    </w:p>
    <w:p w14:paraId="39274AF5" w14:textId="42EE793B"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Form 300A Electronic Submission Due by March 2</w:t>
      </w:r>
      <w:r w:rsidRPr="00DD7BD1">
        <w:rPr>
          <w:rFonts w:ascii="Calibri" w:hAnsi="Calibri" w:cs="Calibri"/>
          <w:sz w:val="22"/>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spacing w:val="-11"/>
          <w:sz w:val="22"/>
        </w:rPr>
        <w:t> </w:t>
      </w:r>
      <w:hyperlink r:id="rId224" w:tgtFrame="_blank" w:history="1">
        <w:r w:rsidRPr="00DD7BD1">
          <w:rPr>
            <w:rStyle w:val="Hyperlink"/>
            <w:rFonts w:ascii="Calibri" w:hAnsi="Calibri" w:cs="Calibri"/>
            <w:spacing w:val="-11"/>
            <w:sz w:val="22"/>
          </w:rPr>
          <w:t>Injury Tracking Application</w:t>
        </w:r>
      </w:hyperlink>
      <w:r w:rsidRPr="00DD7BD1">
        <w:rPr>
          <w:rFonts w:ascii="Calibri" w:hAnsi="Calibri" w:cs="Calibri"/>
          <w:w w:val="110"/>
          <w:sz w:val="22"/>
        </w:rPr>
        <w:t> </w:t>
      </w:r>
      <w:r w:rsidRPr="00DD7BD1">
        <w:rPr>
          <w:rFonts w:ascii="Calibri" w:hAnsi="Calibri" w:cs="Calibri"/>
          <w:sz w:val="22"/>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spacing w:val="-11"/>
          <w:sz w:val="22"/>
        </w:rPr>
        <w:t> </w:t>
      </w:r>
      <w:hyperlink r:id="rId225" w:tgtFrame="_blank" w:history="1">
        <w:r w:rsidRPr="00DD7BD1">
          <w:rPr>
            <w:rStyle w:val="Hyperlink"/>
            <w:rFonts w:ascii="Calibri" w:hAnsi="Calibri" w:cs="Calibri"/>
            <w:spacing w:val="-11"/>
            <w:sz w:val="22"/>
          </w:rPr>
          <w:t>must also use the ITA</w:t>
        </w:r>
      </w:hyperlink>
      <w:r w:rsidRPr="00DD7BD1">
        <w:rPr>
          <w:rFonts w:ascii="Calibri" w:hAnsi="Calibri" w:cs="Calibri"/>
          <w:w w:val="110"/>
          <w:sz w:val="22"/>
        </w:rPr>
        <w:t> </w:t>
      </w:r>
      <w:r w:rsidRPr="00DD7BD1">
        <w:rPr>
          <w:rFonts w:ascii="Calibri" w:hAnsi="Calibri" w:cs="Calibri"/>
          <w:sz w:val="22"/>
        </w:rPr>
        <w:t>to send data electronically.</w:t>
      </w:r>
      <w:r w:rsidRPr="00DD7BD1">
        <w:rPr>
          <w:rFonts w:ascii="Calibri" w:hAnsi="Calibri" w:cs="Calibri"/>
          <w:spacing w:val="-11"/>
          <w:sz w:val="22"/>
        </w:rPr>
        <w:t xml:space="preserve"> </w:t>
      </w:r>
      <w:r w:rsidRPr="00DD7BD1">
        <w:rPr>
          <w:rFonts w:ascii="Calibri" w:hAnsi="Calibri" w:cs="Calibri"/>
          <w:sz w:val="22"/>
        </w:rPr>
        <w:t>Employers that meet any of the following criteria DO NOT have to send Form 300A information to OSHA.</w:t>
      </w:r>
      <w:r w:rsidRPr="00DD7BD1">
        <w:rPr>
          <w:rFonts w:ascii="Calibri" w:hAnsi="Calibri" w:cs="Calibri"/>
          <w:spacing w:val="-11"/>
          <w:sz w:val="22"/>
        </w:rPr>
        <w:t xml:space="preserve"> </w:t>
      </w:r>
      <w:r w:rsidRPr="00DD7BD1">
        <w:rPr>
          <w:rFonts w:ascii="Calibri" w:hAnsi="Calibri" w:cs="Calibri"/>
          <w:sz w:val="22"/>
        </w:rPr>
        <w:t>Additional information, FAQs, and the ITA can be found on OSHA’s</w:t>
      </w:r>
      <w:r w:rsidRPr="00DD7BD1">
        <w:rPr>
          <w:rFonts w:ascii="Calibri" w:hAnsi="Calibri" w:cs="Calibri"/>
          <w:w w:val="110"/>
          <w:sz w:val="22"/>
        </w:rPr>
        <w:t> </w:t>
      </w:r>
      <w:hyperlink r:id="rId226" w:tgtFrame="_blank" w:history="1">
        <w:r w:rsidRPr="00DD7BD1">
          <w:rPr>
            <w:rStyle w:val="Hyperlink"/>
            <w:rFonts w:ascii="Calibri" w:hAnsi="Calibri" w:cs="Calibri"/>
            <w:spacing w:val="-11"/>
            <w:sz w:val="22"/>
          </w:rPr>
          <w:t>ITA page</w:t>
        </w:r>
      </w:hyperlink>
      <w:r w:rsidRPr="00DD7BD1">
        <w:rPr>
          <w:rFonts w:ascii="Calibri" w:hAnsi="Calibri" w:cs="Calibri"/>
          <w:spacing w:val="-11"/>
          <w:sz w:val="22"/>
        </w:rPr>
        <w:t>.</w:t>
      </w:r>
    </w:p>
    <w:p w14:paraId="33736AE7" w14:textId="19AE9766"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lastRenderedPageBreak/>
        <w:t>MISC_______________________________________________________________________________</w:t>
      </w:r>
    </w:p>
    <w:p w14:paraId="6DD8E7D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 xml:space="preserve">Update! </w:t>
      </w:r>
      <w:r w:rsidRPr="00DD7BD1">
        <w:rPr>
          <w:rFonts w:ascii="Calibri" w:hAnsi="Calibri" w:cs="Calibri"/>
          <w:sz w:val="24"/>
          <w:szCs w:val="24"/>
        </w:rPr>
        <w:t>NLRB Reinstates the 2020 Joint Employer Rule</w:t>
      </w:r>
    </w:p>
    <w:p w14:paraId="3543580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On Feb. 26, 2026, the National Labor Relations Board (NLRB) </w:t>
      </w:r>
      <w:hyperlink r:id="rId227" w:history="1">
        <w:r w:rsidRPr="00DD7BD1">
          <w:rPr>
            <w:rStyle w:val="Hyperlink"/>
            <w:rFonts w:ascii="Calibri" w:hAnsi="Calibri" w:cs="Calibri"/>
            <w:sz w:val="22"/>
          </w:rPr>
          <w:t>announced</w:t>
        </w:r>
      </w:hyperlink>
      <w:r w:rsidRPr="00DD7BD1">
        <w:rPr>
          <w:rFonts w:ascii="Calibri" w:hAnsi="Calibri" w:cs="Calibri"/>
          <w:sz w:val="22"/>
        </w:rPr>
        <w:t xml:space="preserve"> a final rule reestablishing the 2020 joint employer rule for determining joint-employer status. The final rule was </w:t>
      </w:r>
      <w:hyperlink r:id="rId228" w:history="1">
        <w:r w:rsidRPr="00DD7BD1">
          <w:rPr>
            <w:rStyle w:val="Hyperlink"/>
            <w:rFonts w:ascii="Calibri" w:hAnsi="Calibri" w:cs="Calibri"/>
            <w:sz w:val="22"/>
          </w:rPr>
          <w:t>published</w:t>
        </w:r>
      </w:hyperlink>
      <w:r w:rsidRPr="00DD7BD1">
        <w:rPr>
          <w:rFonts w:ascii="Calibri" w:hAnsi="Calibri" w:cs="Calibri"/>
          <w:sz w:val="22"/>
        </w:rPr>
        <w:t xml:space="preserve"> in the Federal Register on </w:t>
      </w:r>
      <w:r w:rsidRPr="00DD7BD1">
        <w:rPr>
          <w:rFonts w:ascii="Calibri" w:hAnsi="Calibri" w:cs="Calibri"/>
          <w:b/>
          <w:bCs/>
          <w:sz w:val="22"/>
        </w:rPr>
        <w:t>Feb. 27, 2026</w:t>
      </w:r>
      <w:r w:rsidRPr="00DD7BD1">
        <w:rPr>
          <w:rFonts w:ascii="Calibri" w:hAnsi="Calibri" w:cs="Calibri"/>
          <w:sz w:val="22"/>
        </w:rPr>
        <w:t>, and took effect immediately.</w:t>
      </w:r>
    </w:p>
    <w:p w14:paraId="73960466" w14:textId="77777777" w:rsidR="00B32A03" w:rsidRPr="00DD7BD1" w:rsidRDefault="00B32A03" w:rsidP="00B32A03">
      <w:pPr>
        <w:pStyle w:val="bodytext0"/>
        <w:spacing w:after="0"/>
        <w:ind w:left="1260"/>
        <w:rPr>
          <w:rFonts w:ascii="Calibri" w:hAnsi="Calibri" w:cs="Calibri"/>
          <w:sz w:val="22"/>
        </w:rPr>
      </w:pPr>
    </w:p>
    <w:p w14:paraId="5D33ABCC"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Joint-employment situations can happen when two or more employers share personnel hiring, supervision and management practices. When a joint-employment status exists, joint employers are equally responsible for compliance with applicable laws and regulations.  </w:t>
      </w:r>
    </w:p>
    <w:p w14:paraId="22529CEF" w14:textId="77777777" w:rsidR="00B32A03" w:rsidRPr="00DD7BD1" w:rsidRDefault="00B32A03" w:rsidP="00B32A03">
      <w:pPr>
        <w:pStyle w:val="bodytext0"/>
        <w:spacing w:after="0"/>
        <w:ind w:left="1260"/>
        <w:rPr>
          <w:rFonts w:ascii="Calibri" w:hAnsi="Calibri" w:cs="Calibri"/>
          <w:color w:val="1F3864" w:themeColor="accent1" w:themeShade="80"/>
          <w:sz w:val="22"/>
        </w:rPr>
      </w:pPr>
    </w:p>
    <w:p w14:paraId="565B3EE9"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b/>
          <w:bCs/>
          <w:sz w:val="22"/>
        </w:rPr>
        <w:t xml:space="preserve"> </w:t>
      </w:r>
      <w:r w:rsidRPr="00DD7BD1">
        <w:rPr>
          <w:rFonts w:ascii="Calibri" w:hAnsi="Calibri" w:cs="Calibri"/>
          <w:sz w:val="22"/>
        </w:rPr>
        <w:t>On Oct. 27, 2023, the NLRB published a final rule that established new criteria for determining joint-employer status as applied to labor issues under the National Labor Relations Act. As such, employers should have been relying on the 2020 joint-employer standard to determine whether joint employment exists since the U.S. District Court for the Eastern District of Texas’ 2024 ruling.  The final rule now officially replaces the vacated 2023 joint employer rule with the 2020 joint-employer standard.</w:t>
      </w:r>
    </w:p>
    <w:p w14:paraId="0589526E" w14:textId="77777777" w:rsidR="00B32A03" w:rsidRPr="00DD7BD1" w:rsidRDefault="00B32A03" w:rsidP="00B32A03">
      <w:pPr>
        <w:pStyle w:val="bodytext0"/>
        <w:spacing w:after="0"/>
        <w:ind w:left="1260"/>
        <w:rPr>
          <w:rFonts w:ascii="Calibri" w:hAnsi="Calibri" w:cs="Calibri"/>
          <w:b/>
          <w:bCs/>
          <w:sz w:val="16"/>
          <w:szCs w:val="16"/>
        </w:rPr>
      </w:pPr>
    </w:p>
    <w:p w14:paraId="002BFB04"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b/>
          <w:bCs/>
          <w:sz w:val="22"/>
        </w:rPr>
        <w:t>Background</w:t>
      </w:r>
    </w:p>
    <w:p w14:paraId="32496CA5"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The NLRB announced that it is revising its rules and regulations to replace the vacated regulatory text of the 2023 joint employer rule with the 2020 joint employer rule that remained in effect due to the vacatur. The final rule is to take effect immediately. The final rule considers the </w:t>
      </w:r>
      <w:r w:rsidRPr="00DD7BD1">
        <w:rPr>
          <w:rFonts w:ascii="Calibri" w:hAnsi="Calibri" w:cs="Calibri"/>
          <w:b/>
          <w:bCs/>
          <w:sz w:val="22"/>
        </w:rPr>
        <w:t>“substantial direct and immediate control”</w:t>
      </w:r>
      <w:r w:rsidRPr="00DD7BD1">
        <w:rPr>
          <w:rFonts w:ascii="Calibri" w:hAnsi="Calibri" w:cs="Calibri"/>
          <w:sz w:val="22"/>
        </w:rPr>
        <w:t xml:space="preserve"> employers have over the essential terms and conditions of employment for individuals employed by another organization. Specifically, the final rule indicates that a business is a joint employer of another employer’s employees only if the degree of control is of sufficient magnitude to conclude that the joint employer meaningfully affects matters relating to the employment relationship. In addition, under the final rule, other evidence may suggest (but not prove) the existence of joint-employer status, particularly when it points to indirect control or the right to exert control through contract or agreement, even when control is never exercised.</w:t>
      </w:r>
    </w:p>
    <w:p w14:paraId="45D9C584" w14:textId="77777777" w:rsidR="00B32A03" w:rsidRPr="00DD7BD1" w:rsidRDefault="00B32A03" w:rsidP="00B32A03">
      <w:pPr>
        <w:pStyle w:val="Heading1"/>
        <w:spacing w:before="0" w:beforeAutospacing="0" w:after="0" w:afterAutospacing="0"/>
        <w:ind w:left="1080"/>
        <w:rPr>
          <w:rFonts w:ascii="Calibri" w:hAnsi="Calibri" w:cs="Calibri"/>
          <w:color w:val="1F3864" w:themeColor="accent1" w:themeShade="80"/>
          <w:sz w:val="24"/>
          <w:szCs w:val="24"/>
        </w:rPr>
      </w:pPr>
    </w:p>
    <w:p w14:paraId="4E7B3D6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Update!</w:t>
      </w:r>
      <w:r w:rsidRPr="00DD7BD1">
        <w:rPr>
          <w:rFonts w:ascii="Calibri" w:hAnsi="Calibri" w:cs="Calibri"/>
          <w:sz w:val="24"/>
          <w:szCs w:val="24"/>
        </w:rPr>
        <w:t xml:space="preserve"> DEI-related 2025 Executive Orders–4th Circuit Vacates Injunction of Trump DEI Executive Orders</w:t>
      </w:r>
    </w:p>
    <w:p w14:paraId="68F0950D"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 xml:space="preserve">On </w:t>
      </w:r>
      <w:r w:rsidRPr="00DD7BD1">
        <w:rPr>
          <w:rFonts w:ascii="Calibri" w:hAnsi="Calibri" w:cs="Calibri"/>
          <w:b/>
          <w:bCs/>
          <w:sz w:val="22"/>
        </w:rPr>
        <w:t>Feb. 6, 2026</w:t>
      </w:r>
      <w:r w:rsidRPr="00DD7BD1">
        <w:rPr>
          <w:rFonts w:ascii="Calibri" w:hAnsi="Calibri" w:cs="Calibri"/>
          <w:sz w:val="22"/>
        </w:rPr>
        <w:t xml:space="preserve">, the U.S. Court of Appeals for the 4th Circuit </w:t>
      </w:r>
      <w:hyperlink r:id="rId229" w:history="1">
        <w:r w:rsidRPr="00DD7BD1">
          <w:rPr>
            <w:rStyle w:val="Hyperlink"/>
            <w:rFonts w:ascii="Calibri" w:hAnsi="Calibri" w:cs="Calibri"/>
            <w:sz w:val="22"/>
          </w:rPr>
          <w:t>vacated</w:t>
        </w:r>
      </w:hyperlink>
      <w:r w:rsidRPr="00DD7BD1">
        <w:rPr>
          <w:rFonts w:ascii="Calibri" w:hAnsi="Calibri" w:cs="Calibri"/>
          <w:sz w:val="22"/>
        </w:rPr>
        <w:t xml:space="preserve"> a nationwide preliminary injunction that temporarily blocked certain provisions of Executive Orders (EOs)</w:t>
      </w:r>
      <w:r w:rsidRPr="00DD7BD1">
        <w:rPr>
          <w:rFonts w:ascii="Calibri" w:hAnsi="Calibri" w:cs="Calibri"/>
          <w:b/>
          <w:bCs/>
          <w:sz w:val="22"/>
        </w:rPr>
        <w:t xml:space="preserve"> </w:t>
      </w:r>
      <w:hyperlink r:id="rId230" w:history="1">
        <w:r w:rsidRPr="00DD7BD1">
          <w:rPr>
            <w:rStyle w:val="Hyperlink"/>
            <w:rFonts w:ascii="Calibri" w:hAnsi="Calibri" w:cs="Calibri"/>
            <w:sz w:val="22"/>
          </w:rPr>
          <w:t>14151</w:t>
        </w:r>
      </w:hyperlink>
      <w:r w:rsidRPr="00DD7BD1">
        <w:rPr>
          <w:rFonts w:ascii="Calibri" w:hAnsi="Calibri" w:cs="Calibri"/>
          <w:sz w:val="22"/>
        </w:rPr>
        <w:t xml:space="preserve"> and </w:t>
      </w:r>
      <w:hyperlink r:id="rId231" w:history="1">
        <w:r w:rsidRPr="00DD7BD1">
          <w:rPr>
            <w:rStyle w:val="Hyperlink"/>
            <w:rFonts w:ascii="Calibri" w:hAnsi="Calibri" w:cs="Calibri"/>
            <w:sz w:val="22"/>
          </w:rPr>
          <w:t>14173</w:t>
        </w:r>
      </w:hyperlink>
      <w:r w:rsidRPr="00DD7BD1">
        <w:rPr>
          <w:rFonts w:ascii="Calibri" w:hAnsi="Calibri" w:cs="Calibri"/>
          <w:sz w:val="22"/>
        </w:rPr>
        <w:t xml:space="preserve"> issued by President Donald Trump on Jan. 20, 2025, and Jan. 21, 2025, respectively. The EOs aim to combat “illegal diversity, equity and inclusion (DEI) programs” in the federal and private sectors. The 4th Circuit had previously stayed the injunction on March 14, 2025, pending a final decision on the merits. </w:t>
      </w:r>
    </w:p>
    <w:p w14:paraId="709309BB"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EOs 14151 and 14173 seek to terminate all illegal DEI mandates, policies, programs, preferences and activities in the federal and private sectors.</w:t>
      </w:r>
    </w:p>
    <w:p w14:paraId="386FE9FA" w14:textId="07528C0D" w:rsidR="00B32A03" w:rsidRPr="00DD7BD1" w:rsidRDefault="00B32A03" w:rsidP="00B32A03">
      <w:pPr>
        <w:pStyle w:val="bodytext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The 4th Circuit ruling does provide clarity to employers as it confirms that the Trump administration may continue its enforcement activity under the Eos. neither the initial EOs nor the 4th Circuit ruling alter the employers’ legal obligations, as employers are still prohibited from considering an individual’s protected classification (e.g., race, color, sex, religion, age or national origin) in employment decisions. Therefore, employers may consider reviewing existing DEI practices to ensure they do not discriminate </w:t>
      </w:r>
      <w:proofErr w:type="gramStart"/>
      <w:r w:rsidRPr="00DD7BD1">
        <w:rPr>
          <w:rFonts w:ascii="Calibri" w:hAnsi="Calibri" w:cs="Calibri"/>
          <w:sz w:val="22"/>
        </w:rPr>
        <w:t>on the basis of</w:t>
      </w:r>
      <w:proofErr w:type="gramEnd"/>
      <w:r w:rsidRPr="00DD7BD1">
        <w:rPr>
          <w:rFonts w:ascii="Calibri" w:hAnsi="Calibri" w:cs="Calibri"/>
          <w:sz w:val="22"/>
        </w:rPr>
        <w:t xml:space="preserve"> a federally protected classification.</w:t>
      </w:r>
    </w:p>
    <w:p w14:paraId="386FEB65"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Federal Contractors__________________________________________________________________</w:t>
      </w:r>
    </w:p>
    <w:p w14:paraId="38A657C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lastRenderedPageBreak/>
        <w:t>New!</w:t>
      </w:r>
      <w:r w:rsidRPr="00DD7BD1">
        <w:rPr>
          <w:rFonts w:ascii="Calibri" w:hAnsi="Calibri" w:cs="Calibri"/>
          <w:color w:val="0070C0"/>
          <w:sz w:val="24"/>
          <w:szCs w:val="24"/>
        </w:rPr>
        <w:t xml:space="preserve"> </w:t>
      </w:r>
      <w:r w:rsidRPr="00DD7BD1">
        <w:rPr>
          <w:rFonts w:ascii="Calibri" w:hAnsi="Calibri" w:cs="Calibri"/>
          <w:sz w:val="24"/>
          <w:szCs w:val="24"/>
        </w:rPr>
        <w:t xml:space="preserve">DOL Announces New Minimum Wage Covered by EO 13658 - Eff </w:t>
      </w:r>
      <w:r w:rsidRPr="00DD7BD1">
        <w:rPr>
          <w:rFonts w:ascii="Calibri" w:hAnsi="Calibri" w:cs="Calibri"/>
          <w:color w:val="0070C0"/>
          <w:sz w:val="24"/>
          <w:szCs w:val="24"/>
        </w:rPr>
        <w:t>May 11, 2026</w:t>
      </w:r>
    </w:p>
    <w:p w14:paraId="6082888B" w14:textId="77777777" w:rsidR="00B32A03" w:rsidRPr="00DD7BD1" w:rsidRDefault="00B32A03" w:rsidP="00B32A03">
      <w:pPr>
        <w:spacing w:line="276" w:lineRule="auto"/>
        <w:ind w:left="1260"/>
        <w:rPr>
          <w:rFonts w:ascii="Calibri" w:hAnsi="Calibri" w:cs="Calibri"/>
        </w:rPr>
      </w:pPr>
      <w:r w:rsidRPr="00DD7BD1">
        <w:rPr>
          <w:rFonts w:ascii="Calibri" w:hAnsi="Calibri" w:cs="Calibri"/>
        </w:rPr>
        <w:t xml:space="preserve">On Feb. 9, 2026, the U.S. Department of Labor’s (DOL) Wage and Hour Division (WHD) </w:t>
      </w:r>
      <w:hyperlink r:id="rId232" w:history="1">
        <w:r w:rsidRPr="00DD7BD1">
          <w:rPr>
            <w:rStyle w:val="Hyperlink"/>
            <w:rFonts w:ascii="Calibri" w:hAnsi="Calibri" w:cs="Calibri"/>
          </w:rPr>
          <w:t>published</w:t>
        </w:r>
      </w:hyperlink>
      <w:r w:rsidRPr="00DD7BD1">
        <w:rPr>
          <w:rFonts w:ascii="Calibri" w:hAnsi="Calibri" w:cs="Calibri"/>
        </w:rPr>
        <w:t xml:space="preserve"> a notice in the Federal Register announcing that the applicable minimum wage rate for workers performing work on or in connection with </w:t>
      </w:r>
      <w:r w:rsidRPr="00DD7BD1">
        <w:rPr>
          <w:rFonts w:ascii="Calibri" w:hAnsi="Calibri" w:cs="Calibri"/>
          <w:b/>
          <w:bCs/>
        </w:rPr>
        <w:t xml:space="preserve">federal contracts </w:t>
      </w:r>
      <w:r w:rsidRPr="00DD7BD1">
        <w:rPr>
          <w:rFonts w:ascii="Calibri" w:hAnsi="Calibri" w:cs="Calibri"/>
        </w:rPr>
        <w:t xml:space="preserve">covered by </w:t>
      </w:r>
      <w:hyperlink r:id="rId233" w:history="1">
        <w:r w:rsidRPr="00DD7BD1">
          <w:rPr>
            <w:rStyle w:val="Hyperlink"/>
            <w:rFonts w:ascii="Calibri" w:hAnsi="Calibri" w:cs="Calibri"/>
          </w:rPr>
          <w:t>Executive Order (EO) 13658</w:t>
        </w:r>
      </w:hyperlink>
      <w:r w:rsidRPr="00DD7BD1">
        <w:rPr>
          <w:rFonts w:ascii="Calibri" w:hAnsi="Calibri" w:cs="Calibri"/>
        </w:rPr>
        <w:t xml:space="preserve"> will </w:t>
      </w:r>
      <w:r w:rsidRPr="00DD7BD1">
        <w:rPr>
          <w:rFonts w:ascii="Calibri" w:hAnsi="Calibri" w:cs="Calibri"/>
          <w:b/>
          <w:bCs/>
        </w:rPr>
        <w:t>increase to $13.65</w:t>
      </w:r>
      <w:r w:rsidRPr="00DD7BD1">
        <w:rPr>
          <w:rFonts w:ascii="Calibri" w:hAnsi="Calibri" w:cs="Calibri"/>
        </w:rPr>
        <w:t xml:space="preserve"> per hour and the required minimum wage cash wage that generally must be paid to tipped employees performing work on or in connection with covered contracts will increase to $9.55 per hour. In the notice, the DOL states that EO 13658 does not apply to contracts awarded, renewed or extended after Jan. 29, 2022.The new minimum wage rates take effect on </w:t>
      </w:r>
      <w:r w:rsidRPr="00DD7BD1">
        <w:rPr>
          <w:rFonts w:ascii="Calibri" w:hAnsi="Calibri" w:cs="Calibri"/>
          <w:b/>
          <w:bCs/>
        </w:rPr>
        <w:t>May 11, 2026</w:t>
      </w:r>
      <w:r w:rsidRPr="00DD7BD1">
        <w:rPr>
          <w:rFonts w:ascii="Calibri" w:hAnsi="Calibri" w:cs="Calibri"/>
        </w:rPr>
        <w:t>.</w:t>
      </w:r>
    </w:p>
    <w:p w14:paraId="0ABD2420" w14:textId="77777777" w:rsidR="00B32A03" w:rsidRPr="00DD7BD1" w:rsidRDefault="00B32A03" w:rsidP="00B32A03">
      <w:pPr>
        <w:pStyle w:val="Heading1"/>
        <w:spacing w:before="0" w:beforeAutospacing="0" w:after="0" w:afterAutospacing="0" w:line="276" w:lineRule="auto"/>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VETS-4212 Data Included in New DOL Portal</w:t>
      </w:r>
    </w:p>
    <w:p w14:paraId="151F9B1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Under the Vietnam Era Veterans’ Readjustment Assistance Act (VEVRAA), covered federal contractors and subcontractors are required to annually report, via VETS-4212 Reports, information about the total number of employees and new hires by location, along with information about how many employees and new hires self-identified as protected veterans by location.</w:t>
      </w:r>
      <w:r w:rsidRPr="00DD7BD1">
        <w:rPr>
          <w:rFonts w:ascii="Calibri" w:hAnsi="Calibri" w:cs="Calibri"/>
          <w:sz w:val="22"/>
        </w:rPr>
        <w:tab/>
      </w:r>
      <w:r w:rsidRPr="00DD7BD1">
        <w:rPr>
          <w:rFonts w:ascii="Calibri" w:hAnsi="Calibri" w:cs="Calibri"/>
          <w:sz w:val="22"/>
        </w:rPr>
        <w:tab/>
      </w:r>
    </w:p>
    <w:p w14:paraId="788EB047" w14:textId="77777777" w:rsidR="00B32A03" w:rsidRPr="00DD7BD1" w:rsidRDefault="00B32A03" w:rsidP="00B32A03">
      <w:pPr>
        <w:pStyle w:val="bodytext0"/>
        <w:ind w:left="1260"/>
        <w:rPr>
          <w:rFonts w:ascii="Calibri" w:hAnsi="Calibri" w:cs="Calibri"/>
          <w:color w:val="C00000"/>
          <w:sz w:val="22"/>
        </w:rPr>
      </w:pPr>
      <w:r w:rsidRPr="00DD7BD1">
        <w:rPr>
          <w:rFonts w:ascii="Calibri" w:hAnsi="Calibri" w:cs="Calibri"/>
          <w:sz w:val="22"/>
        </w:rPr>
        <w:t>The U.S. Department of Labor (DOL) launched a new</w:t>
      </w:r>
      <w:r w:rsidRPr="00DD7BD1">
        <w:rPr>
          <w:rFonts w:ascii="Calibri" w:hAnsi="Calibri" w:cs="Calibri"/>
          <w:color w:val="C00000"/>
          <w:sz w:val="22"/>
        </w:rPr>
        <w:t> </w:t>
      </w:r>
      <w:hyperlink r:id="rId234" w:tgtFrame="_blank" w:history="1">
        <w:r w:rsidRPr="00DD7BD1">
          <w:rPr>
            <w:rStyle w:val="Hyperlink"/>
            <w:rFonts w:ascii="Calibri" w:hAnsi="Calibri" w:cs="Calibri"/>
            <w:b/>
            <w:bCs/>
            <w:sz w:val="22"/>
          </w:rPr>
          <w:t>open data portal</w:t>
        </w:r>
      </w:hyperlink>
      <w:r w:rsidRPr="00DD7BD1">
        <w:rPr>
          <w:rFonts w:ascii="Calibri" w:hAnsi="Calibri" w:cs="Calibri"/>
          <w:sz w:val="22"/>
        </w:rPr>
        <w:t> in connection with the OPEN Government Data Act of 2019 and the Federal Data Strategy to enhance agency alignment and public access to workforce information collected and maintained by DOL agencies. The portal includes over 40 categories of data from agencies such as OSHA, MSHA and the Wage and Hour Division with data being updated weekly. </w:t>
      </w:r>
    </w:p>
    <w:p w14:paraId="18307EC6" w14:textId="49308E17" w:rsidR="006A0AA7" w:rsidRPr="00DD7BD1" w:rsidRDefault="00B32A03" w:rsidP="00B32A03">
      <w:pPr>
        <w:pStyle w:val="bodytext0"/>
        <w:ind w:left="1260"/>
        <w:rPr>
          <w:rFonts w:ascii="Calibri" w:hAnsi="Calibri" w:cs="Calibri"/>
          <w:sz w:val="22"/>
        </w:rPr>
      </w:pPr>
      <w:r w:rsidRPr="00DD7BD1">
        <w:rPr>
          <w:rFonts w:ascii="Calibri" w:hAnsi="Calibri" w:cs="Calibri"/>
          <w:sz w:val="22"/>
        </w:rPr>
        <w:t>Federal contractors should be aware the portal includes company-specific data from </w:t>
      </w:r>
      <w:hyperlink r:id="rId235" w:tgtFrame="_blank" w:history="1">
        <w:r w:rsidRPr="00DD7BD1">
          <w:rPr>
            <w:rStyle w:val="Hyperlink"/>
            <w:rFonts w:ascii="Calibri" w:hAnsi="Calibri" w:cs="Calibri"/>
            <w:b/>
            <w:bCs/>
            <w:sz w:val="22"/>
          </w:rPr>
          <w:t>VETS-4212 Reports</w:t>
        </w:r>
      </w:hyperlink>
      <w:r w:rsidRPr="00DD7BD1">
        <w:rPr>
          <w:rFonts w:ascii="Calibri" w:hAnsi="Calibri" w:cs="Calibri"/>
          <w:sz w:val="22"/>
        </w:rPr>
        <w:t> previously filed with the Veterans’ Employment and Training Service (VETS).</w:t>
      </w:r>
    </w:p>
    <w:p w14:paraId="037FA1FD" w14:textId="77777777" w:rsidR="006A0AA7" w:rsidRPr="00DD7BD1" w:rsidRDefault="006A0AA7" w:rsidP="001558B8">
      <w:pPr>
        <w:pStyle w:val="BodyText"/>
        <w:spacing w:after="0" w:line="240" w:lineRule="auto"/>
        <w:ind w:right="274"/>
        <w:rPr>
          <w:rFonts w:eastAsiaTheme="minorHAnsi" w:cs="Calibri"/>
          <w:b/>
          <w:bCs/>
          <w:color w:val="C00000"/>
          <w:kern w:val="36"/>
          <w:szCs w:val="22"/>
        </w:rPr>
      </w:pPr>
    </w:p>
    <w:p w14:paraId="6FE1579D" w14:textId="2581E6CA" w:rsidR="00DA444A" w:rsidRPr="00DD7BD1" w:rsidRDefault="00DA444A"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January 2026 Alerts/Reminders:</w:t>
      </w:r>
    </w:p>
    <w:p w14:paraId="36D47FB4" w14:textId="3F03B0D0"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January</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February 28,</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2026</w:t>
      </w:r>
    </w:p>
    <w:p w14:paraId="1133DACF"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16"/>
          <w:szCs w:val="16"/>
        </w:rPr>
      </w:pPr>
    </w:p>
    <w:p w14:paraId="0D5DF671" w14:textId="5472466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ACA 1095 Tax Form Distribution Due </w:t>
      </w:r>
      <w:r w:rsidRPr="00DD7BD1">
        <w:rPr>
          <w:rFonts w:ascii="Calibri" w:hAnsi="Calibri" w:cs="Calibri"/>
          <w:color w:val="C00000"/>
          <w:sz w:val="28"/>
          <w:szCs w:val="28"/>
        </w:rPr>
        <w:t>March 2, 2026</w:t>
      </w:r>
    </w:p>
    <w:p w14:paraId="68C40C37" w14:textId="77777777" w:rsidR="00EB6E38" w:rsidRPr="00DD7BD1" w:rsidRDefault="00EB6E38" w:rsidP="00EB6E38">
      <w:pPr>
        <w:pStyle w:val="TableParagraph"/>
        <w:spacing w:before="3" w:line="247" w:lineRule="auto"/>
        <w:ind w:left="147" w:right="416"/>
        <w:jc w:val="left"/>
        <w:rPr>
          <w:rFonts w:ascii="Calibri" w:hAnsi="Calibri" w:cs="Calibri"/>
        </w:rPr>
      </w:pPr>
      <w:r w:rsidRPr="00DD7BD1">
        <w:rPr>
          <w:rFonts w:ascii="Calibri" w:hAnsi="Calibri" w:cs="Calibri"/>
        </w:rPr>
        <w:t xml:space="preserve">Distribution of the </w:t>
      </w:r>
      <w:r w:rsidRPr="00DD7BD1">
        <w:rPr>
          <w:rFonts w:ascii="Calibri" w:hAnsi="Calibri" w:cs="Calibri"/>
          <w:b/>
          <w:bCs/>
        </w:rPr>
        <w:t>1095-B</w:t>
      </w:r>
      <w:r w:rsidRPr="00DD7BD1">
        <w:rPr>
          <w:rFonts w:ascii="Calibri" w:hAnsi="Calibri" w:cs="Calibri"/>
        </w:rPr>
        <w:t xml:space="preserve"> (</w:t>
      </w:r>
      <w:r w:rsidRPr="00DD7BD1">
        <w:rPr>
          <w:rFonts w:ascii="Calibri" w:hAnsi="Calibri" w:cs="Calibri"/>
          <w:b/>
          <w:color w:val="C00000"/>
        </w:rPr>
        <w:t xml:space="preserve">self-insured and level funded only </w:t>
      </w:r>
      <w:r w:rsidRPr="00DD7BD1">
        <w:rPr>
          <w:rFonts w:ascii="Calibri" w:hAnsi="Calibri" w:cs="Calibri"/>
        </w:rPr>
        <w:t>plans of less than</w:t>
      </w:r>
      <w:r w:rsidRPr="00DD7BD1">
        <w:rPr>
          <w:rFonts w:ascii="Calibri" w:hAnsi="Calibri" w:cs="Calibri"/>
          <w:spacing w:val="40"/>
          <w:w w:val="110"/>
        </w:rPr>
        <w:t xml:space="preserve"> </w:t>
      </w:r>
      <w:r w:rsidRPr="00DD7BD1">
        <w:rPr>
          <w:rFonts w:ascii="Calibri" w:hAnsi="Calibri" w:cs="Calibri"/>
          <w:w w:val="110"/>
        </w:rPr>
        <w:t xml:space="preserve">50 FTEs) and </w:t>
      </w:r>
      <w:r w:rsidRPr="00DD7BD1">
        <w:rPr>
          <w:rFonts w:ascii="Calibri" w:hAnsi="Calibri" w:cs="Calibri"/>
          <w:b/>
          <w:bCs/>
          <w:w w:val="110"/>
        </w:rPr>
        <w:t xml:space="preserve">1095-C </w:t>
      </w:r>
      <w:r w:rsidRPr="00DD7BD1">
        <w:rPr>
          <w:rFonts w:ascii="Calibri" w:hAnsi="Calibri" w:cs="Calibri"/>
          <w:w w:val="110"/>
        </w:rPr>
        <w:t>(&gt;50</w:t>
      </w:r>
      <w:r w:rsidRPr="00DD7BD1">
        <w:rPr>
          <w:rFonts w:ascii="Calibri" w:hAnsi="Calibri" w:cs="Calibri"/>
          <w:spacing w:val="-2"/>
          <w:w w:val="110"/>
        </w:rPr>
        <w:t xml:space="preserve"> </w:t>
      </w:r>
      <w:r w:rsidRPr="00DD7BD1">
        <w:rPr>
          <w:rFonts w:ascii="Calibri" w:hAnsi="Calibri" w:cs="Calibri"/>
          <w:w w:val="110"/>
        </w:rPr>
        <w:t>FTE Applicable Large Employers (ALEs)) to employees by this deadline is required. Regulations require these forms are</w:t>
      </w:r>
      <w:r w:rsidRPr="00DD7BD1">
        <w:rPr>
          <w:rFonts w:ascii="Calibri" w:hAnsi="Calibri" w:cs="Calibri"/>
          <w:spacing w:val="-5"/>
          <w:w w:val="110"/>
        </w:rPr>
        <w:t xml:space="preserve"> </w:t>
      </w:r>
      <w:r w:rsidRPr="00DD7BD1">
        <w:rPr>
          <w:rFonts w:ascii="Calibri" w:hAnsi="Calibri" w:cs="Calibri"/>
          <w:w w:val="110"/>
        </w:rPr>
        <w:t>due</w:t>
      </w:r>
      <w:r w:rsidRPr="00DD7BD1">
        <w:rPr>
          <w:rFonts w:ascii="Calibri" w:hAnsi="Calibri" w:cs="Calibri"/>
          <w:spacing w:val="-7"/>
          <w:w w:val="110"/>
        </w:rPr>
        <w:t xml:space="preserve"> </w:t>
      </w:r>
      <w:r w:rsidRPr="00DD7BD1">
        <w:rPr>
          <w:rFonts w:ascii="Calibri" w:hAnsi="Calibri" w:cs="Calibri"/>
          <w:w w:val="110"/>
        </w:rPr>
        <w:t>no</w:t>
      </w:r>
      <w:r w:rsidRPr="00DD7BD1">
        <w:rPr>
          <w:rFonts w:ascii="Calibri" w:hAnsi="Calibri" w:cs="Calibri"/>
          <w:spacing w:val="-7"/>
          <w:w w:val="110"/>
        </w:rPr>
        <w:t xml:space="preserve"> </w:t>
      </w:r>
      <w:r w:rsidRPr="00DD7BD1">
        <w:rPr>
          <w:rFonts w:ascii="Calibri" w:hAnsi="Calibri" w:cs="Calibri"/>
          <w:w w:val="110"/>
        </w:rPr>
        <w:t>later</w:t>
      </w:r>
      <w:r w:rsidRPr="00DD7BD1">
        <w:rPr>
          <w:rFonts w:ascii="Calibri" w:hAnsi="Calibri" w:cs="Calibri"/>
          <w:spacing w:val="-7"/>
          <w:w w:val="110"/>
        </w:rPr>
        <w:t xml:space="preserve"> </w:t>
      </w:r>
      <w:r w:rsidRPr="00DD7BD1">
        <w:rPr>
          <w:rFonts w:ascii="Calibri" w:hAnsi="Calibri" w:cs="Calibri"/>
          <w:w w:val="110"/>
        </w:rPr>
        <w:t>than</w:t>
      </w:r>
      <w:r w:rsidRPr="00DD7BD1">
        <w:rPr>
          <w:rFonts w:ascii="Calibri" w:hAnsi="Calibri" w:cs="Calibri"/>
          <w:spacing w:val="-3"/>
          <w:w w:val="110"/>
        </w:rPr>
        <w:t xml:space="preserve"> </w:t>
      </w:r>
      <w:r w:rsidRPr="00DD7BD1">
        <w:rPr>
          <w:rFonts w:ascii="Calibri" w:hAnsi="Calibri" w:cs="Calibri"/>
          <w:w w:val="110"/>
        </w:rPr>
        <w:t>30</w:t>
      </w:r>
      <w:r w:rsidRPr="00DD7BD1">
        <w:rPr>
          <w:rFonts w:ascii="Calibri" w:hAnsi="Calibri" w:cs="Calibri"/>
          <w:spacing w:val="-5"/>
          <w:w w:val="110"/>
        </w:rPr>
        <w:t xml:space="preserve"> </w:t>
      </w:r>
      <w:r w:rsidRPr="00DD7BD1">
        <w:rPr>
          <w:rFonts w:ascii="Calibri" w:hAnsi="Calibri" w:cs="Calibri"/>
          <w:w w:val="110"/>
        </w:rPr>
        <w:t>days</w:t>
      </w:r>
      <w:r w:rsidRPr="00DD7BD1">
        <w:rPr>
          <w:rFonts w:ascii="Calibri" w:hAnsi="Calibri" w:cs="Calibri"/>
          <w:spacing w:val="-5"/>
          <w:w w:val="110"/>
        </w:rPr>
        <w:t xml:space="preserve"> </w:t>
      </w:r>
      <w:r w:rsidRPr="00DD7BD1">
        <w:rPr>
          <w:rFonts w:ascii="Calibri" w:hAnsi="Calibri" w:cs="Calibri"/>
          <w:w w:val="110"/>
        </w:rPr>
        <w:t>after</w:t>
      </w:r>
      <w:r w:rsidRPr="00DD7BD1">
        <w:rPr>
          <w:rFonts w:ascii="Calibri" w:hAnsi="Calibri" w:cs="Calibri"/>
          <w:spacing w:val="-7"/>
          <w:w w:val="110"/>
        </w:rPr>
        <w:t xml:space="preserve"> </w:t>
      </w:r>
      <w:r w:rsidRPr="00DD7BD1">
        <w:rPr>
          <w:rFonts w:ascii="Calibri" w:hAnsi="Calibri" w:cs="Calibri"/>
          <w:w w:val="125"/>
        </w:rPr>
        <w:t>Jan</w:t>
      </w:r>
      <w:r w:rsidRPr="00DD7BD1">
        <w:rPr>
          <w:rFonts w:ascii="Calibri" w:hAnsi="Calibri" w:cs="Calibri"/>
          <w:spacing w:val="-14"/>
          <w:w w:val="125"/>
        </w:rPr>
        <w:t xml:space="preserve"> </w:t>
      </w:r>
      <w:r w:rsidRPr="00DD7BD1">
        <w:rPr>
          <w:rFonts w:ascii="Calibri" w:hAnsi="Calibri" w:cs="Calibri"/>
          <w:w w:val="110"/>
        </w:rPr>
        <w:t>31</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following</w:t>
      </w:r>
      <w:r w:rsidRPr="00DD7BD1">
        <w:rPr>
          <w:rFonts w:ascii="Calibri" w:hAnsi="Calibri" w:cs="Calibri"/>
          <w:spacing w:val="-5"/>
          <w:w w:val="110"/>
        </w:rPr>
        <w:t xml:space="preserve"> </w:t>
      </w:r>
      <w:r w:rsidRPr="00DD7BD1">
        <w:rPr>
          <w:rFonts w:ascii="Calibri" w:hAnsi="Calibri" w:cs="Calibri"/>
          <w:w w:val="110"/>
        </w:rPr>
        <w:t>year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next business day if the 30</w:t>
      </w:r>
      <w:proofErr w:type="spellStart"/>
      <w:r w:rsidRPr="00DD7BD1">
        <w:rPr>
          <w:rFonts w:ascii="Calibri" w:hAnsi="Calibri" w:cs="Calibri"/>
          <w:w w:val="110"/>
          <w:position w:val="7"/>
        </w:rPr>
        <w:t>th</w:t>
      </w:r>
      <w:proofErr w:type="spellEnd"/>
      <w:r w:rsidRPr="00DD7BD1">
        <w:rPr>
          <w:rFonts w:ascii="Calibri" w:hAnsi="Calibri" w:cs="Calibri"/>
          <w:spacing w:val="33"/>
          <w:w w:val="110"/>
          <w:position w:val="7"/>
        </w:rPr>
        <w:t xml:space="preserve"> </w:t>
      </w:r>
      <w:r w:rsidRPr="00DD7BD1">
        <w:rPr>
          <w:rFonts w:ascii="Calibri" w:hAnsi="Calibri" w:cs="Calibri"/>
          <w:w w:val="110"/>
        </w:rPr>
        <w:t>falls on a weekend or holiday).</w:t>
      </w:r>
      <w:r w:rsidRPr="00DD7BD1">
        <w:rPr>
          <w:rFonts w:ascii="Calibri" w:hAnsi="Calibri" w:cs="Calibri"/>
        </w:rPr>
        <w:t xml:space="preserve"> Access the </w:t>
      </w:r>
      <w:r w:rsidRPr="00DD7BD1">
        <w:rPr>
          <w:rFonts w:ascii="Calibri" w:hAnsi="Calibri" w:cs="Calibri"/>
          <w:u w:val="single"/>
        </w:rPr>
        <w:t>Distribution</w:t>
      </w:r>
      <w:r w:rsidRPr="00DD7BD1">
        <w:rPr>
          <w:rFonts w:ascii="Calibri" w:hAnsi="Calibri" w:cs="Calibri"/>
          <w:spacing w:val="22"/>
          <w:w w:val="110"/>
          <w:u w:val="single"/>
        </w:rPr>
        <w:t xml:space="preserve"> </w:t>
      </w:r>
      <w:r w:rsidRPr="00DD7BD1">
        <w:rPr>
          <w:rFonts w:ascii="Calibri" w:hAnsi="Calibri" w:cs="Calibri"/>
          <w:spacing w:val="-2"/>
          <w:w w:val="110"/>
          <w:u w:val="single"/>
        </w:rPr>
        <w:t xml:space="preserve">Rules: </w:t>
      </w:r>
      <w:hyperlink r:id="rId236" w:anchor="en_US_2021_publink100033116" w:history="1">
        <w:r w:rsidRPr="00DD7BD1">
          <w:rPr>
            <w:rStyle w:val="Hyperlink"/>
            <w:rFonts w:ascii="Calibri" w:hAnsi="Calibri" w:cs="Calibri"/>
            <w:i/>
            <w:spacing w:val="-2"/>
          </w:rPr>
          <w:t>https://www.irs.gov/instructions/i109495c#en_US_2021_publink100033116</w:t>
        </w:r>
      </w:hyperlink>
    </w:p>
    <w:p w14:paraId="4415788A"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06BE28D1" w14:textId="401DDB49" w:rsidR="00EB6E38" w:rsidRPr="00DD7BD1" w:rsidRDefault="00EB6E38" w:rsidP="00EB6E3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IRS Releases FAQs Addressing New Deduction for Qualified Overtime (OBBB)</w:t>
      </w:r>
    </w:p>
    <w:p w14:paraId="483095DE"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January 23, 2026, the Department of Treasury and the Internal Revenue Service (IRS) issued</w:t>
      </w:r>
      <w:r w:rsidRPr="00DD7BD1">
        <w:rPr>
          <w:rFonts w:ascii="Calibri" w:hAnsi="Calibri" w:cs="Calibri"/>
          <w:b w:val="0"/>
          <w:bCs w:val="0"/>
          <w:color w:val="C00000"/>
          <w:sz w:val="22"/>
          <w:szCs w:val="22"/>
        </w:rPr>
        <w:t> </w:t>
      </w:r>
      <w:hyperlink r:id="rId237" w:tgtFrame="_blank" w:history="1">
        <w:r w:rsidRPr="00DD7BD1">
          <w:rPr>
            <w:rStyle w:val="Hyperlink"/>
            <w:rFonts w:ascii="Calibri" w:hAnsi="Calibri" w:cs="Calibri"/>
            <w:b w:val="0"/>
            <w:bCs w:val="0"/>
            <w:sz w:val="22"/>
            <w:szCs w:val="22"/>
          </w:rPr>
          <w:t>Fact Sheet 2026-01</w:t>
        </w:r>
      </w:hyperlink>
      <w:r w:rsidRPr="00DD7BD1">
        <w:rPr>
          <w:rFonts w:ascii="Calibri" w:hAnsi="Calibri" w:cs="Calibri"/>
          <w:b w:val="0"/>
          <w:bCs w:val="0"/>
          <w:sz w:val="22"/>
          <w:szCs w:val="22"/>
        </w:rPr>
        <w:t>, providing answers to frequently asked questions (FAQs) about the new “Deduction for Qualified Overtime Compensation” created by the One Big Beautiful Bill Act (the OBBBA).</w:t>
      </w:r>
    </w:p>
    <w:p w14:paraId="0AF24B7B"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C465B65"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4, 2025, the OBBBA was signed into law and created the </w:t>
      </w:r>
      <w:r w:rsidRPr="00DD7BD1">
        <w:rPr>
          <w:rFonts w:ascii="Calibri" w:hAnsi="Calibri" w:cs="Calibri"/>
          <w:sz w:val="22"/>
          <w:szCs w:val="22"/>
        </w:rPr>
        <w:t xml:space="preserve">Deduction for Qualified Overtime Compensation </w:t>
      </w:r>
      <w:r w:rsidRPr="00DD7BD1">
        <w:rPr>
          <w:rFonts w:ascii="Calibri" w:hAnsi="Calibri" w:cs="Calibri"/>
          <w:b w:val="0"/>
          <w:bCs w:val="0"/>
          <w:sz w:val="22"/>
          <w:szCs w:val="22"/>
        </w:rPr>
        <w:t xml:space="preserve">to allow individuals to claim a federal income tax deduction for certain qualified overtime compensation for the 2025 to 2028 tax years. Individuals can claim a deduction of up to $12,500 ($25,000 for joint filers) and the deduction phases out for individuals with incomes above $150,000 ($300,000 for joint filers). Employers are required to report to employees the amount of qualified overtime compensation that is paid each year to allow the employees to claim </w:t>
      </w:r>
      <w:proofErr w:type="gramStart"/>
      <w:r w:rsidRPr="00DD7BD1">
        <w:rPr>
          <w:rFonts w:ascii="Calibri" w:hAnsi="Calibri" w:cs="Calibri"/>
          <w:b w:val="0"/>
          <w:bCs w:val="0"/>
          <w:sz w:val="22"/>
          <w:szCs w:val="22"/>
        </w:rPr>
        <w:t>the</w:t>
      </w:r>
      <w:proofErr w:type="gramEnd"/>
      <w:r w:rsidRPr="00DD7BD1">
        <w:rPr>
          <w:rFonts w:ascii="Calibri" w:hAnsi="Calibri" w:cs="Calibri"/>
          <w:b w:val="0"/>
          <w:bCs w:val="0"/>
          <w:sz w:val="22"/>
          <w:szCs w:val="22"/>
        </w:rPr>
        <w:t xml:space="preserve"> deduction.</w:t>
      </w:r>
    </w:p>
    <w:p w14:paraId="022CDD8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E3B417D"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Fact Sheet 2026-01 addresses questions related to (1) what constitutes qualified overtime compensation, (2) who is eligible for the deduction, and (3) other rules relevant for eligibility for the deduction.</w:t>
      </w:r>
    </w:p>
    <w:p w14:paraId="124C09CB"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0A206FC4"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Specifically, the FAQs reiterate that qualified overtime compensation includes only overtime that is required to be paid by Section 7 of the Fair Labor Standards Act (FLSA).  For overtime to be required under the FLSA, it must, among other requirements, be paid to an individual who is both covered by the FLSA and not exempt from the FLSA’s overtime requirement.  If an employer pays overtime that is required by another law or agreement (including a collective bargaining agreement) but that would not be required by the FLSA, the amount is not included in qualified overtime compensation.</w:t>
      </w:r>
    </w:p>
    <w:p w14:paraId="196C5C77"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D2405CA"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FAQs also make clear that, when an employee is paid “one and one-half times” overtime compensation paid to an employee as required by the FLSA, only the “half” portion of the pay is considered qualified overtime compensation.</w:t>
      </w:r>
    </w:p>
    <w:p w14:paraId="19FEF7F1"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57A9F35"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Finally, the FAQs also </w:t>
      </w:r>
      <w:proofErr w:type="gramStart"/>
      <w:r w:rsidRPr="00DD7BD1">
        <w:rPr>
          <w:rFonts w:ascii="Calibri" w:hAnsi="Calibri" w:cs="Calibri"/>
          <w:b w:val="0"/>
          <w:bCs w:val="0"/>
          <w:sz w:val="22"/>
          <w:szCs w:val="22"/>
        </w:rPr>
        <w:t>provides</w:t>
      </w:r>
      <w:proofErr w:type="gramEnd"/>
      <w:r w:rsidRPr="00DD7BD1">
        <w:rPr>
          <w:rFonts w:ascii="Calibri" w:hAnsi="Calibri" w:cs="Calibri"/>
          <w:b w:val="0"/>
          <w:bCs w:val="0"/>
          <w:sz w:val="22"/>
          <w:szCs w:val="22"/>
        </w:rPr>
        <w:t xml:space="preserve"> resources and guidance that are intended to help assist </w:t>
      </w:r>
      <w:r w:rsidRPr="00DD7BD1">
        <w:rPr>
          <w:rFonts w:ascii="Calibri" w:hAnsi="Calibri" w:cs="Calibri"/>
          <w:sz w:val="22"/>
          <w:szCs w:val="22"/>
        </w:rPr>
        <w:t>individuals</w:t>
      </w:r>
      <w:r w:rsidRPr="00DD7BD1">
        <w:rPr>
          <w:rFonts w:ascii="Calibri" w:hAnsi="Calibri" w:cs="Calibri"/>
          <w:b w:val="0"/>
          <w:bCs w:val="0"/>
          <w:sz w:val="22"/>
          <w:szCs w:val="22"/>
        </w:rPr>
        <w:t xml:space="preserve"> in determining whether they are FLSA overtime-eligible employees and </w:t>
      </w:r>
      <w:proofErr w:type="gramStart"/>
      <w:r w:rsidRPr="00DD7BD1">
        <w:rPr>
          <w:rFonts w:ascii="Calibri" w:hAnsi="Calibri" w:cs="Calibri"/>
          <w:b w:val="0"/>
          <w:bCs w:val="0"/>
          <w:sz w:val="22"/>
          <w:szCs w:val="22"/>
        </w:rPr>
        <w:t>received</w:t>
      </w:r>
      <w:proofErr w:type="gramEnd"/>
      <w:r w:rsidRPr="00DD7BD1">
        <w:rPr>
          <w:rFonts w:ascii="Calibri" w:hAnsi="Calibri" w:cs="Calibri"/>
          <w:b w:val="0"/>
          <w:bCs w:val="0"/>
          <w:sz w:val="22"/>
          <w:szCs w:val="22"/>
        </w:rPr>
        <w:t xml:space="preserve"> qualified overtime compensation.</w:t>
      </w:r>
    </w:p>
    <w:p w14:paraId="5F108D61"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28"/>
          <w:szCs w:val="28"/>
        </w:rPr>
      </w:pPr>
    </w:p>
    <w:p w14:paraId="190CA3A6" w14:textId="05EA81A8"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Non-competes &amp; 2026 State Compensation Thresholds</w:t>
      </w:r>
    </w:p>
    <w:p w14:paraId="14EECFE1"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While the Federal Trade Commission no longer seeks to ban non-competes nationwide, individual states continue adding limits on restrictive covenants including non-competition provisions and non-solicitation provisions. One common limit is a minimum compensation level, which adjusts regularly to keep up with inflation.</w:t>
      </w:r>
    </w:p>
    <w:p w14:paraId="28A9A389"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p w14:paraId="0EF38C79"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4 states have banned all non-competes for employees: California, Minnesota, North Dakota, and Oklahoma. (Wyoming adopted significant limits in 2025, but not a flat ban.) </w:t>
      </w:r>
    </w:p>
    <w:p w14:paraId="3060BF4C"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Some states exempt certain industries, most commonly healthcare. </w:t>
      </w:r>
    </w:p>
    <w:p w14:paraId="0A978913"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More common limits </w:t>
      </w:r>
      <w:proofErr w:type="gramStart"/>
      <w:r w:rsidRPr="00DD7BD1">
        <w:rPr>
          <w:rFonts w:ascii="Calibri" w:hAnsi="Calibri" w:cs="Calibri"/>
          <w:b w:val="0"/>
          <w:bCs w:val="0"/>
          <w:sz w:val="22"/>
          <w:szCs w:val="22"/>
        </w:rPr>
        <w:t>is</w:t>
      </w:r>
      <w:proofErr w:type="gramEnd"/>
      <w:r w:rsidRPr="00DD7BD1">
        <w:rPr>
          <w:rFonts w:ascii="Calibri" w:hAnsi="Calibri" w:cs="Calibri"/>
          <w:b w:val="0"/>
          <w:bCs w:val="0"/>
          <w:sz w:val="22"/>
          <w:szCs w:val="22"/>
        </w:rPr>
        <w:t xml:space="preserve"> the setting of a minimum compensation level for employees, as is the current case for 11 states and the District of Columbia, see below</w:t>
      </w:r>
    </w:p>
    <w:p w14:paraId="727255CC"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tbl>
      <w:tblPr>
        <w:tblW w:w="9465" w:type="dxa"/>
        <w:shd w:val="clear" w:color="auto" w:fill="FFFFFF"/>
        <w:tblCellMar>
          <w:top w:w="15" w:type="dxa"/>
          <w:left w:w="15" w:type="dxa"/>
          <w:bottom w:w="15" w:type="dxa"/>
          <w:right w:w="15" w:type="dxa"/>
        </w:tblCellMar>
        <w:tblLook w:val="04A0" w:firstRow="1" w:lastRow="0" w:firstColumn="1" w:lastColumn="0" w:noHBand="0" w:noVBand="1"/>
      </w:tblPr>
      <w:tblGrid>
        <w:gridCol w:w="1748"/>
        <w:gridCol w:w="7717"/>
      </w:tblGrid>
      <w:tr w:rsidR="00EB6E38" w:rsidRPr="00DD7BD1" w14:paraId="4388F654" w14:textId="77777777" w:rsidTr="002C3050">
        <w:tc>
          <w:tcPr>
            <w:tcW w:w="0" w:type="auto"/>
            <w:shd w:val="clear" w:color="auto" w:fill="FFFFFF"/>
            <w:tcMar>
              <w:top w:w="150" w:type="dxa"/>
              <w:left w:w="150" w:type="dxa"/>
              <w:bottom w:w="150" w:type="dxa"/>
              <w:right w:w="150" w:type="dxa"/>
            </w:tcMar>
            <w:hideMark/>
          </w:tcPr>
          <w:p w14:paraId="27526048"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State</w:t>
            </w:r>
          </w:p>
        </w:tc>
        <w:tc>
          <w:tcPr>
            <w:tcW w:w="0" w:type="auto"/>
            <w:shd w:val="clear" w:color="auto" w:fill="FFFFFF"/>
            <w:tcMar>
              <w:top w:w="150" w:type="dxa"/>
              <w:left w:w="150" w:type="dxa"/>
              <w:bottom w:w="150" w:type="dxa"/>
              <w:right w:w="150" w:type="dxa"/>
            </w:tcMar>
            <w:hideMark/>
          </w:tcPr>
          <w:p w14:paraId="1E4476A9"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Minimum Annualized Compensation Level for 2026</w:t>
            </w:r>
          </w:p>
        </w:tc>
      </w:tr>
      <w:tr w:rsidR="00EB6E38" w:rsidRPr="00DD7BD1" w14:paraId="32E9EB5A" w14:textId="77777777" w:rsidTr="002C3050">
        <w:tc>
          <w:tcPr>
            <w:tcW w:w="0" w:type="auto"/>
            <w:shd w:val="clear" w:color="auto" w:fill="FFFFFF"/>
            <w:tcMar>
              <w:top w:w="150" w:type="dxa"/>
              <w:left w:w="150" w:type="dxa"/>
              <w:bottom w:w="150" w:type="dxa"/>
              <w:right w:w="150" w:type="dxa"/>
            </w:tcMar>
            <w:hideMark/>
          </w:tcPr>
          <w:p w14:paraId="785ED28C"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8" w:history="1">
              <w:r w:rsidRPr="00DD7BD1">
                <w:rPr>
                  <w:rStyle w:val="Hyperlink"/>
                  <w:rFonts w:ascii="Calibri" w:hAnsi="Calibri" w:cs="Calibri"/>
                  <w:b w:val="0"/>
                  <w:bCs w:val="0"/>
                  <w:sz w:val="22"/>
                  <w:szCs w:val="22"/>
                </w:rPr>
                <w:t>Colorado</w:t>
              </w:r>
            </w:hyperlink>
          </w:p>
        </w:tc>
        <w:tc>
          <w:tcPr>
            <w:tcW w:w="0" w:type="auto"/>
            <w:shd w:val="clear" w:color="auto" w:fill="FFFFFF"/>
            <w:tcMar>
              <w:top w:w="150" w:type="dxa"/>
              <w:left w:w="150" w:type="dxa"/>
              <w:bottom w:w="150" w:type="dxa"/>
              <w:right w:w="150" w:type="dxa"/>
            </w:tcMar>
            <w:hideMark/>
          </w:tcPr>
          <w:p w14:paraId="68C0437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$130,014; $78,008.40 for non-solicitation provisions</w:t>
            </w:r>
          </w:p>
        </w:tc>
      </w:tr>
      <w:tr w:rsidR="00EB6E38" w:rsidRPr="00DD7BD1" w14:paraId="267D166B" w14:textId="77777777" w:rsidTr="002C3050">
        <w:tc>
          <w:tcPr>
            <w:tcW w:w="0" w:type="auto"/>
            <w:shd w:val="clear" w:color="auto" w:fill="FFFFFF"/>
            <w:tcMar>
              <w:top w:w="150" w:type="dxa"/>
              <w:left w:w="150" w:type="dxa"/>
              <w:bottom w:w="150" w:type="dxa"/>
              <w:right w:w="150" w:type="dxa"/>
            </w:tcMar>
            <w:hideMark/>
          </w:tcPr>
          <w:p w14:paraId="52F6A679"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39" w:history="1">
              <w:r w:rsidRPr="00DD7BD1">
                <w:rPr>
                  <w:rStyle w:val="Hyperlink"/>
                  <w:rFonts w:ascii="Calibri" w:hAnsi="Calibri" w:cs="Calibri"/>
                  <w:b w:val="0"/>
                  <w:bCs w:val="0"/>
                  <w:sz w:val="22"/>
                  <w:szCs w:val="22"/>
                </w:rPr>
                <w:t>District of Columbia</w:t>
              </w:r>
            </w:hyperlink>
          </w:p>
        </w:tc>
        <w:tc>
          <w:tcPr>
            <w:tcW w:w="0" w:type="auto"/>
            <w:shd w:val="clear" w:color="auto" w:fill="FFFFFF"/>
            <w:tcMar>
              <w:top w:w="150" w:type="dxa"/>
              <w:left w:w="150" w:type="dxa"/>
              <w:bottom w:w="150" w:type="dxa"/>
              <w:right w:w="150" w:type="dxa"/>
            </w:tcMar>
            <w:hideMark/>
          </w:tcPr>
          <w:p w14:paraId="5B5D546F"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$162,164, or $270,274 for medical specialists</w:t>
            </w:r>
          </w:p>
        </w:tc>
      </w:tr>
      <w:tr w:rsidR="00EB6E38" w:rsidRPr="00DD7BD1" w14:paraId="2CE618A5" w14:textId="77777777" w:rsidTr="002C3050">
        <w:tc>
          <w:tcPr>
            <w:tcW w:w="0" w:type="auto"/>
            <w:shd w:val="clear" w:color="auto" w:fill="FFFFFF"/>
            <w:tcMar>
              <w:top w:w="150" w:type="dxa"/>
              <w:left w:w="150" w:type="dxa"/>
              <w:bottom w:w="150" w:type="dxa"/>
              <w:right w:w="150" w:type="dxa"/>
            </w:tcMar>
            <w:hideMark/>
          </w:tcPr>
          <w:p w14:paraId="27D1D68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0" w:history="1">
              <w:r w:rsidRPr="00DD7BD1">
                <w:rPr>
                  <w:rStyle w:val="Hyperlink"/>
                  <w:rFonts w:ascii="Calibri" w:hAnsi="Calibri" w:cs="Calibri"/>
                  <w:b w:val="0"/>
                  <w:bCs w:val="0"/>
                  <w:i/>
                  <w:iCs/>
                  <w:sz w:val="22"/>
                  <w:szCs w:val="22"/>
                </w:rPr>
                <w:t>Florida</w:t>
              </w:r>
            </w:hyperlink>
          </w:p>
        </w:tc>
        <w:tc>
          <w:tcPr>
            <w:tcW w:w="0" w:type="auto"/>
            <w:shd w:val="clear" w:color="auto" w:fill="FFFFFF"/>
            <w:tcMar>
              <w:top w:w="150" w:type="dxa"/>
              <w:left w:w="150" w:type="dxa"/>
              <w:bottom w:w="150" w:type="dxa"/>
              <w:right w:w="150" w:type="dxa"/>
            </w:tcMar>
            <w:hideMark/>
          </w:tcPr>
          <w:p w14:paraId="381F8961"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Florida does not set minimum compensation for enforcement; rather, it allows </w:t>
            </w:r>
            <w:r w:rsidRPr="00DD7BD1">
              <w:rPr>
                <w:rFonts w:ascii="Calibri" w:hAnsi="Calibri" w:cs="Calibri"/>
                <w:b w:val="0"/>
                <w:bCs w:val="0"/>
                <w:sz w:val="22"/>
                <w:szCs w:val="22"/>
              </w:rPr>
              <w:t>easier</w:t>
            </w:r>
            <w:r w:rsidRPr="00DD7BD1">
              <w:rPr>
                <w:rFonts w:ascii="Calibri" w:hAnsi="Calibri" w:cs="Calibri"/>
                <w:b w:val="0"/>
                <w:bCs w:val="0"/>
                <w:i/>
                <w:iCs/>
                <w:sz w:val="22"/>
                <w:szCs w:val="22"/>
              </w:rPr>
              <w:t> enforcement against employees paid at least “twice the annual mean wage of the county”; this threshold ranges from $80,000 to $140,000.</w:t>
            </w:r>
          </w:p>
        </w:tc>
      </w:tr>
      <w:tr w:rsidR="00EB6E38" w:rsidRPr="00DD7BD1" w14:paraId="570F1A38" w14:textId="77777777" w:rsidTr="002C3050">
        <w:tc>
          <w:tcPr>
            <w:tcW w:w="0" w:type="auto"/>
            <w:shd w:val="clear" w:color="auto" w:fill="FFFFFF"/>
            <w:tcMar>
              <w:top w:w="150" w:type="dxa"/>
              <w:left w:w="150" w:type="dxa"/>
              <w:bottom w:w="150" w:type="dxa"/>
              <w:right w:w="150" w:type="dxa"/>
            </w:tcMar>
            <w:hideMark/>
          </w:tcPr>
          <w:p w14:paraId="124C3395"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1" w:history="1">
              <w:r w:rsidRPr="00DD7BD1">
                <w:rPr>
                  <w:rStyle w:val="Hyperlink"/>
                  <w:rFonts w:ascii="Calibri" w:hAnsi="Calibri" w:cs="Calibri"/>
                  <w:b w:val="0"/>
                  <w:bCs w:val="0"/>
                  <w:sz w:val="22"/>
                  <w:szCs w:val="22"/>
                </w:rPr>
                <w:t>Illinois</w:t>
              </w:r>
            </w:hyperlink>
          </w:p>
        </w:tc>
        <w:tc>
          <w:tcPr>
            <w:tcW w:w="0" w:type="auto"/>
            <w:shd w:val="clear" w:color="auto" w:fill="FFFFFF"/>
            <w:tcMar>
              <w:top w:w="150" w:type="dxa"/>
              <w:left w:w="150" w:type="dxa"/>
              <w:bottom w:w="150" w:type="dxa"/>
              <w:right w:w="150" w:type="dxa"/>
            </w:tcMar>
            <w:hideMark/>
          </w:tcPr>
          <w:p w14:paraId="1063931B"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$75,000 for “actual or expected annualized rate of earnings,” increasing to $80,000 for 2027-2031; $45,000 for non-solicitation provisions, increasing to $50,000 for 2027-2031</w:t>
            </w:r>
          </w:p>
        </w:tc>
      </w:tr>
      <w:tr w:rsidR="00EB6E38" w:rsidRPr="00DD7BD1" w14:paraId="468E9261" w14:textId="77777777" w:rsidTr="002C3050">
        <w:tc>
          <w:tcPr>
            <w:tcW w:w="0" w:type="auto"/>
            <w:shd w:val="clear" w:color="auto" w:fill="FFFFFF"/>
            <w:tcMar>
              <w:top w:w="150" w:type="dxa"/>
              <w:left w:w="150" w:type="dxa"/>
              <w:bottom w:w="150" w:type="dxa"/>
              <w:right w:w="150" w:type="dxa"/>
            </w:tcMar>
            <w:hideMark/>
          </w:tcPr>
          <w:p w14:paraId="796DC50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2" w:history="1">
              <w:r w:rsidRPr="00DD7BD1">
                <w:rPr>
                  <w:rStyle w:val="Hyperlink"/>
                  <w:rFonts w:ascii="Calibri" w:hAnsi="Calibri" w:cs="Calibri"/>
                  <w:b w:val="0"/>
                  <w:bCs w:val="0"/>
                  <w:sz w:val="22"/>
                  <w:szCs w:val="22"/>
                </w:rPr>
                <w:t>Maine</w:t>
              </w:r>
            </w:hyperlink>
          </w:p>
        </w:tc>
        <w:tc>
          <w:tcPr>
            <w:tcW w:w="0" w:type="auto"/>
            <w:shd w:val="clear" w:color="auto" w:fill="FFFFFF"/>
            <w:tcMar>
              <w:top w:w="150" w:type="dxa"/>
              <w:left w:w="150" w:type="dxa"/>
              <w:bottom w:w="150" w:type="dxa"/>
              <w:right w:w="150" w:type="dxa"/>
            </w:tcMar>
            <w:hideMark/>
          </w:tcPr>
          <w:p w14:paraId="032BE8C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$63,840</w:t>
            </w:r>
          </w:p>
        </w:tc>
      </w:tr>
      <w:tr w:rsidR="00EB6E38" w:rsidRPr="00DD7BD1" w14:paraId="26BBB4CE" w14:textId="77777777" w:rsidTr="002C3050">
        <w:tc>
          <w:tcPr>
            <w:tcW w:w="0" w:type="auto"/>
            <w:shd w:val="clear" w:color="auto" w:fill="FFFFFF"/>
            <w:tcMar>
              <w:top w:w="150" w:type="dxa"/>
              <w:left w:w="150" w:type="dxa"/>
              <w:bottom w:w="150" w:type="dxa"/>
              <w:right w:w="150" w:type="dxa"/>
            </w:tcMar>
            <w:hideMark/>
          </w:tcPr>
          <w:p w14:paraId="66927CE3"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3" w:history="1">
              <w:r w:rsidRPr="00DD7BD1">
                <w:rPr>
                  <w:rStyle w:val="Hyperlink"/>
                  <w:rFonts w:ascii="Calibri" w:hAnsi="Calibri" w:cs="Calibri"/>
                  <w:b w:val="0"/>
                  <w:bCs w:val="0"/>
                  <w:sz w:val="22"/>
                  <w:szCs w:val="22"/>
                </w:rPr>
                <w:t>Maryland</w:t>
              </w:r>
            </w:hyperlink>
          </w:p>
        </w:tc>
        <w:tc>
          <w:tcPr>
            <w:tcW w:w="0" w:type="auto"/>
            <w:shd w:val="clear" w:color="auto" w:fill="FFFFFF"/>
            <w:tcMar>
              <w:top w:w="150" w:type="dxa"/>
              <w:left w:w="150" w:type="dxa"/>
              <w:bottom w:w="150" w:type="dxa"/>
              <w:right w:w="150" w:type="dxa"/>
            </w:tcMar>
            <w:hideMark/>
          </w:tcPr>
          <w:p w14:paraId="1CCE05A8"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$46,800, or $350,000 for certain healthcare providers</w:t>
            </w:r>
          </w:p>
        </w:tc>
      </w:tr>
      <w:tr w:rsidR="00EB6E38" w:rsidRPr="00DD7BD1" w14:paraId="31C90C10" w14:textId="77777777" w:rsidTr="002C3050">
        <w:tc>
          <w:tcPr>
            <w:tcW w:w="0" w:type="auto"/>
            <w:shd w:val="clear" w:color="auto" w:fill="FFFFFF"/>
            <w:tcMar>
              <w:top w:w="150" w:type="dxa"/>
              <w:left w:w="150" w:type="dxa"/>
              <w:bottom w:w="150" w:type="dxa"/>
              <w:right w:w="150" w:type="dxa"/>
            </w:tcMar>
            <w:hideMark/>
          </w:tcPr>
          <w:p w14:paraId="0A14143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4" w:history="1">
              <w:r w:rsidRPr="00DD7BD1">
                <w:rPr>
                  <w:rStyle w:val="Hyperlink"/>
                  <w:rFonts w:ascii="Calibri" w:hAnsi="Calibri" w:cs="Calibri"/>
                  <w:b w:val="0"/>
                  <w:bCs w:val="0"/>
                  <w:sz w:val="22"/>
                  <w:szCs w:val="22"/>
                </w:rPr>
                <w:t>Massachusetts</w:t>
              </w:r>
            </w:hyperlink>
          </w:p>
        </w:tc>
        <w:tc>
          <w:tcPr>
            <w:tcW w:w="0" w:type="auto"/>
            <w:shd w:val="clear" w:color="auto" w:fill="FFFFFF"/>
            <w:tcMar>
              <w:top w:w="150" w:type="dxa"/>
              <w:left w:w="150" w:type="dxa"/>
              <w:bottom w:w="150" w:type="dxa"/>
              <w:right w:w="150" w:type="dxa"/>
            </w:tcMar>
            <w:hideMark/>
          </w:tcPr>
          <w:p w14:paraId="3F581922"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$35,568 on a salary basis with FLSA-exempt duties*</w:t>
            </w:r>
          </w:p>
        </w:tc>
      </w:tr>
      <w:tr w:rsidR="00EB6E38" w:rsidRPr="00DD7BD1" w14:paraId="6C7C04BC" w14:textId="77777777" w:rsidTr="002C3050">
        <w:tc>
          <w:tcPr>
            <w:tcW w:w="0" w:type="auto"/>
            <w:shd w:val="clear" w:color="auto" w:fill="FFFFFF"/>
            <w:tcMar>
              <w:top w:w="150" w:type="dxa"/>
              <w:left w:w="150" w:type="dxa"/>
              <w:bottom w:w="150" w:type="dxa"/>
              <w:right w:w="150" w:type="dxa"/>
            </w:tcMar>
            <w:hideMark/>
          </w:tcPr>
          <w:p w14:paraId="08E08C1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5" w:history="1">
              <w:r w:rsidRPr="00DD7BD1">
                <w:rPr>
                  <w:rStyle w:val="Hyperlink"/>
                  <w:rFonts w:ascii="Calibri" w:hAnsi="Calibri" w:cs="Calibri"/>
                  <w:b w:val="0"/>
                  <w:bCs w:val="0"/>
                  <w:sz w:val="22"/>
                  <w:szCs w:val="22"/>
                </w:rPr>
                <w:t>New Hampshire</w:t>
              </w:r>
            </w:hyperlink>
          </w:p>
        </w:tc>
        <w:tc>
          <w:tcPr>
            <w:tcW w:w="0" w:type="auto"/>
            <w:shd w:val="clear" w:color="auto" w:fill="FFFFFF"/>
            <w:tcMar>
              <w:top w:w="150" w:type="dxa"/>
              <w:left w:w="150" w:type="dxa"/>
              <w:bottom w:w="150" w:type="dxa"/>
              <w:right w:w="150" w:type="dxa"/>
            </w:tcMar>
            <w:hideMark/>
          </w:tcPr>
          <w:p w14:paraId="296A423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$30,160</w:t>
            </w:r>
          </w:p>
        </w:tc>
      </w:tr>
      <w:tr w:rsidR="00EB6E38" w:rsidRPr="00DD7BD1" w14:paraId="67065625" w14:textId="77777777" w:rsidTr="002C3050">
        <w:tc>
          <w:tcPr>
            <w:tcW w:w="0" w:type="auto"/>
            <w:shd w:val="clear" w:color="auto" w:fill="FFFFFF"/>
            <w:tcMar>
              <w:top w:w="150" w:type="dxa"/>
              <w:left w:w="150" w:type="dxa"/>
              <w:bottom w:w="150" w:type="dxa"/>
              <w:right w:w="150" w:type="dxa"/>
            </w:tcMar>
            <w:hideMark/>
          </w:tcPr>
          <w:p w14:paraId="6CCE93AF"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6" w:anchor="NRS613Sec195" w:history="1">
              <w:r w:rsidRPr="00DD7BD1">
                <w:rPr>
                  <w:rStyle w:val="Hyperlink"/>
                  <w:rFonts w:ascii="Calibri" w:hAnsi="Calibri" w:cs="Calibri"/>
                  <w:b w:val="0"/>
                  <w:bCs w:val="0"/>
                  <w:i/>
                  <w:iCs/>
                  <w:sz w:val="22"/>
                  <w:szCs w:val="22"/>
                </w:rPr>
                <w:t>Nevada</w:t>
              </w:r>
            </w:hyperlink>
          </w:p>
        </w:tc>
        <w:tc>
          <w:tcPr>
            <w:tcW w:w="0" w:type="auto"/>
            <w:shd w:val="clear" w:color="auto" w:fill="FFFFFF"/>
            <w:tcMar>
              <w:top w:w="150" w:type="dxa"/>
              <w:left w:w="150" w:type="dxa"/>
              <w:bottom w:w="150" w:type="dxa"/>
              <w:right w:w="150" w:type="dxa"/>
            </w:tcMar>
            <w:hideMark/>
          </w:tcPr>
          <w:p w14:paraId="4C049649"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Nevada does not set minimum compensation but does require the employee to be salaried, not hourly.</w:t>
            </w:r>
          </w:p>
        </w:tc>
      </w:tr>
      <w:tr w:rsidR="00EB6E38" w:rsidRPr="00DD7BD1" w14:paraId="14822AC9" w14:textId="77777777" w:rsidTr="002C3050">
        <w:tc>
          <w:tcPr>
            <w:tcW w:w="0" w:type="auto"/>
            <w:shd w:val="clear" w:color="auto" w:fill="FFFFFF"/>
            <w:tcMar>
              <w:top w:w="150" w:type="dxa"/>
              <w:left w:w="150" w:type="dxa"/>
              <w:bottom w:w="150" w:type="dxa"/>
              <w:right w:w="150" w:type="dxa"/>
            </w:tcMar>
            <w:hideMark/>
          </w:tcPr>
          <w:p w14:paraId="7923AB4B"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7" w:history="1">
              <w:r w:rsidRPr="00DD7BD1">
                <w:rPr>
                  <w:rStyle w:val="Hyperlink"/>
                  <w:rFonts w:ascii="Calibri" w:hAnsi="Calibri" w:cs="Calibri"/>
                  <w:b w:val="0"/>
                  <w:bCs w:val="0"/>
                  <w:sz w:val="22"/>
                  <w:szCs w:val="22"/>
                </w:rPr>
                <w:t>Oregon</w:t>
              </w:r>
            </w:hyperlink>
          </w:p>
        </w:tc>
        <w:tc>
          <w:tcPr>
            <w:tcW w:w="0" w:type="auto"/>
            <w:shd w:val="clear" w:color="auto" w:fill="FFFFFF"/>
            <w:tcMar>
              <w:top w:w="150" w:type="dxa"/>
              <w:left w:w="150" w:type="dxa"/>
              <w:bottom w:w="150" w:type="dxa"/>
              <w:right w:w="150" w:type="dxa"/>
            </w:tcMar>
            <w:hideMark/>
          </w:tcPr>
          <w:p w14:paraId="686F64FD"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$119,541 on a salary basis with exempt duties**     </w:t>
            </w:r>
          </w:p>
        </w:tc>
      </w:tr>
      <w:tr w:rsidR="00EB6E38" w:rsidRPr="00DD7BD1" w14:paraId="383D45DB" w14:textId="77777777" w:rsidTr="002C3050">
        <w:tc>
          <w:tcPr>
            <w:tcW w:w="0" w:type="auto"/>
            <w:shd w:val="clear" w:color="auto" w:fill="FFFFFF"/>
            <w:tcMar>
              <w:top w:w="150" w:type="dxa"/>
              <w:left w:w="150" w:type="dxa"/>
              <w:bottom w:w="150" w:type="dxa"/>
              <w:right w:w="150" w:type="dxa"/>
            </w:tcMar>
            <w:hideMark/>
          </w:tcPr>
          <w:p w14:paraId="60B0119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8" w:history="1">
              <w:r w:rsidRPr="00DD7BD1">
                <w:rPr>
                  <w:rStyle w:val="Hyperlink"/>
                  <w:rFonts w:ascii="Calibri" w:hAnsi="Calibri" w:cs="Calibri"/>
                  <w:b w:val="0"/>
                  <w:bCs w:val="0"/>
                  <w:sz w:val="22"/>
                  <w:szCs w:val="22"/>
                </w:rPr>
                <w:t>Rhode Island</w:t>
              </w:r>
            </w:hyperlink>
          </w:p>
        </w:tc>
        <w:tc>
          <w:tcPr>
            <w:tcW w:w="0" w:type="auto"/>
            <w:shd w:val="clear" w:color="auto" w:fill="FFFFFF"/>
            <w:tcMar>
              <w:top w:w="150" w:type="dxa"/>
              <w:left w:w="150" w:type="dxa"/>
              <w:bottom w:w="150" w:type="dxa"/>
              <w:right w:w="150" w:type="dxa"/>
            </w:tcMar>
            <w:hideMark/>
          </w:tcPr>
          <w:p w14:paraId="5D9F02DA"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$39,900 in regular pay (excluding overtime, Sunday, and holiday pay) on a salary basis with FLSA-exempt duties*</w:t>
            </w:r>
          </w:p>
        </w:tc>
      </w:tr>
      <w:tr w:rsidR="00EB6E38" w:rsidRPr="00DD7BD1" w14:paraId="552A013A" w14:textId="77777777" w:rsidTr="002C3050">
        <w:tc>
          <w:tcPr>
            <w:tcW w:w="0" w:type="auto"/>
            <w:shd w:val="clear" w:color="auto" w:fill="FFFFFF"/>
            <w:tcMar>
              <w:top w:w="150" w:type="dxa"/>
              <w:left w:w="150" w:type="dxa"/>
              <w:bottom w:w="150" w:type="dxa"/>
              <w:right w:w="150" w:type="dxa"/>
            </w:tcMar>
            <w:hideMark/>
          </w:tcPr>
          <w:p w14:paraId="21ADA22D"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49" w:history="1">
              <w:r w:rsidRPr="00DD7BD1">
                <w:rPr>
                  <w:rStyle w:val="Hyperlink"/>
                  <w:rFonts w:ascii="Calibri" w:hAnsi="Calibri" w:cs="Calibri"/>
                  <w:b w:val="0"/>
                  <w:bCs w:val="0"/>
                  <w:sz w:val="22"/>
                  <w:szCs w:val="22"/>
                </w:rPr>
                <w:t>Virginia</w:t>
              </w:r>
            </w:hyperlink>
          </w:p>
        </w:tc>
        <w:tc>
          <w:tcPr>
            <w:tcW w:w="0" w:type="auto"/>
            <w:shd w:val="clear" w:color="auto" w:fill="FFFFFF"/>
            <w:tcMar>
              <w:top w:w="150" w:type="dxa"/>
              <w:left w:w="150" w:type="dxa"/>
              <w:bottom w:w="150" w:type="dxa"/>
              <w:right w:w="150" w:type="dxa"/>
            </w:tcMar>
            <w:hideMark/>
          </w:tcPr>
          <w:p w14:paraId="1D3353F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$78,364.52 on a salary basis with FLSA-exempt duties, or mostly paid by commission/incentive/bonus</w:t>
            </w:r>
          </w:p>
        </w:tc>
      </w:tr>
      <w:tr w:rsidR="00EB6E38" w:rsidRPr="00DD7BD1" w14:paraId="1912CE2F" w14:textId="77777777" w:rsidTr="002C3050">
        <w:tc>
          <w:tcPr>
            <w:tcW w:w="0" w:type="auto"/>
            <w:shd w:val="clear" w:color="auto" w:fill="FFFFFF"/>
            <w:tcMar>
              <w:top w:w="150" w:type="dxa"/>
              <w:left w:w="150" w:type="dxa"/>
              <w:bottom w:w="150" w:type="dxa"/>
              <w:right w:w="150" w:type="dxa"/>
            </w:tcMar>
            <w:hideMark/>
          </w:tcPr>
          <w:p w14:paraId="477DF2A0"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50" w:history="1">
              <w:r w:rsidRPr="00DD7BD1">
                <w:rPr>
                  <w:rStyle w:val="Hyperlink"/>
                  <w:rFonts w:ascii="Calibri" w:hAnsi="Calibri" w:cs="Calibri"/>
                  <w:b w:val="0"/>
                  <w:bCs w:val="0"/>
                  <w:sz w:val="22"/>
                  <w:szCs w:val="22"/>
                </w:rPr>
                <w:t>Washington state</w:t>
              </w:r>
            </w:hyperlink>
          </w:p>
        </w:tc>
        <w:tc>
          <w:tcPr>
            <w:tcW w:w="0" w:type="auto"/>
            <w:shd w:val="clear" w:color="auto" w:fill="FFFFFF"/>
            <w:tcMar>
              <w:top w:w="150" w:type="dxa"/>
              <w:left w:w="150" w:type="dxa"/>
              <w:bottom w:w="150" w:type="dxa"/>
              <w:right w:w="150" w:type="dxa"/>
            </w:tcMar>
            <w:hideMark/>
          </w:tcPr>
          <w:p w14:paraId="45D1B4D3"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$126,858.83​ for employees, $317,147.09​ for independent contractors</w:t>
            </w:r>
          </w:p>
        </w:tc>
      </w:tr>
    </w:tbl>
    <w:p w14:paraId="017C982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*These states require the employees to be exempt under the federal Fair Labor Standards Act (FLSA).</w:t>
      </w:r>
    </w:p>
    <w:p w14:paraId="23E5B0B0"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****Oregon requires the employees to be exempt not just under the federal FLSA but under stricter state law as well. See Ore. Rev. Stat. 653.295(b).</w:t>
      </w:r>
    </w:p>
    <w:p w14:paraId="3DB82356"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NOTE: These thresholds may vary in certain circumstances, such as when an employee’s base salary is under the threshold but he or she usually makes more in commissions, incentives, or bonuses.</w:t>
      </w:r>
    </w:p>
    <w:p w14:paraId="5C305F96"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46CFEEA2" w14:textId="44AEEDED" w:rsidR="00EB6E38" w:rsidRPr="00DD7BD1" w:rsidRDefault="00EB6E38" w:rsidP="00EB6E38">
      <w:pPr>
        <w:pStyle w:val="Heading1"/>
        <w:shd w:val="clear" w:color="auto" w:fill="FFFFFF"/>
        <w:spacing w:before="0" w:beforeAutospacing="0" w:after="0" w:afterAutospacing="0"/>
        <w:jc w:val="center"/>
        <w:rPr>
          <w:rFonts w:ascii="Calibri" w:hAnsi="Calibri" w:cs="Calibri"/>
          <w:spacing w:val="-8"/>
          <w:sz w:val="28"/>
          <w:szCs w:val="28"/>
        </w:rPr>
      </w:pPr>
      <w:r w:rsidRPr="00DD7BD1">
        <w:rPr>
          <w:rFonts w:ascii="Calibri" w:hAnsi="Calibri" w:cs="Calibri"/>
          <w:spacing w:val="-8"/>
          <w:sz w:val="28"/>
          <w:szCs w:val="28"/>
        </w:rPr>
        <w:t>2026 Federal Poverty Levels Impact Employer Liability Under ACA Pay-or-Play Rules</w:t>
      </w:r>
    </w:p>
    <w:p w14:paraId="3202A155"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To avoid pay-or-</w:t>
      </w:r>
      <w:proofErr w:type="spellStart"/>
      <w:r w:rsidRPr="00DD7BD1">
        <w:rPr>
          <w:rFonts w:ascii="Calibri" w:hAnsi="Calibri" w:cs="Calibri"/>
          <w:b w:val="0"/>
          <w:bCs w:val="0"/>
          <w:sz w:val="22"/>
          <w:szCs w:val="22"/>
        </w:rPr>
        <w:t>play</w:t>
      </w:r>
      <w:proofErr w:type="spellEnd"/>
      <w:r w:rsidRPr="00DD7BD1">
        <w:rPr>
          <w:rFonts w:ascii="Calibri" w:hAnsi="Calibri" w:cs="Calibri"/>
          <w:b w:val="0"/>
          <w:bCs w:val="0"/>
          <w:sz w:val="22"/>
          <w:szCs w:val="22"/>
        </w:rPr>
        <w:t xml:space="preserve">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251" w:history="1">
        <w:r w:rsidRPr="00DD7BD1">
          <w:rPr>
            <w:rStyle w:val="Hyperlink"/>
            <w:rFonts w:ascii="Calibri" w:eastAsiaTheme="majorEastAsia" w:hAnsi="Calibri" w:cs="Calibri"/>
            <w:b w:val="0"/>
            <w:bCs w:val="0"/>
            <w:sz w:val="22"/>
            <w:szCs w:val="22"/>
          </w:rPr>
          <w:t>2025 FPL guidelines</w:t>
        </w:r>
      </w:hyperlink>
      <w:r w:rsidRPr="00DD7BD1">
        <w:rPr>
          <w:rFonts w:ascii="Calibri" w:hAnsi="Calibri" w:cs="Calibri"/>
          <w:b w:val="0"/>
          <w:bCs w:val="0"/>
          <w:kern w:val="0"/>
          <w:sz w:val="22"/>
          <w:szCs w:val="22"/>
        </w:rPr>
        <w:t xml:space="preserve"> for the 2026 plan year, while ALEs with non-calendar-year health plans may use the new 2026 FPL guidelines.</w:t>
      </w:r>
    </w:p>
    <w:p w14:paraId="29F4039C"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16"/>
          <w:szCs w:val="16"/>
        </w:rPr>
      </w:pPr>
    </w:p>
    <w:p w14:paraId="113B4753"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The U.S. Department of Health and Human Services (HHS) updates federal poverty levels (FPLs) each year to determine eligibility for certain programs and benefits. HHS’ new</w:t>
      </w:r>
      <w:r w:rsidRPr="00DD7BD1">
        <w:rPr>
          <w:rFonts w:cs="Calibri"/>
          <w:szCs w:val="22"/>
        </w:rPr>
        <w:t xml:space="preserve"> </w:t>
      </w:r>
      <w:hyperlink r:id="rId252" w:history="1">
        <w:r w:rsidRPr="00DD7BD1">
          <w:rPr>
            <w:rStyle w:val="Hyperlink"/>
            <w:rFonts w:eastAsiaTheme="majorEastAsia" w:cs="Calibri"/>
            <w:szCs w:val="22"/>
          </w:rPr>
          <w:t>guidelines</w:t>
        </w:r>
      </w:hyperlink>
      <w:r w:rsidRPr="00DD7BD1">
        <w:rPr>
          <w:rFonts w:cs="Calibri"/>
          <w:szCs w:val="22"/>
        </w:rPr>
        <w:t xml:space="preserve"> </w:t>
      </w:r>
      <w:r w:rsidRPr="00DD7BD1">
        <w:rPr>
          <w:rFonts w:cs="Calibri"/>
          <w:color w:val="auto"/>
          <w:szCs w:val="22"/>
        </w:rPr>
        <w:t xml:space="preserve">set the 2026 FPL for an individual at $15,960 (up from $15,650 in 2025) in the 48 contiguous states and the District of Columbia. For Alaska and Hawaii, FPLs for an individual are $19,950 and $18,360, respectively (up from $19,550 and $17,990 in 2025). </w:t>
      </w:r>
    </w:p>
    <w:p w14:paraId="2A2BF1DA"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 xml:space="preserve">FPLs may impact an applicable large employer’s (ALE) potential liability under the Affordable Care Act’s (ACA) “pay-or-play” rules in two ways: </w:t>
      </w:r>
    </w:p>
    <w:p w14:paraId="72EA0299"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ALEs may use the FPL safe harbor to determine the affordability of their health plan coverage; and</w:t>
      </w:r>
    </w:p>
    <w:p w14:paraId="16728F96"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 xml:space="preserve">FPLs are used to determine eligibility for premium tax credits (PTC) for health insurance purchased through an ACA Marketplace. </w:t>
      </w:r>
    </w:p>
    <w:p w14:paraId="43FB2577" w14:textId="77777777" w:rsidR="00EB6E38" w:rsidRPr="00DD7BD1" w:rsidRDefault="00EB6E38" w:rsidP="00EB6E38">
      <w:pPr>
        <w:pStyle w:val="BodyText"/>
        <w:spacing w:after="0" w:line="240" w:lineRule="auto"/>
        <w:ind w:right="274"/>
        <w:rPr>
          <w:rFonts w:cs="Calibri"/>
          <w:color w:val="auto"/>
          <w:sz w:val="16"/>
          <w:szCs w:val="16"/>
        </w:rPr>
      </w:pPr>
    </w:p>
    <w:p w14:paraId="14D91402" w14:textId="77777777" w:rsidR="00EB6E38" w:rsidRPr="00DD7BD1" w:rsidRDefault="00EB6E38" w:rsidP="00EB6E38">
      <w:pPr>
        <w:pStyle w:val="BodyText"/>
        <w:spacing w:after="0" w:line="240" w:lineRule="auto"/>
        <w:ind w:right="274"/>
        <w:rPr>
          <w:rFonts w:cs="Calibri"/>
          <w:color w:val="auto"/>
          <w:szCs w:val="22"/>
        </w:rPr>
      </w:pPr>
      <w:r w:rsidRPr="00DD7BD1">
        <w:rPr>
          <w:rFonts w:cs="Calibri"/>
          <w:color w:val="auto"/>
          <w:szCs w:val="22"/>
        </w:rPr>
        <w:t xml:space="preserve">An ALE is only liable for a pay-or-play penalty if one or more of its full-time employees receive a PTC for health insurance purchased through a Marketplace. Individuals cannot receive these if they are eligible for affordable, minimum-value health coverage through their employer, regardless of whether their income meets FPL guidelines. </w:t>
      </w:r>
    </w:p>
    <w:p w14:paraId="66E15908" w14:textId="77777777" w:rsidR="00EB6E38" w:rsidRPr="00DD7BD1" w:rsidRDefault="00EB6E38" w:rsidP="00EB6E38">
      <w:pPr>
        <w:pStyle w:val="BodyText"/>
        <w:spacing w:after="0" w:line="240" w:lineRule="auto"/>
        <w:ind w:right="274"/>
        <w:rPr>
          <w:rFonts w:cs="Calibri"/>
          <w:color w:val="auto"/>
          <w:szCs w:val="22"/>
        </w:rPr>
      </w:pPr>
    </w:p>
    <w:p w14:paraId="6E216C9B" w14:textId="2A13624D"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Recovers More Than $295 Million in Back Wages in FY 2025</w:t>
      </w:r>
    </w:p>
    <w:p w14:paraId="13507B4F" w14:textId="77777777" w:rsidR="00EB6E38" w:rsidRPr="00DD7BD1" w:rsidRDefault="00EB6E38" w:rsidP="00EB6E38">
      <w:pPr>
        <w:pStyle w:val="BodyText"/>
        <w:spacing w:after="0" w:line="240" w:lineRule="auto"/>
        <w:ind w:right="274"/>
        <w:rPr>
          <w:rFonts w:cs="Calibri"/>
          <w:color w:val="auto"/>
          <w:szCs w:val="22"/>
        </w:rPr>
      </w:pPr>
      <w:r w:rsidRPr="00DD7BD1">
        <w:rPr>
          <w:rFonts w:cs="Calibri"/>
          <w:b/>
          <w:bCs/>
          <w:color w:val="auto"/>
          <w:kern w:val="36"/>
          <w:szCs w:val="22"/>
          <w:highlight w:val="lightGray"/>
        </w:rPr>
        <w:t xml:space="preserve">Employer Takeaway: </w:t>
      </w:r>
      <w:r w:rsidRPr="00DD7BD1">
        <w:rPr>
          <w:rFonts w:cs="Calibri"/>
          <w:color w:val="auto"/>
          <w:szCs w:val="22"/>
        </w:rPr>
        <w:t xml:space="preserve">The monetary recovery for FY 2025 even after the DOL undergoing significant changes, including reductions in the department’s workforce and funding and a shift from traditional enforcement actions toward employer compliance assistance and self-reporting, demonstrates the Department’s commitment to the lawful payment of wages to employees. </w:t>
      </w:r>
      <w:proofErr w:type="gramStart"/>
      <w:r w:rsidRPr="00DD7BD1">
        <w:rPr>
          <w:rFonts w:cs="Calibri"/>
          <w:color w:val="auto"/>
          <w:szCs w:val="22"/>
        </w:rPr>
        <w:t>In light of</w:t>
      </w:r>
      <w:proofErr w:type="gramEnd"/>
      <w:r w:rsidRPr="00DD7BD1">
        <w:rPr>
          <w:rFonts w:cs="Calibri"/>
          <w:color w:val="auto"/>
          <w:szCs w:val="22"/>
        </w:rPr>
        <w:t xml:space="preserve"> the increased DOL recoveries in FY 2025, employers should ensure wage and hour compliance to limit their exposures and reduce the risk of investigations.</w:t>
      </w:r>
    </w:p>
    <w:p w14:paraId="11974910" w14:textId="77777777" w:rsidR="00EB6E38" w:rsidRPr="00DD7BD1" w:rsidRDefault="00EB6E38" w:rsidP="00EB6E38">
      <w:pPr>
        <w:pStyle w:val="BodyText"/>
        <w:spacing w:after="0" w:line="240" w:lineRule="auto"/>
        <w:ind w:right="274"/>
        <w:rPr>
          <w:rFonts w:cs="Calibri"/>
          <w:color w:val="auto"/>
          <w:sz w:val="16"/>
          <w:szCs w:val="16"/>
        </w:rPr>
      </w:pPr>
    </w:p>
    <w:p w14:paraId="73DAA99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2025 Recoveries:</w:t>
      </w:r>
    </w:p>
    <w:p w14:paraId="4A15EC8A" w14:textId="10E486C8" w:rsidR="00EB6E38" w:rsidRPr="00DD7BD1" w:rsidRDefault="00EB6E38" w:rsidP="00EB6E38">
      <w:pPr>
        <w:rPr>
          <w:rFonts w:ascii="Calibri" w:hAnsi="Calibri" w:cs="Calibri"/>
        </w:rPr>
      </w:pPr>
      <w:r w:rsidRPr="00DD7BD1">
        <w:rPr>
          <w:rFonts w:ascii="Calibri" w:hAnsi="Calibri" w:cs="Calibri"/>
        </w:rPr>
        <w:t xml:space="preserve">The DOL recovered more than $295 million in back wages in FY 2025, up from $202 million in FY 2024, according to </w:t>
      </w:r>
      <w:hyperlink r:id="rId253" w:history="1">
        <w:r w:rsidRPr="00DD7BD1">
          <w:rPr>
            <w:rStyle w:val="Hyperlink"/>
            <w:rFonts w:ascii="Calibri" w:hAnsi="Calibri" w:cs="Calibri"/>
          </w:rPr>
          <w:t>agency data</w:t>
        </w:r>
      </w:hyperlink>
      <w:r w:rsidRPr="00DD7BD1">
        <w:rPr>
          <w:rFonts w:ascii="Calibri" w:hAnsi="Calibri" w:cs="Calibri"/>
        </w:rPr>
        <w:t xml:space="preserve">. The increase in recovered back wages comes despite the department conducting fewer compliance actions in FY 2025 than it did in FY 2024—17,000 compliance actions were concluded in FY 2025 compared to 17,300 in 2024. Additionally, the DOL assessed $58.7 million in penalties in FY 2025, compared to $35.9 million in FY 2024. According to agency data, a large portion of the </w:t>
      </w:r>
      <w:r w:rsidRPr="00DD7BD1">
        <w:rPr>
          <w:rFonts w:ascii="Calibri" w:hAnsi="Calibri" w:cs="Calibri"/>
        </w:rPr>
        <w:lastRenderedPageBreak/>
        <w:t>cases resolved in FY 2025 originated from previous years, with many of the high-value cases involving violations that occurred between 2016 and 2024.</w:t>
      </w:r>
    </w:p>
    <w:p w14:paraId="4620518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Changes in Employer Resources</w:t>
      </w:r>
    </w:p>
    <w:p w14:paraId="42E89E97" w14:textId="3606CDB2" w:rsidR="00EB6E38" w:rsidRPr="00DD7BD1" w:rsidRDefault="00EB6E38" w:rsidP="00EB6E38">
      <w:pPr>
        <w:rPr>
          <w:rFonts w:ascii="Calibri" w:hAnsi="Calibri" w:cs="Calibri"/>
        </w:rPr>
      </w:pPr>
      <w:r w:rsidRPr="00DD7BD1">
        <w:rPr>
          <w:rFonts w:ascii="Calibri" w:hAnsi="Calibri" w:cs="Calibri"/>
        </w:rPr>
        <w:t xml:space="preserve">Recently, the DOL enhanced its compliance assistance efforts by providing new guidance and tools aimed at helping employers stay informed about their compliance obligations. For example, the department created an improved </w:t>
      </w:r>
      <w:hyperlink r:id="rId254" w:history="1">
        <w:r w:rsidRPr="00DD7BD1">
          <w:rPr>
            <w:rStyle w:val="Hyperlink"/>
            <w:rFonts w:ascii="Calibri" w:hAnsi="Calibri" w:cs="Calibri"/>
          </w:rPr>
          <w:t>compliance assistance hub</w:t>
        </w:r>
      </w:hyperlink>
      <w:r w:rsidRPr="00DD7BD1">
        <w:rPr>
          <w:rFonts w:ascii="Calibri" w:hAnsi="Calibri" w:cs="Calibri"/>
        </w:rPr>
        <w:t xml:space="preserve">, updated </w:t>
      </w:r>
      <w:hyperlink r:id="rId255" w:history="1">
        <w:r w:rsidRPr="00DD7BD1">
          <w:rPr>
            <w:rStyle w:val="Hyperlink"/>
            <w:rFonts w:ascii="Calibri" w:hAnsi="Calibri" w:cs="Calibri"/>
          </w:rPr>
          <w:t>compliance videos</w:t>
        </w:r>
      </w:hyperlink>
      <w:r w:rsidRPr="00DD7BD1">
        <w:rPr>
          <w:rFonts w:ascii="Calibri" w:hAnsi="Calibri" w:cs="Calibri"/>
        </w:rPr>
        <w:t xml:space="preserve"> on the FLSA and created a </w:t>
      </w:r>
      <w:hyperlink r:id="rId256" w:history="1">
        <w:r w:rsidRPr="00DD7BD1">
          <w:rPr>
            <w:rStyle w:val="Hyperlink"/>
            <w:rFonts w:ascii="Calibri" w:hAnsi="Calibri" w:cs="Calibri"/>
          </w:rPr>
          <w:t>YouTube series</w:t>
        </w:r>
      </w:hyperlink>
      <w:r w:rsidRPr="00DD7BD1">
        <w:rPr>
          <w:rFonts w:ascii="Calibri" w:hAnsi="Calibri" w:cs="Calibri"/>
        </w:rPr>
        <w:t xml:space="preserve"> on the FMLA. The DOL also relaunched the </w:t>
      </w:r>
      <w:hyperlink r:id="rId257" w:history="1">
        <w:r w:rsidRPr="00DD7BD1">
          <w:rPr>
            <w:rStyle w:val="Hyperlink"/>
            <w:rFonts w:ascii="Calibri" w:hAnsi="Calibri" w:cs="Calibri"/>
          </w:rPr>
          <w:t>opinion letter program</w:t>
        </w:r>
      </w:hyperlink>
      <w:r w:rsidRPr="00DD7BD1">
        <w:rPr>
          <w:rFonts w:ascii="Calibri" w:hAnsi="Calibri" w:cs="Calibri"/>
        </w:rPr>
        <w:t xml:space="preserve"> and </w:t>
      </w:r>
      <w:hyperlink r:id="rId258" w:history="1">
        <w:r w:rsidRPr="00DD7BD1">
          <w:rPr>
            <w:rStyle w:val="Hyperlink"/>
            <w:rFonts w:ascii="Calibri" w:hAnsi="Calibri" w:cs="Calibri"/>
          </w:rPr>
          <w:t>Payroll Audit Independent Determination program</w:t>
        </w:r>
      </w:hyperlink>
      <w:r w:rsidRPr="00DD7BD1">
        <w:rPr>
          <w:rFonts w:ascii="Calibri" w:hAnsi="Calibri" w:cs="Calibri"/>
        </w:rPr>
        <w:t xml:space="preserve">, which offers employers an opportunity to self-report and </w:t>
      </w:r>
      <w:proofErr w:type="gramStart"/>
      <w:r w:rsidRPr="00DD7BD1">
        <w:rPr>
          <w:rFonts w:ascii="Calibri" w:hAnsi="Calibri" w:cs="Calibri"/>
        </w:rPr>
        <w:t>resolve</w:t>
      </w:r>
      <w:proofErr w:type="gramEnd"/>
      <w:r w:rsidRPr="00DD7BD1">
        <w:rPr>
          <w:rFonts w:ascii="Calibri" w:hAnsi="Calibri" w:cs="Calibri"/>
        </w:rPr>
        <w:t xml:space="preserve"> potential minimum wage and overtime violations under the FLSA, as well as certain potential FMLA violations.</w:t>
      </w:r>
    </w:p>
    <w:p w14:paraId="7118CC2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5F5D41C5" w14:textId="77777777" w:rsidR="00EB6E38" w:rsidRPr="00DD7BD1" w:rsidRDefault="00EB6E38" w:rsidP="00EB6E38">
      <w:pPr>
        <w:pStyle w:val="PostBulletList"/>
        <w:spacing w:before="0" w:after="0" w:line="240" w:lineRule="auto"/>
        <w:rPr>
          <w:rFonts w:ascii="Calibri" w:hAnsi="Calibri" w:cs="Calibri"/>
        </w:rPr>
      </w:pPr>
      <w:r w:rsidRPr="00DD7BD1">
        <w:rPr>
          <w:rFonts w:ascii="Calibri" w:hAnsi="Calibri" w:cs="Calibri"/>
        </w:rPr>
        <w:t xml:space="preserve">The DOL’s Wage and Hour Division (WHD) enforces federal minimum wage, overtime pay, recordkeeping and child labor requirements of the Fair Labor Standards Act (FLSA). The WHD also enforces the Family and Medical Leave Act (FMLA) and </w:t>
      </w:r>
      <w:proofErr w:type="gramStart"/>
      <w:r w:rsidRPr="00DD7BD1">
        <w:rPr>
          <w:rFonts w:ascii="Calibri" w:hAnsi="Calibri" w:cs="Calibri"/>
        </w:rPr>
        <w:t>a number of</w:t>
      </w:r>
      <w:proofErr w:type="gramEnd"/>
      <w:r w:rsidRPr="00DD7BD1">
        <w:rPr>
          <w:rFonts w:ascii="Calibri" w:hAnsi="Calibri" w:cs="Calibri"/>
        </w:rPr>
        <w:t xml:space="preserve"> other employment standards and worker protections.  Under the FLSA, nonexempt employees must be paid minimum wage and 1.5 times their regular rate of pay for hours worked </w:t>
      </w:r>
      <w:proofErr w:type="gramStart"/>
      <w:r w:rsidRPr="00DD7BD1">
        <w:rPr>
          <w:rFonts w:ascii="Calibri" w:hAnsi="Calibri" w:cs="Calibri"/>
        </w:rPr>
        <w:t>in excess of</w:t>
      </w:r>
      <w:proofErr w:type="gramEnd"/>
      <w:r w:rsidRPr="00DD7BD1">
        <w:rPr>
          <w:rFonts w:ascii="Calibri" w:hAnsi="Calibri" w:cs="Calibri"/>
        </w:rPr>
        <w:t xml:space="preserve"> 40 hours in a workweek. Employees may pursue unpaid wages by filing a lawsuit or bringing an administrative wage claim before the DOL. Under the FLSA, employees who were not paid minimum wage or overtime compensation, or both, may be awarded their unpaid wages plus an additional equal amount as liquidated damages.</w:t>
      </w:r>
    </w:p>
    <w:p w14:paraId="17B10C98" w14:textId="77777777" w:rsidR="00EB6E38" w:rsidRPr="00DD7BD1" w:rsidRDefault="00EB6E38" w:rsidP="00EB6E38">
      <w:pPr>
        <w:pStyle w:val="BodyText"/>
        <w:spacing w:after="0" w:line="240" w:lineRule="auto"/>
        <w:ind w:right="274"/>
        <w:rPr>
          <w:rFonts w:cs="Calibri"/>
          <w:color w:val="auto"/>
          <w:szCs w:val="22"/>
        </w:rPr>
      </w:pPr>
    </w:p>
    <w:p w14:paraId="7E3CD784" w14:textId="25A92335"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Clarifies Applicable Minimum Wage &amp; Tip Compensation for Exempt Commissioned Employees</w:t>
      </w:r>
    </w:p>
    <w:p w14:paraId="43EF1581" w14:textId="03465845" w:rsidR="00EB6E38" w:rsidRPr="00DD7BD1" w:rsidRDefault="00EB6E38" w:rsidP="00EB6E38">
      <w:pPr>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DOL </w:t>
      </w:r>
      <w:r w:rsidRPr="00DD7BD1">
        <w:rPr>
          <w:rFonts w:ascii="Calibri" w:hAnsi="Calibri" w:cs="Calibri"/>
          <w:b/>
          <w:bCs/>
        </w:rPr>
        <w:t>confirms</w:t>
      </w:r>
      <w:r w:rsidRPr="00DD7BD1">
        <w:rPr>
          <w:rFonts w:ascii="Calibri" w:hAnsi="Calibri" w:cs="Calibri"/>
        </w:rPr>
        <w:t xml:space="preserve"> that Section 7(</w:t>
      </w:r>
      <w:proofErr w:type="spellStart"/>
      <w:r w:rsidRPr="00DD7BD1">
        <w:rPr>
          <w:rFonts w:ascii="Calibri" w:hAnsi="Calibri" w:cs="Calibri"/>
        </w:rPr>
        <w:t>i</w:t>
      </w:r>
      <w:proofErr w:type="spellEnd"/>
      <w:r w:rsidRPr="00DD7BD1">
        <w:rPr>
          <w:rFonts w:ascii="Calibri" w:hAnsi="Calibri" w:cs="Calibri"/>
        </w:rPr>
        <w:t xml:space="preserve">)(1) expressly incorporates the </w:t>
      </w:r>
      <w:r w:rsidRPr="00DD7BD1">
        <w:rPr>
          <w:rFonts w:ascii="Calibri" w:hAnsi="Calibri" w:cs="Calibri"/>
          <w:b/>
          <w:bCs/>
        </w:rPr>
        <w:t>federal minimum wage and not any higher applicable minimum wage</w:t>
      </w:r>
      <w:r w:rsidRPr="00DD7BD1">
        <w:rPr>
          <w:rFonts w:ascii="Calibri" w:hAnsi="Calibri" w:cs="Calibri"/>
        </w:rPr>
        <w:t xml:space="preserve">. So, if a retail and service establishment employee receives a </w:t>
      </w:r>
      <w:r w:rsidRPr="00DD7BD1">
        <w:rPr>
          <w:rFonts w:ascii="Calibri" w:hAnsi="Calibri" w:cs="Calibri"/>
          <w:u w:val="single"/>
        </w:rPr>
        <w:t>regular rate of pay greater than 1.5 times the federal minimum wage</w:t>
      </w:r>
      <w:r w:rsidRPr="00DD7BD1">
        <w:rPr>
          <w:rFonts w:ascii="Calibri" w:hAnsi="Calibri" w:cs="Calibri"/>
        </w:rPr>
        <w:t xml:space="preserve">, the </w:t>
      </w:r>
      <w:r w:rsidRPr="00DD7BD1">
        <w:rPr>
          <w:rFonts w:ascii="Calibri" w:hAnsi="Calibri" w:cs="Calibri"/>
          <w:u w:val="single"/>
        </w:rPr>
        <w:t>employer satisfies the minimum pay standard in Section 7(</w:t>
      </w:r>
      <w:proofErr w:type="spellStart"/>
      <w:r w:rsidRPr="00DD7BD1">
        <w:rPr>
          <w:rFonts w:ascii="Calibri" w:hAnsi="Calibri" w:cs="Calibri"/>
          <w:u w:val="single"/>
        </w:rPr>
        <w:t>i</w:t>
      </w:r>
      <w:proofErr w:type="spellEnd"/>
      <w:r w:rsidRPr="00DD7BD1">
        <w:rPr>
          <w:rFonts w:ascii="Calibri" w:hAnsi="Calibri" w:cs="Calibri"/>
          <w:u w:val="single"/>
        </w:rPr>
        <w:t>)(1) for a particular workweek.</w:t>
      </w:r>
      <w:r w:rsidRPr="00DD7BD1">
        <w:rPr>
          <w:rFonts w:ascii="Calibri" w:hAnsi="Calibri" w:cs="Calibri"/>
        </w:rPr>
        <w:t xml:space="preserve"> Additionally, the DOL advises that </w:t>
      </w:r>
      <w:r w:rsidRPr="00DD7BD1">
        <w:rPr>
          <w:rFonts w:ascii="Calibri" w:hAnsi="Calibri" w:cs="Calibri"/>
          <w:u w:val="single"/>
        </w:rPr>
        <w:t xml:space="preserve">tips are compensation </w:t>
      </w:r>
      <w:r w:rsidRPr="00DD7BD1">
        <w:rPr>
          <w:rFonts w:ascii="Calibri" w:hAnsi="Calibri" w:cs="Calibri"/>
        </w:rPr>
        <w:t>for purposes of Section 7(</w:t>
      </w:r>
      <w:proofErr w:type="spellStart"/>
      <w:r w:rsidRPr="00DD7BD1">
        <w:rPr>
          <w:rFonts w:ascii="Calibri" w:hAnsi="Calibri" w:cs="Calibri"/>
        </w:rPr>
        <w:t>i</w:t>
      </w:r>
      <w:proofErr w:type="spellEnd"/>
      <w:r w:rsidRPr="00DD7BD1">
        <w:rPr>
          <w:rFonts w:ascii="Calibri" w:hAnsi="Calibri" w:cs="Calibri"/>
        </w:rPr>
        <w:t xml:space="preserve">)(2) </w:t>
      </w:r>
      <w:r w:rsidRPr="00DD7BD1">
        <w:rPr>
          <w:rFonts w:ascii="Calibri" w:hAnsi="Calibri" w:cs="Calibri"/>
          <w:u w:val="single"/>
        </w:rPr>
        <w:t>only to the extent that an employer relies on them to meet federal, state or other wage obligations</w:t>
      </w:r>
      <w:r w:rsidRPr="00DD7BD1">
        <w:rPr>
          <w:rFonts w:ascii="Calibri" w:hAnsi="Calibri" w:cs="Calibri"/>
        </w:rPr>
        <w:t>. These tips can be included when determining if more than half of an employee’s earnings come from commissions.  Employers should regularly review Section 7(</w:t>
      </w:r>
      <w:proofErr w:type="spellStart"/>
      <w:r w:rsidRPr="00DD7BD1">
        <w:rPr>
          <w:rFonts w:ascii="Calibri" w:hAnsi="Calibri" w:cs="Calibri"/>
        </w:rPr>
        <w:t>i</w:t>
      </w:r>
      <w:proofErr w:type="spellEnd"/>
      <w:r w:rsidRPr="00DD7BD1">
        <w:rPr>
          <w:rFonts w:ascii="Calibri" w:hAnsi="Calibri" w:cs="Calibri"/>
        </w:rPr>
        <w:t>) exemptions to ensure they meet their FLSA pay requirements.</w:t>
      </w:r>
    </w:p>
    <w:p w14:paraId="4618CF41"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40D3BED7" w14:textId="77777777" w:rsidR="00EB6E38" w:rsidRPr="00DD7BD1" w:rsidRDefault="00EB6E38" w:rsidP="00EB6E38">
      <w:pPr>
        <w:jc w:val="both"/>
        <w:rPr>
          <w:rFonts w:ascii="Calibri" w:hAnsi="Calibri" w:cs="Calibri"/>
        </w:rPr>
      </w:pPr>
      <w:r w:rsidRPr="00DD7BD1">
        <w:rPr>
          <w:rFonts w:ascii="Calibri" w:hAnsi="Calibri" w:cs="Calibri"/>
        </w:rPr>
        <w:t xml:space="preserve">On Jan. 5, 2026, the U.S. Department of Labor (DOL) issued Opinion Letter </w:t>
      </w:r>
      <w:hyperlink r:id="rId259" w:history="1">
        <w:r w:rsidRPr="00DD7BD1">
          <w:rPr>
            <w:rStyle w:val="Hyperlink"/>
            <w:rFonts w:ascii="Calibri" w:hAnsi="Calibri" w:cs="Calibri"/>
          </w:rPr>
          <w:t>FLSA 2026-4</w:t>
        </w:r>
      </w:hyperlink>
      <w:r w:rsidRPr="00DD7BD1">
        <w:rPr>
          <w:rFonts w:ascii="Calibri" w:hAnsi="Calibri" w:cs="Calibri"/>
        </w:rPr>
        <w:t>, addressing the following:</w:t>
      </w:r>
    </w:p>
    <w:p w14:paraId="164D09DC"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in a jurisdiction where the state minimum wage exceeds the federal minimum wage, an employer must use the federal minimum to determine if it has satisfied the minimum pay standard in Section 7(</w:t>
      </w:r>
      <w:proofErr w:type="spellStart"/>
      <w:r w:rsidRPr="00DD7BD1">
        <w:rPr>
          <w:rFonts w:ascii="Calibri" w:hAnsi="Calibri" w:cs="Calibri"/>
        </w:rPr>
        <w:t>i</w:t>
      </w:r>
      <w:proofErr w:type="spellEnd"/>
      <w:r w:rsidRPr="00DD7BD1">
        <w:rPr>
          <w:rFonts w:ascii="Calibri" w:hAnsi="Calibri" w:cs="Calibri"/>
        </w:rPr>
        <w:t>)(1) of the Fair Labor Standards Act (FLSA); and</w:t>
      </w:r>
    </w:p>
    <w:p w14:paraId="248008E7"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tips must be considered compensation when determining if more than half of an employee’s earnings come from commissions, as required by Section 7(</w:t>
      </w:r>
      <w:proofErr w:type="spellStart"/>
      <w:r w:rsidRPr="00DD7BD1">
        <w:rPr>
          <w:rFonts w:ascii="Calibri" w:hAnsi="Calibri" w:cs="Calibri"/>
        </w:rPr>
        <w:t>i</w:t>
      </w:r>
      <w:proofErr w:type="spellEnd"/>
      <w:r w:rsidRPr="00DD7BD1">
        <w:rPr>
          <w:rFonts w:ascii="Calibri" w:hAnsi="Calibri" w:cs="Calibri"/>
        </w:rPr>
        <w:t>)(2).</w:t>
      </w:r>
    </w:p>
    <w:p w14:paraId="28CEDD35" w14:textId="265AF96E" w:rsidR="00EB6E38" w:rsidRPr="00DD7BD1" w:rsidRDefault="00EB6E38" w:rsidP="00EB6E38">
      <w:pPr>
        <w:jc w:val="both"/>
        <w:rPr>
          <w:rFonts w:ascii="Calibri" w:hAnsi="Calibri" w:cs="Calibri"/>
        </w:rPr>
      </w:pPr>
      <w:r w:rsidRPr="00DD7BD1">
        <w:rPr>
          <w:rFonts w:ascii="Calibri" w:hAnsi="Calibri" w:cs="Calibri"/>
        </w:rPr>
        <w:t>The opinion letter concerns an employer operating restaurants in a state with its own tip credit law and minimum wage that exceeds the federal minimum wage.</w:t>
      </w:r>
    </w:p>
    <w:p w14:paraId="23090FE6" w14:textId="0B1FA4F7" w:rsidR="00EB6E38" w:rsidRPr="00DD7BD1" w:rsidRDefault="00EB6E38" w:rsidP="003471D6">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DOL Issues Opinion Letter &amp; Clarifies Learned Professional Exemption</w:t>
      </w:r>
    </w:p>
    <w:p w14:paraId="624BE1D7" w14:textId="2CEC9A6B" w:rsidR="00EB6E38" w:rsidRPr="00DD7BD1" w:rsidRDefault="00EB6E38" w:rsidP="003471D6">
      <w:pPr>
        <w:pStyle w:val="ListParagraph"/>
        <w:spacing w:after="0" w:line="240" w:lineRule="auto"/>
        <w:ind w:left="0"/>
        <w:contextualSpacing w:val="0"/>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FLSA prohibits employers from misclassifying nonexempt employees as exempt. Employers have the discretion to classify employees as nonexempt so long as they pay at least the federal minimum wage for all hours worked and the overtime premium for work </w:t>
      </w:r>
      <w:proofErr w:type="gramStart"/>
      <w:r w:rsidRPr="00DD7BD1">
        <w:rPr>
          <w:rFonts w:ascii="Calibri" w:hAnsi="Calibri" w:cs="Calibri"/>
        </w:rPr>
        <w:t>in excess of</w:t>
      </w:r>
      <w:proofErr w:type="gramEnd"/>
      <w:r w:rsidRPr="00DD7BD1">
        <w:rPr>
          <w:rFonts w:ascii="Calibri" w:hAnsi="Calibri" w:cs="Calibri"/>
        </w:rPr>
        <w:t xml:space="preserve"> 40 hours in a workweek.  In the scenario addressed by DOL in its most recently issued Opinion Letter, the DOL advised that even if the employee met the tests for the learned professional exemption, the employer may still choose to classify the employee as nonexempt.  The DOL further advised that the discontinuation of supervisory responsibilities does not preclude employees from being classified as learned professionals </w:t>
      </w:r>
      <w:proofErr w:type="gramStart"/>
      <w:r w:rsidRPr="00DD7BD1">
        <w:rPr>
          <w:rFonts w:ascii="Calibri" w:hAnsi="Calibri" w:cs="Calibri"/>
        </w:rPr>
        <w:t>as long as</w:t>
      </w:r>
      <w:proofErr w:type="gramEnd"/>
      <w:r w:rsidRPr="00DD7BD1">
        <w:rPr>
          <w:rFonts w:ascii="Calibri" w:hAnsi="Calibri" w:cs="Calibri"/>
        </w:rPr>
        <w:t xml:space="preserve"> they meet </w:t>
      </w:r>
      <w:proofErr w:type="gramStart"/>
      <w:r w:rsidRPr="00DD7BD1">
        <w:rPr>
          <w:rFonts w:ascii="Calibri" w:hAnsi="Calibri" w:cs="Calibri"/>
        </w:rPr>
        <w:t>all of</w:t>
      </w:r>
      <w:proofErr w:type="gramEnd"/>
      <w:r w:rsidRPr="00DD7BD1">
        <w:rPr>
          <w:rFonts w:ascii="Calibri" w:hAnsi="Calibri" w:cs="Calibri"/>
        </w:rPr>
        <w:t xml:space="preserve"> the exemption’s requirements, including being compensated at a rate no less than the FLSA’s standard salary level.</w:t>
      </w:r>
    </w:p>
    <w:p w14:paraId="2FA8CD40" w14:textId="77777777" w:rsidR="002242FA" w:rsidRPr="00DD7BD1" w:rsidRDefault="002242FA" w:rsidP="00EB6E38">
      <w:pPr>
        <w:pStyle w:val="BodyText"/>
        <w:spacing w:after="0" w:line="240" w:lineRule="auto"/>
        <w:ind w:right="274"/>
        <w:rPr>
          <w:rFonts w:cs="Calibri"/>
          <w:b/>
          <w:bCs/>
          <w:color w:val="auto"/>
          <w:sz w:val="16"/>
          <w:szCs w:val="16"/>
        </w:rPr>
      </w:pPr>
    </w:p>
    <w:p w14:paraId="1423D4B8" w14:textId="3D137CD5"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61768C76" w14:textId="705737D9" w:rsidR="00EB6E38" w:rsidRPr="00DD7BD1" w:rsidRDefault="00EB6E38" w:rsidP="00EB6E38">
      <w:pPr>
        <w:rPr>
          <w:rFonts w:ascii="Calibri" w:hAnsi="Calibri" w:cs="Calibri"/>
        </w:rPr>
      </w:pPr>
      <w:r w:rsidRPr="00DD7BD1">
        <w:rPr>
          <w:rFonts w:ascii="Calibri" w:hAnsi="Calibri" w:cs="Calibri"/>
        </w:rPr>
        <w:lastRenderedPageBreak/>
        <w:t xml:space="preserve">On Jan. 5, 2026, the U.S. Department of Labor (DOL) issued Opinion Letter </w:t>
      </w:r>
      <w:hyperlink r:id="rId260" w:history="1">
        <w:r w:rsidRPr="00DD7BD1">
          <w:rPr>
            <w:rStyle w:val="Hyperlink"/>
            <w:rFonts w:ascii="Calibri" w:hAnsi="Calibri" w:cs="Calibri"/>
          </w:rPr>
          <w:t>FLSA2026-1</w:t>
        </w:r>
      </w:hyperlink>
      <w:r w:rsidRPr="00DD7BD1">
        <w:rPr>
          <w:rFonts w:ascii="Calibri" w:hAnsi="Calibri" w:cs="Calibri"/>
        </w:rPr>
        <w:t>, responding to an employee’s question about being reclassified from an exempt employee to a nonexempt employee while believing that they continue to satisfy the education and job duties criteria of an exempt learned professional under Section 13(a)(1) of the Fair Labor Standards Act (FLSA). The question concerns an individual employed as a licensed clinical social worker for a health care organization.</w:t>
      </w:r>
    </w:p>
    <w:p w14:paraId="7F7467AD" w14:textId="4F272801" w:rsidR="00EB6E38" w:rsidRPr="00DD7BD1" w:rsidRDefault="00EB6E38" w:rsidP="00EB6E38">
      <w:pPr>
        <w:rPr>
          <w:rFonts w:ascii="Calibri" w:hAnsi="Calibri" w:cs="Calibri"/>
        </w:rPr>
      </w:pPr>
      <w:r w:rsidRPr="00DD7BD1">
        <w:rPr>
          <w:rFonts w:ascii="Calibri" w:hAnsi="Calibri" w:cs="Calibri"/>
        </w:rPr>
        <w:t xml:space="preserve">The FLSA generally requires employers to pay employees at least the federal minimum wage for every hour worked and 1.5 times their regular pay rate for each hour worked over 40 in a workweek. Section 13(a)(1) of the FLSA provides an exemption from both minimum wage and overtime pay for employees employed as bona fide executive, administrative, professional and outside sales employees. </w:t>
      </w:r>
    </w:p>
    <w:p w14:paraId="2FBA62D7" w14:textId="58084D74"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 xml:space="preserve">EEOC Rescinds </w:t>
      </w:r>
      <w:r w:rsidRPr="00DD7BD1">
        <w:rPr>
          <w:rFonts w:ascii="Calibri" w:hAnsi="Calibri" w:cs="Calibri"/>
          <w:i/>
          <w:iCs/>
          <w:sz w:val="28"/>
          <w:szCs w:val="28"/>
        </w:rPr>
        <w:t xml:space="preserve">Enforcement Guidance </w:t>
      </w:r>
      <w:r w:rsidRPr="00DD7BD1">
        <w:rPr>
          <w:rFonts w:ascii="Calibri" w:hAnsi="Calibri" w:cs="Calibri"/>
          <w:sz w:val="28"/>
          <w:szCs w:val="28"/>
        </w:rPr>
        <w:t>on Harassment in the Workplace</w:t>
      </w:r>
    </w:p>
    <w:p w14:paraId="5C76B835" w14:textId="17D0DD0E" w:rsidR="00EB6E38" w:rsidRPr="00DD7BD1" w:rsidRDefault="00EB6E38" w:rsidP="00EB6E38">
      <w:pPr>
        <w:rPr>
          <w:rFonts w:ascii="Calibri" w:hAnsi="Calibri" w:cs="Calibri"/>
        </w:rPr>
      </w:pPr>
      <w:r w:rsidRPr="00DD7BD1">
        <w:rPr>
          <w:rFonts w:ascii="Calibri" w:hAnsi="Calibri" w:cs="Calibri"/>
        </w:rPr>
        <w:t xml:space="preserve">On </w:t>
      </w:r>
      <w:r w:rsidRPr="00DD7BD1">
        <w:rPr>
          <w:rFonts w:ascii="Calibri" w:hAnsi="Calibri" w:cs="Calibri"/>
          <w:b/>
          <w:bCs/>
        </w:rPr>
        <w:t>Jan. 22, 2026</w:t>
      </w:r>
      <w:r w:rsidRPr="00DD7BD1">
        <w:rPr>
          <w:rFonts w:ascii="Calibri" w:hAnsi="Calibri" w:cs="Calibri"/>
        </w:rPr>
        <w:t>, the U.S. Equal Employment Opportunity Commission (EEOC) voted to rescind its</w:t>
      </w:r>
      <w:r w:rsidRPr="00DD7BD1">
        <w:rPr>
          <w:rFonts w:ascii="Calibri" w:hAnsi="Calibri" w:cs="Calibri"/>
          <w:i/>
          <w:iCs/>
        </w:rPr>
        <w:t xml:space="preserve"> Enforcement Guidance</w:t>
      </w:r>
      <w:r w:rsidRPr="00DD7BD1">
        <w:rPr>
          <w:rFonts w:ascii="Calibri" w:hAnsi="Calibri" w:cs="Calibri"/>
        </w:rPr>
        <w:t xml:space="preserve"> on Harassment in the Workplace (Enforcement Guidance).</w:t>
      </w:r>
    </w:p>
    <w:p w14:paraId="5185A2F1" w14:textId="77777777" w:rsidR="00EB6E38" w:rsidRPr="00DD7BD1" w:rsidRDefault="00EB6E38" w:rsidP="001931A2">
      <w:pPr>
        <w:spacing w:after="0" w:line="240" w:lineRule="auto"/>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0EC8E1A7" w14:textId="77777777" w:rsidR="00EB6E38" w:rsidRPr="00DD7BD1" w:rsidRDefault="00EB6E38" w:rsidP="001931A2">
      <w:pPr>
        <w:pStyle w:val="ListParagraph"/>
        <w:numPr>
          <w:ilvl w:val="0"/>
          <w:numId w:val="301"/>
        </w:numPr>
        <w:spacing w:after="0" w:line="240" w:lineRule="auto"/>
        <w:rPr>
          <w:rFonts w:ascii="Calibri" w:hAnsi="Calibri" w:cs="Calibri"/>
        </w:rPr>
      </w:pPr>
      <w:r w:rsidRPr="00DD7BD1">
        <w:rPr>
          <w:rFonts w:ascii="Calibri" w:hAnsi="Calibri" w:cs="Calibri"/>
        </w:rPr>
        <w:t xml:space="preserve">The EEOC’s rescission of the </w:t>
      </w:r>
      <w:r w:rsidRPr="00DD7BD1">
        <w:rPr>
          <w:rFonts w:ascii="Calibri" w:hAnsi="Calibri" w:cs="Calibri"/>
          <w:i/>
          <w:iCs/>
        </w:rPr>
        <w:t xml:space="preserve">Enforcement Guidance </w:t>
      </w:r>
      <w:r w:rsidRPr="00DD7BD1">
        <w:rPr>
          <w:rFonts w:ascii="Calibri" w:hAnsi="Calibri" w:cs="Calibri"/>
          <w:b/>
          <w:bCs/>
        </w:rPr>
        <w:t>does not alter federal law</w:t>
      </w:r>
      <w:r w:rsidRPr="00DD7BD1">
        <w:rPr>
          <w:rFonts w:ascii="Calibri" w:hAnsi="Calibri" w:cs="Calibri"/>
        </w:rPr>
        <w:t xml:space="preserve">, it does </w:t>
      </w:r>
      <w:r w:rsidRPr="00DD7BD1">
        <w:rPr>
          <w:rFonts w:ascii="Calibri" w:hAnsi="Calibri" w:cs="Calibri"/>
          <w:u w:val="single"/>
        </w:rPr>
        <w:t>eliminate informal guidance</w:t>
      </w:r>
      <w:r w:rsidRPr="00DD7BD1">
        <w:rPr>
          <w:rFonts w:ascii="Calibri" w:hAnsi="Calibri" w:cs="Calibri"/>
        </w:rPr>
        <w:t xml:space="preserve"> regarding the EEOC’s enforcement of federal harassment laws, which could lead to </w:t>
      </w:r>
      <w:r w:rsidRPr="00DD7BD1">
        <w:rPr>
          <w:rFonts w:ascii="Calibri" w:hAnsi="Calibri" w:cs="Calibri"/>
          <w:b/>
          <w:bCs/>
        </w:rPr>
        <w:t>uncertainty for employers in complying with such laws</w:t>
      </w:r>
      <w:r w:rsidRPr="00DD7BD1">
        <w:rPr>
          <w:rFonts w:ascii="Calibri" w:hAnsi="Calibri" w:cs="Calibri"/>
        </w:rPr>
        <w:t xml:space="preserve">. </w:t>
      </w:r>
    </w:p>
    <w:p w14:paraId="4B857EF0"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i/>
          <w:iCs/>
        </w:rPr>
        <w:t xml:space="preserve">Bostock </w:t>
      </w:r>
      <w:r w:rsidRPr="00DD7BD1">
        <w:rPr>
          <w:rFonts w:ascii="Calibri" w:hAnsi="Calibri" w:cs="Calibri"/>
          <w:b/>
          <w:bCs/>
        </w:rPr>
        <w:t>still prohibits employment discrimination based on sexual orientation and gender identity</w:t>
      </w:r>
      <w:r w:rsidRPr="00DD7BD1">
        <w:rPr>
          <w:rFonts w:ascii="Calibri" w:hAnsi="Calibri" w:cs="Calibri"/>
        </w:rPr>
        <w:t>.</w:t>
      </w:r>
    </w:p>
    <w:p w14:paraId="5B638AA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may also be subject to state or local laws that prohibit sexual orientation and gender identity harassment and discrimination. </w:t>
      </w:r>
    </w:p>
    <w:p w14:paraId="14CB6E8E"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should continue to ensure compliance with all relevant discrimination and harassment laws. </w:t>
      </w:r>
    </w:p>
    <w:p w14:paraId="5B5D0C6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The EEOC did not specify whether it will issue new guidance, but employers should monitor for updates.  </w:t>
      </w:r>
    </w:p>
    <w:p w14:paraId="1BB1F548"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Recap:</w:t>
      </w:r>
    </w:p>
    <w:p w14:paraId="151B9C88"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April 29, 2024</w:t>
      </w:r>
      <w:r w:rsidRPr="00DD7BD1">
        <w:rPr>
          <w:rFonts w:ascii="Calibri" w:hAnsi="Calibri" w:cs="Calibri"/>
        </w:rPr>
        <w:t xml:space="preserve">, the EEOC updated the Enforcement Guidance. Among the updates, the EEOC added protections for gender identity and sexual orientation harassment to incorporate case law, including the Supreme Court’s 2020 decision in </w:t>
      </w:r>
      <w:r w:rsidRPr="00DD7BD1">
        <w:rPr>
          <w:rFonts w:ascii="Calibri" w:hAnsi="Calibri" w:cs="Calibri"/>
          <w:i/>
          <w:iCs/>
        </w:rPr>
        <w:t>Bostock v. Clayton County</w:t>
      </w:r>
      <w:r w:rsidRPr="00DD7BD1">
        <w:rPr>
          <w:rFonts w:ascii="Calibri" w:hAnsi="Calibri" w:cs="Calibri"/>
        </w:rPr>
        <w:t xml:space="preserve">, which holds that discrimination </w:t>
      </w:r>
      <w:proofErr w:type="gramStart"/>
      <w:r w:rsidRPr="00DD7BD1">
        <w:rPr>
          <w:rFonts w:ascii="Calibri" w:hAnsi="Calibri" w:cs="Calibri"/>
        </w:rPr>
        <w:t>on the basis of</w:t>
      </w:r>
      <w:proofErr w:type="gramEnd"/>
      <w:r w:rsidRPr="00DD7BD1">
        <w:rPr>
          <w:rFonts w:ascii="Calibri" w:hAnsi="Calibri" w:cs="Calibri"/>
        </w:rPr>
        <w:t xml:space="preserve"> sexual orientation constitutes sex discrimination under Title VII of the Civil Rights Act (Title VII). The updated Enforcement Guidance also provided guidance regarding emerging issues, such as harassment in a remote work environment.</w:t>
      </w:r>
    </w:p>
    <w:p w14:paraId="5F50CAEC"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May 15, 2025</w:t>
      </w:r>
      <w:r w:rsidRPr="00DD7BD1">
        <w:rPr>
          <w:rFonts w:ascii="Calibri" w:hAnsi="Calibri" w:cs="Calibri"/>
        </w:rPr>
        <w:t xml:space="preserve">, the U.S. District Court for the Northern District of Texas </w:t>
      </w:r>
      <w:hyperlink r:id="rId261" w:history="1">
        <w:r w:rsidRPr="00DD7BD1">
          <w:rPr>
            <w:rStyle w:val="Hyperlink"/>
            <w:rFonts w:ascii="Calibri" w:hAnsi="Calibri" w:cs="Calibri"/>
          </w:rPr>
          <w:t>ruled</w:t>
        </w:r>
      </w:hyperlink>
      <w:r w:rsidRPr="00DD7BD1">
        <w:rPr>
          <w:rFonts w:ascii="Calibri" w:hAnsi="Calibri" w:cs="Calibri"/>
        </w:rPr>
        <w:t xml:space="preserve"> that the EEOC exceeded its authority in expanding the definition of “sex” to include “sexual orientation” and “gender identity” and that neither Title VII nor the ruling in </w:t>
      </w:r>
      <w:r w:rsidRPr="00DD7BD1">
        <w:rPr>
          <w:rFonts w:ascii="Calibri" w:hAnsi="Calibri" w:cs="Calibri"/>
          <w:i/>
          <w:iCs/>
        </w:rPr>
        <w:t xml:space="preserve">Bostock </w:t>
      </w:r>
      <w:r w:rsidRPr="00DD7BD1">
        <w:rPr>
          <w:rFonts w:ascii="Calibri" w:hAnsi="Calibri" w:cs="Calibri"/>
        </w:rPr>
        <w:t>defines “sex” accordingly. In its ruling, the Texas District Court vacated related elements of the Enforcement Guidance.</w:t>
      </w:r>
    </w:p>
    <w:p w14:paraId="561C45AB" w14:textId="59CC91BE"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b/>
          <w:bCs/>
        </w:rPr>
        <w:t xml:space="preserve">On Jan. 22, 2026, the EEOC voted to rescind the </w:t>
      </w:r>
      <w:r w:rsidRPr="00DD7BD1">
        <w:rPr>
          <w:rFonts w:ascii="Calibri" w:hAnsi="Calibri" w:cs="Calibri"/>
          <w:b/>
          <w:bCs/>
          <w:i/>
          <w:iCs/>
        </w:rPr>
        <w:t>Enforcement Guidance</w:t>
      </w:r>
      <w:r w:rsidRPr="00DD7BD1">
        <w:rPr>
          <w:rFonts w:ascii="Calibri" w:hAnsi="Calibri" w:cs="Calibri"/>
          <w:b/>
          <w:bCs/>
        </w:rPr>
        <w:t xml:space="preserve"> which</w:t>
      </w:r>
      <w:r w:rsidRPr="00DD7BD1">
        <w:rPr>
          <w:rFonts w:ascii="Calibri" w:hAnsi="Calibri" w:cs="Calibri"/>
          <w:i/>
          <w:iCs/>
        </w:rPr>
        <w:t xml:space="preserve"> </w:t>
      </w:r>
      <w:r w:rsidRPr="00DD7BD1">
        <w:rPr>
          <w:rFonts w:ascii="Calibri" w:hAnsi="Calibri" w:cs="Calibri"/>
        </w:rPr>
        <w:t xml:space="preserve">included real-world examples and employer best practices to prevent harassment claims, </w:t>
      </w:r>
      <w:r w:rsidRPr="00DD7BD1">
        <w:rPr>
          <w:rFonts w:ascii="Calibri" w:hAnsi="Calibri" w:cs="Calibri"/>
          <w:u w:val="single"/>
        </w:rPr>
        <w:t>rather than the protection provisions regarding sexual orientation and gender identity.</w:t>
      </w:r>
    </w:p>
    <w:p w14:paraId="55BC53CA" w14:textId="77777777" w:rsidR="00EB6E38" w:rsidRPr="00DD7BD1" w:rsidRDefault="00EB6E38" w:rsidP="00EB6E38">
      <w:pPr>
        <w:pStyle w:val="ListParagraph"/>
        <w:spacing w:after="0" w:line="240" w:lineRule="auto"/>
        <w:rPr>
          <w:rFonts w:ascii="Calibri" w:hAnsi="Calibri" w:cs="Calibri"/>
        </w:rPr>
      </w:pPr>
    </w:p>
    <w:p w14:paraId="15A98B30" w14:textId="51903E0C" w:rsidR="00EB6E38" w:rsidRPr="00DD7BD1" w:rsidRDefault="00EB6E38" w:rsidP="001931A2">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EBSA’s 2026 National Employee Benefit Plan Enforcement Projects</w:t>
      </w:r>
    </w:p>
    <w:p w14:paraId="49E783B2" w14:textId="5822BA39" w:rsidR="00EB6E38" w:rsidRPr="00DD7BD1" w:rsidRDefault="00EB6E38" w:rsidP="001931A2">
      <w:pPr>
        <w:spacing w:after="0" w:line="240" w:lineRule="auto"/>
        <w:rPr>
          <w:rFonts w:ascii="Calibri" w:hAnsi="Calibri" w:cs="Calibri"/>
        </w:rPr>
      </w:pPr>
      <w:r w:rsidRPr="00DD7BD1">
        <w:rPr>
          <w:rFonts w:ascii="Calibri" w:hAnsi="Calibri" w:cs="Calibri"/>
        </w:rPr>
        <w:t xml:space="preserve">On Jan. 15, 2026, the Employee Benefits Security Administration (EBSA) </w:t>
      </w:r>
      <w:hyperlink r:id="rId262" w:history="1">
        <w:r w:rsidRPr="00DD7BD1">
          <w:rPr>
            <w:rStyle w:val="Hyperlink"/>
            <w:rFonts w:ascii="Calibri" w:hAnsi="Calibri" w:cs="Calibri"/>
          </w:rPr>
          <w:t>announced</w:t>
        </w:r>
      </w:hyperlink>
      <w:r w:rsidRPr="00DD7BD1">
        <w:rPr>
          <w:rFonts w:ascii="Calibri" w:hAnsi="Calibri" w:cs="Calibri"/>
        </w:rPr>
        <w:t xml:space="preserve"> updates to its national enforcement projects for fiscal year 2026. According to EBSA, these projects highlight areas in which the agency will prioritize enforcement efforts to enhance overall employee benefit plan compliance, address abusive practices, and strengthen protections for plan participants and beneficiaries.</w:t>
      </w:r>
    </w:p>
    <w:p w14:paraId="5B660DCC" w14:textId="77777777" w:rsidR="0039489E" w:rsidRPr="00DD7BD1" w:rsidRDefault="0039489E" w:rsidP="00EB6E38">
      <w:pPr>
        <w:pStyle w:val="Heading2"/>
        <w:rPr>
          <w:rFonts w:ascii="Calibri" w:hAnsi="Calibri" w:cs="Calibri"/>
          <w:b/>
          <w:bCs/>
          <w:color w:val="auto"/>
          <w:sz w:val="12"/>
          <w:szCs w:val="12"/>
        </w:rPr>
      </w:pPr>
    </w:p>
    <w:p w14:paraId="51B41303" w14:textId="2AC4CFD6"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Updated Enforcement Projects</w:t>
      </w:r>
    </w:p>
    <w:p w14:paraId="044A41A5" w14:textId="77777777" w:rsidR="00EB6E38" w:rsidRPr="00DD7BD1" w:rsidRDefault="00EB6E38" w:rsidP="00EB6E38">
      <w:pPr>
        <w:rPr>
          <w:rFonts w:ascii="Calibri" w:hAnsi="Calibri" w:cs="Calibri"/>
        </w:rPr>
      </w:pPr>
      <w:r w:rsidRPr="00DD7BD1">
        <w:rPr>
          <w:rFonts w:ascii="Calibri" w:hAnsi="Calibri" w:cs="Calibri"/>
        </w:rPr>
        <w:t>EBSA’s national projects identify the priority areas guiding its enforcement efforts. Under the updated initiatives, investigators will prioritize cases related to:</w:t>
      </w:r>
    </w:p>
    <w:p w14:paraId="2FC50B7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Cybersecurity—</w:t>
      </w:r>
      <w:r w:rsidRPr="00DD7BD1">
        <w:rPr>
          <w:rFonts w:ascii="Calibri" w:hAnsi="Calibri" w:cs="Calibri"/>
          <w:sz w:val="22"/>
          <w:szCs w:val="22"/>
        </w:rPr>
        <w:t>This project addresses the growing risks cyberattacks pose to employee benefit plans and participants.</w:t>
      </w:r>
    </w:p>
    <w:p w14:paraId="3555BABC"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 xml:space="preserve">Mental health and substance use disorder (MH/SUD) benefits—EBSA will target violations by plans and service providers that block participants and beneficiaries from accessing promised MH/SUD benefits, including </w:t>
      </w:r>
      <w:r w:rsidRPr="00DD7BD1">
        <w:rPr>
          <w:rStyle w:val="BookTitle"/>
          <w:rFonts w:ascii="Calibri" w:hAnsi="Calibri" w:cs="Calibri"/>
          <w:b w:val="0"/>
          <w:bCs w:val="0"/>
          <w:i w:val="0"/>
          <w:iCs w:val="0"/>
          <w:sz w:val="22"/>
          <w:szCs w:val="22"/>
        </w:rPr>
        <w:lastRenderedPageBreak/>
        <w:t>burdensome claims processes, unjustified treatment exclusions, inaccurate provider lists and unreasonable limits on care.</w:t>
      </w:r>
    </w:p>
    <w:p w14:paraId="34E9845B"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Surprise billing—This project reviews compliance with the No Surprises Act (NSA), ensuring plans follow the prudent layperson standard for emergency services, apply in</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network cost</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sharing to NSA</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protected services and provide required notices and disclosures. Compliance with other NSA protections, such as prohibitions on prior authorization and more restrictive administrative requirements, will also be reviewed.</w:t>
      </w:r>
    </w:p>
    <w:p w14:paraId="7D876A86"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 xml:space="preserve">Protecting benefit distributions—This project aims to ensure that participants receive retirement benefits owed to them when plan sponsors fail to act, struggle financially or abandon their plans. </w:t>
      </w:r>
    </w:p>
    <w:p w14:paraId="4F0EA43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Retirement asset management—This project focuses on protecting retirement income by ensuring fiduciaries prudently select and monitor plan investments.</w:t>
      </w:r>
    </w:p>
    <w:p w14:paraId="7FBED6D3"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Criminal abuse of contributory benefit plans—This project centers on protecting workers who contribute to employer-sponsored retirement and health benefit plans from criminal abuse.</w:t>
      </w:r>
    </w:p>
    <w:p w14:paraId="57445EBA" w14:textId="77777777" w:rsidR="00EB6E38" w:rsidRPr="00DD7BD1" w:rsidRDefault="00EB6E38" w:rsidP="00EB6E38">
      <w:pPr>
        <w:pStyle w:val="PostBulletList"/>
        <w:spacing w:before="120"/>
        <w:rPr>
          <w:rFonts w:ascii="Calibri" w:hAnsi="Calibri" w:cs="Calibri"/>
          <w:sz w:val="22"/>
          <w:szCs w:val="22"/>
        </w:rPr>
      </w:pPr>
      <w:r w:rsidRPr="00DD7BD1">
        <w:rPr>
          <w:rFonts w:ascii="Calibri" w:hAnsi="Calibri" w:cs="Calibri"/>
          <w:sz w:val="22"/>
          <w:szCs w:val="22"/>
        </w:rPr>
        <w:t xml:space="preserve">In addition, although not a national project, EBSA will continue to identify abusive </w:t>
      </w:r>
      <w:hyperlink r:id="rId263" w:history="1">
        <w:r w:rsidRPr="00DD7BD1">
          <w:rPr>
            <w:rStyle w:val="Hyperlink"/>
            <w:rFonts w:ascii="Calibri" w:hAnsi="Calibri" w:cs="Calibri"/>
            <w:sz w:val="22"/>
            <w:szCs w:val="22"/>
          </w:rPr>
          <w:t>Multiple Employer Welfare Arrangements (MEWAs) and prevent fraudulent MEWA operators</w:t>
        </w:r>
      </w:hyperlink>
      <w:r w:rsidRPr="00DD7BD1">
        <w:rPr>
          <w:rFonts w:ascii="Calibri" w:hAnsi="Calibri" w:cs="Calibri"/>
          <w:sz w:val="22"/>
          <w:szCs w:val="22"/>
        </w:rPr>
        <w:t xml:space="preserve"> from opening new arrangements in other states.</w:t>
      </w:r>
    </w:p>
    <w:p w14:paraId="74F2EBFF" w14:textId="77777777"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Background</w:t>
      </w:r>
    </w:p>
    <w:p w14:paraId="1202F91A" w14:textId="47A3895B" w:rsidR="00EB6E38" w:rsidRPr="00DD7BD1" w:rsidRDefault="00EB6E38" w:rsidP="00EB6E38">
      <w:pPr>
        <w:rPr>
          <w:rFonts w:ascii="Calibri" w:hAnsi="Calibri" w:cs="Calibri"/>
        </w:rPr>
      </w:pPr>
      <w:r w:rsidRPr="00DD7BD1">
        <w:rPr>
          <w:rFonts w:ascii="Calibri" w:hAnsi="Calibri" w:cs="Calibri"/>
        </w:rPr>
        <w:t>EBSA is an agency within the U.S. Department of Labor that administers and enforces Title I of the Employee Retirement Income Security Act (ERISA), which establishes fiduciary and other standards for employee benefit plans sponsored by private-sector employers. EBSA is responsible for protecting more than 156 million workers, retirees and their families who are covered by approximately 2.6 million health plans, 801,000 private retirement plans and 514,000 additional welfare benefit plans.</w:t>
      </w:r>
    </w:p>
    <w:p w14:paraId="171B0276" w14:textId="253AAE31" w:rsidR="00EB6E38" w:rsidRPr="00DD7BD1" w:rsidRDefault="00EB6E38" w:rsidP="0039489E">
      <w:pPr>
        <w:spacing w:after="0" w:line="240" w:lineRule="auto"/>
        <w:jc w:val="center"/>
        <w:rPr>
          <w:rFonts w:ascii="Calibri" w:hAnsi="Calibri" w:cs="Calibri"/>
          <w:b/>
          <w:bCs/>
          <w:color w:val="C00000"/>
          <w:kern w:val="36"/>
          <w:sz w:val="28"/>
          <w:szCs w:val="28"/>
        </w:rPr>
      </w:pPr>
      <w:r w:rsidRPr="00DD7BD1">
        <w:rPr>
          <w:rFonts w:ascii="Calibri" w:hAnsi="Calibri" w:cs="Calibri"/>
          <w:b/>
          <w:bCs/>
          <w:kern w:val="36"/>
          <w:sz w:val="28"/>
          <w:szCs w:val="28"/>
        </w:rPr>
        <w:t>'Stay or Pay' Contractual Repayment Provisions Under State Scrutiny</w:t>
      </w:r>
    </w:p>
    <w:p w14:paraId="0A586DE7" w14:textId="171A0F06" w:rsidR="00EB6E38" w:rsidRPr="00DD7BD1" w:rsidRDefault="00EB6E38" w:rsidP="0039489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see an uptick in some states’ regulations limiting an employers’ ability to claw back funds based on employees’ continued employment with an organization.  Employers offering employment agreements with claw-back arrangements for employees in California and New York are encouraged to note the recent enactments.  Moreover, it is important for employers offering employment agreements with repayment obligation provisions (oftentimes associated with associated with tuition reimbursement, relocation, sign on bonus programs) remain aware of and compliance with applicable state regulations.</w:t>
      </w:r>
    </w:p>
    <w:p w14:paraId="604119D4" w14:textId="77777777" w:rsidR="00765D8F" w:rsidRPr="00DD7BD1" w:rsidRDefault="00765D8F" w:rsidP="0039489E">
      <w:pPr>
        <w:spacing w:after="0" w:line="240" w:lineRule="auto"/>
        <w:rPr>
          <w:rFonts w:ascii="Calibri" w:hAnsi="Calibri" w:cs="Calibri"/>
          <w:sz w:val="16"/>
          <w:szCs w:val="16"/>
        </w:rPr>
      </w:pPr>
    </w:p>
    <w:p w14:paraId="3D63FFE8" w14:textId="4DEFFD7C" w:rsidR="00EB6E38" w:rsidRPr="00DD7BD1" w:rsidRDefault="00EB6E38" w:rsidP="00EB6E38">
      <w:pPr>
        <w:rPr>
          <w:rFonts w:ascii="Calibri" w:hAnsi="Calibri" w:cs="Calibri"/>
        </w:rPr>
      </w:pPr>
      <w:r w:rsidRPr="00DD7BD1">
        <w:rPr>
          <w:rFonts w:ascii="Calibri" w:hAnsi="Calibri" w:cs="Calibri"/>
        </w:rPr>
        <w:t>Employers frequently enter into agreements with employees that provide them with money up front in the form of a signing bonus, tuition reimbursement, relocation expenses or other monetary benefits. Some of these agreements require the employee to repay the money in total or in part if the employee does not remain employed for a certain amount of time. For example, 50 percent of the money might have to be returned if the employee leaves in less than a year, 25 percent might have to be returned if the employee leaves in less than two years, and all repayment is forgiven if the employee stays for longer than two years. These “stay or pay” agreements benefit employers because they encourage employee retention and allow employers to recover their investment if the employee chooses to leave early. However, states with a pro-employee focus are starting to restrict such agreements.</w:t>
      </w:r>
    </w:p>
    <w:p w14:paraId="55A647C7" w14:textId="52446FD7" w:rsidR="00EB6E38" w:rsidRPr="00DD7BD1" w:rsidRDefault="00EB6E38" w:rsidP="00EB6E38">
      <w:pPr>
        <w:rPr>
          <w:rFonts w:ascii="Calibri" w:hAnsi="Calibri" w:cs="Calibri"/>
        </w:rPr>
      </w:pPr>
      <w:r w:rsidRPr="00DD7BD1">
        <w:rPr>
          <w:rFonts w:ascii="Calibri" w:hAnsi="Calibri" w:cs="Calibri"/>
        </w:rPr>
        <w:t>In December 2025, New York enacted the Trapped at Work Act to restrict stay or pay provisions. The act prohibits provisions that require workers to repay money if they leave the job before a specific date. It further restricts employers’ ability to recover training expenses or to claim that workers owe their employer reimbursement of such expenses. As of Jan. 1, 2026, California has a similar law. Pursuant to the law, employers may no longer require workers to pay back money because their employment ended before a certain date.</w:t>
      </w:r>
    </w:p>
    <w:p w14:paraId="49722C44" w14:textId="77DA121B" w:rsidR="00EB6E38" w:rsidRPr="00DD7BD1" w:rsidRDefault="00EB6E38" w:rsidP="00EB6E38">
      <w:pPr>
        <w:rPr>
          <w:rFonts w:ascii="Calibri" w:hAnsi="Calibri" w:cs="Calibri"/>
        </w:rPr>
      </w:pPr>
      <w:r w:rsidRPr="00DD7BD1">
        <w:rPr>
          <w:rFonts w:ascii="Calibri" w:hAnsi="Calibri" w:cs="Calibri"/>
        </w:rPr>
        <w:t>Both laws have some exceptions, such as repayment agreements related to loans and some agreements for tuition reimbursement. However, the exceptions are narrow, and employers in New York and California should expect scrutiny on any agreement term that requires repayment of money conditioned on the length of time a worker decides to remain employed.  -Jan 21, 2026, article published by Barnes &amp; Thornburg, LLP</w:t>
      </w:r>
    </w:p>
    <w:p w14:paraId="3C1906B1" w14:textId="4327BEF9" w:rsidR="00EB6E38" w:rsidRPr="00DD7BD1" w:rsidRDefault="00EB6E38" w:rsidP="005D3C19">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lastRenderedPageBreak/>
        <w:t>OSHA Clarifies Key Compliance Expectations Through 7 Letters of Interpretation</w:t>
      </w:r>
    </w:p>
    <w:p w14:paraId="749122CA" w14:textId="7112E39D" w:rsidR="00EB6E38" w:rsidRPr="00DD7BD1" w:rsidRDefault="00EB6E38" w:rsidP="005D3C19">
      <w:pPr>
        <w:spacing w:after="0" w:line="240" w:lineRule="auto"/>
        <w:rPr>
          <w:rFonts w:ascii="Calibri" w:hAnsi="Calibri" w:cs="Calibri"/>
        </w:rPr>
      </w:pPr>
      <w:r w:rsidRPr="00DD7BD1">
        <w:rPr>
          <w:rFonts w:ascii="Calibri" w:hAnsi="Calibri" w:cs="Calibri"/>
        </w:rPr>
        <w:t xml:space="preserve">Recently, OSHA </w:t>
      </w:r>
      <w:hyperlink r:id="rId264" w:history="1">
        <w:r w:rsidRPr="00DD7BD1">
          <w:rPr>
            <w:rStyle w:val="Hyperlink"/>
            <w:rFonts w:ascii="Calibri" w:hAnsi="Calibri" w:cs="Calibri"/>
          </w:rPr>
          <w:t>issued</w:t>
        </w:r>
      </w:hyperlink>
      <w:r w:rsidRPr="00DD7BD1">
        <w:rPr>
          <w:rFonts w:ascii="Calibri" w:hAnsi="Calibri" w:cs="Calibri"/>
        </w:rPr>
        <w:t xml:space="preserve"> seven letters of interpretation clarifying its interpretation and enforcement of specific regulatory requirements. </w:t>
      </w:r>
    </w:p>
    <w:p w14:paraId="03C3506C" w14:textId="77777777" w:rsidR="005D3C19" w:rsidRPr="00DD7BD1" w:rsidRDefault="005D3C19" w:rsidP="005D3C19">
      <w:pPr>
        <w:spacing w:after="0" w:line="240" w:lineRule="auto"/>
        <w:rPr>
          <w:rFonts w:ascii="Calibri" w:hAnsi="Calibri" w:cs="Calibri"/>
          <w:sz w:val="16"/>
          <w:szCs w:val="16"/>
        </w:rPr>
      </w:pPr>
    </w:p>
    <w:p w14:paraId="7EF094B8" w14:textId="6D9EE4FB" w:rsidR="00EB6E38" w:rsidRPr="00DD7BD1" w:rsidRDefault="00EB6E38" w:rsidP="005D3C19">
      <w:pPr>
        <w:spacing w:after="0" w:line="240" w:lineRule="auto"/>
        <w:rPr>
          <w:rFonts w:ascii="Calibri" w:hAnsi="Calibri" w:cs="Calibri"/>
        </w:rPr>
      </w:pPr>
      <w:r w:rsidRPr="00DD7BD1">
        <w:rPr>
          <w:rFonts w:ascii="Calibri" w:hAnsi="Calibri" w:cs="Calibri"/>
        </w:rPr>
        <w:t xml:space="preserve">These letters address the following topics: </w:t>
      </w:r>
    </w:p>
    <w:p w14:paraId="6E864210"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Permit-required confined spaces;</w:t>
      </w:r>
    </w:p>
    <w:p w14:paraId="2FA15D52"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COVID-19 recordkeeping and reporting status;</w:t>
      </w:r>
    </w:p>
    <w:p w14:paraId="5C85CFDB"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Powered industrial truck (PIT) training;</w:t>
      </w:r>
    </w:p>
    <w:p w14:paraId="1483DFD3"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Recordkeeping software;</w:t>
      </w:r>
    </w:p>
    <w:p w14:paraId="222E5E45"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Engineering control standards for benzene and 1,3-butadiene;</w:t>
      </w:r>
    </w:p>
    <w:p w14:paraId="67E354E1"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Audiometric testing for workers with cochlear implants (CIs); and</w:t>
      </w:r>
    </w:p>
    <w:p w14:paraId="7C27E5FB" w14:textId="7CB422B1" w:rsidR="00EB6E38" w:rsidRPr="00DD7BD1" w:rsidRDefault="00EB6E38" w:rsidP="00EB6E38">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Stair angle and tread depth compliance.</w:t>
      </w:r>
    </w:p>
    <w:p w14:paraId="199835D2" w14:textId="77777777" w:rsidR="005D3C19" w:rsidRPr="00DD7BD1" w:rsidRDefault="005D3C19" w:rsidP="005D3C19">
      <w:pPr>
        <w:tabs>
          <w:tab w:val="left" w:pos="288"/>
        </w:tabs>
        <w:spacing w:after="0" w:line="240" w:lineRule="auto"/>
        <w:rPr>
          <w:rFonts w:ascii="Calibri" w:hAnsi="Calibri" w:cs="Calibri"/>
          <w:sz w:val="16"/>
          <w:szCs w:val="16"/>
        </w:rPr>
      </w:pPr>
    </w:p>
    <w:p w14:paraId="46EEE337" w14:textId="763D8816" w:rsidR="00EB6E38" w:rsidRPr="00DD7BD1" w:rsidRDefault="00EB6E38" w:rsidP="00EB6E38">
      <w:pPr>
        <w:rPr>
          <w:rFonts w:ascii="Calibri" w:hAnsi="Calibri" w:cs="Calibri"/>
        </w:rPr>
      </w:pPr>
      <w:r w:rsidRPr="00DD7BD1">
        <w:rPr>
          <w:rFonts w:ascii="Calibri" w:hAnsi="Calibri" w:cs="Calibri"/>
        </w:rPr>
        <w:t xml:space="preserve">These letters </w:t>
      </w:r>
      <w:r w:rsidRPr="00DD7BD1">
        <w:rPr>
          <w:rFonts w:ascii="Calibri" w:hAnsi="Calibri" w:cs="Calibri"/>
          <w:b/>
          <w:bCs/>
        </w:rPr>
        <w:t>do not create new obligations for employers</w:t>
      </w:r>
      <w:r w:rsidRPr="00DD7BD1">
        <w:rPr>
          <w:rFonts w:ascii="Calibri" w:hAnsi="Calibri" w:cs="Calibri"/>
        </w:rPr>
        <w:t xml:space="preserve">. They provide </w:t>
      </w:r>
      <w:r w:rsidRPr="00DD7BD1">
        <w:rPr>
          <w:rFonts w:ascii="Calibri" w:hAnsi="Calibri" w:cs="Calibri"/>
          <w:b/>
          <w:bCs/>
        </w:rPr>
        <w:t>practical guidance</w:t>
      </w:r>
      <w:r w:rsidRPr="00DD7BD1">
        <w:rPr>
          <w:rFonts w:ascii="Calibri" w:hAnsi="Calibri" w:cs="Calibri"/>
        </w:rPr>
        <w:t xml:space="preserve"> for employers, helping them understand regulatory expectations, reduce compliance risks and avoid potential citations. Employers are encouraged to access and review the Letters to determine applicability and validate their current practices for confined space entry, recordkeeping, equipment training, exposure controls and physical workplace design. By aligning policies and procedures with OSHA’s clarified expectations, employers can reduce compliance uncertainty, strengthen safety programs, and better position themselves during inspections or audits.</w:t>
      </w:r>
    </w:p>
    <w:p w14:paraId="41C29F12" w14:textId="77777777" w:rsidR="00865E7B" w:rsidRDefault="00865E7B" w:rsidP="00865E7B">
      <w:pPr>
        <w:pStyle w:val="Heading1"/>
        <w:spacing w:before="0" w:beforeAutospacing="0" w:after="0" w:afterAutospacing="0"/>
        <w:rPr>
          <w:rFonts w:ascii="Calibri" w:hAnsi="Calibri" w:cs="Calibri"/>
          <w:sz w:val="28"/>
          <w:szCs w:val="28"/>
        </w:rPr>
      </w:pPr>
    </w:p>
    <w:p w14:paraId="2E53E996" w14:textId="77777777" w:rsidR="00865E7B" w:rsidRDefault="00865E7B" w:rsidP="00865E7B">
      <w:pPr>
        <w:pStyle w:val="Heading1"/>
        <w:spacing w:before="0" w:beforeAutospacing="0" w:after="0" w:afterAutospacing="0"/>
        <w:rPr>
          <w:rFonts w:ascii="Calibri" w:hAnsi="Calibri" w:cs="Calibri"/>
          <w:sz w:val="28"/>
          <w:szCs w:val="28"/>
        </w:rPr>
      </w:pPr>
    </w:p>
    <w:p w14:paraId="5F2B851A" w14:textId="77777777" w:rsidR="00865E7B" w:rsidRDefault="00865E7B" w:rsidP="00865E7B">
      <w:pPr>
        <w:pStyle w:val="Heading1"/>
        <w:spacing w:before="0" w:beforeAutospacing="0" w:after="0" w:afterAutospacing="0"/>
        <w:rPr>
          <w:rFonts w:ascii="Calibri" w:hAnsi="Calibri" w:cs="Calibri"/>
          <w:sz w:val="28"/>
          <w:szCs w:val="28"/>
        </w:rPr>
      </w:pPr>
    </w:p>
    <w:p w14:paraId="037BBFD5" w14:textId="77777777" w:rsidR="00865E7B" w:rsidRDefault="00865E7B" w:rsidP="00865E7B">
      <w:pPr>
        <w:pStyle w:val="Heading1"/>
        <w:spacing w:before="0" w:beforeAutospacing="0" w:after="0" w:afterAutospacing="0"/>
        <w:rPr>
          <w:rFonts w:ascii="Calibri" w:hAnsi="Calibri" w:cs="Calibri"/>
          <w:sz w:val="28"/>
          <w:szCs w:val="28"/>
        </w:rPr>
      </w:pPr>
    </w:p>
    <w:p w14:paraId="317C11D2" w14:textId="77777777" w:rsidR="00865E7B" w:rsidRDefault="00865E7B" w:rsidP="00865E7B">
      <w:pPr>
        <w:pStyle w:val="Heading1"/>
        <w:spacing w:before="0" w:beforeAutospacing="0" w:after="0" w:afterAutospacing="0"/>
        <w:rPr>
          <w:rFonts w:ascii="Calibri" w:hAnsi="Calibri" w:cs="Calibri"/>
          <w:sz w:val="28"/>
          <w:szCs w:val="28"/>
        </w:rPr>
      </w:pPr>
    </w:p>
    <w:p w14:paraId="2DFDC14D" w14:textId="77777777" w:rsidR="00865E7B" w:rsidRDefault="00865E7B" w:rsidP="00865E7B">
      <w:pPr>
        <w:pStyle w:val="Heading1"/>
        <w:spacing w:before="0" w:beforeAutospacing="0" w:after="0" w:afterAutospacing="0"/>
        <w:rPr>
          <w:rFonts w:ascii="Calibri" w:hAnsi="Calibri" w:cs="Calibri"/>
          <w:sz w:val="28"/>
          <w:szCs w:val="28"/>
        </w:rPr>
      </w:pPr>
    </w:p>
    <w:p w14:paraId="051FF57B" w14:textId="77777777" w:rsidR="00865E7B" w:rsidRDefault="00865E7B" w:rsidP="00865E7B">
      <w:pPr>
        <w:pStyle w:val="Heading1"/>
        <w:spacing w:before="0" w:beforeAutospacing="0" w:after="0" w:afterAutospacing="0"/>
        <w:rPr>
          <w:rFonts w:ascii="Calibri" w:hAnsi="Calibri" w:cs="Calibri"/>
          <w:sz w:val="28"/>
          <w:szCs w:val="28"/>
        </w:rPr>
      </w:pPr>
    </w:p>
    <w:p w14:paraId="7ACBCB91" w14:textId="77777777" w:rsidR="00865E7B" w:rsidRDefault="00865E7B" w:rsidP="00865E7B">
      <w:pPr>
        <w:pStyle w:val="Heading1"/>
        <w:spacing w:before="0" w:beforeAutospacing="0" w:after="0" w:afterAutospacing="0"/>
        <w:rPr>
          <w:rFonts w:ascii="Calibri" w:hAnsi="Calibri" w:cs="Calibri"/>
          <w:sz w:val="28"/>
          <w:szCs w:val="28"/>
        </w:rPr>
      </w:pPr>
    </w:p>
    <w:p w14:paraId="71C5446E" w14:textId="77777777" w:rsidR="00865E7B" w:rsidRDefault="00865E7B" w:rsidP="00865E7B">
      <w:pPr>
        <w:pStyle w:val="Heading1"/>
        <w:spacing w:before="0" w:beforeAutospacing="0" w:after="0" w:afterAutospacing="0"/>
        <w:rPr>
          <w:rFonts w:ascii="Calibri" w:hAnsi="Calibri" w:cs="Calibri"/>
          <w:sz w:val="28"/>
          <w:szCs w:val="28"/>
        </w:rPr>
      </w:pPr>
    </w:p>
    <w:p w14:paraId="558F9B2F" w14:textId="774D766E" w:rsidR="00EB6E38" w:rsidRPr="00DD7BD1" w:rsidRDefault="00EB6E38" w:rsidP="00865E7B">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OSHA Extends Its Hazard Communication Standard Compliance Dates</w:t>
      </w:r>
    </w:p>
    <w:p w14:paraId="0B628363" w14:textId="1622A6E8" w:rsidR="001F3144" w:rsidRPr="00DD7BD1" w:rsidRDefault="00EB6E38" w:rsidP="001F3144">
      <w:pPr>
        <w:pStyle w:val="Heading2"/>
        <w:spacing w:before="0"/>
        <w:rPr>
          <w:rFonts w:ascii="Calibri" w:eastAsiaTheme="minorHAnsi" w:hAnsi="Calibri" w:cs="Calibri"/>
          <w:color w:val="auto"/>
          <w:sz w:val="22"/>
          <w:szCs w:val="22"/>
        </w:rPr>
      </w:pPr>
      <w:r w:rsidRPr="00DD7BD1">
        <w:rPr>
          <w:rFonts w:ascii="Calibri" w:eastAsiaTheme="minorHAnsi" w:hAnsi="Calibri" w:cs="Calibri"/>
          <w:color w:val="auto"/>
          <w:sz w:val="22"/>
          <w:szCs w:val="22"/>
        </w:rPr>
        <w:t xml:space="preserve">On Jan. 15, 2026, OSHA issued a </w:t>
      </w:r>
      <w:hyperlink r:id="rId265" w:history="1">
        <w:r w:rsidRPr="00DD7BD1">
          <w:rPr>
            <w:rStyle w:val="Hyperlink"/>
            <w:rFonts w:ascii="Calibri" w:eastAsiaTheme="minorHAnsi" w:hAnsi="Calibri" w:cs="Calibri"/>
            <w:sz w:val="22"/>
            <w:szCs w:val="22"/>
          </w:rPr>
          <w:t>final rule</w:t>
        </w:r>
      </w:hyperlink>
      <w:r w:rsidRPr="00DD7BD1">
        <w:rPr>
          <w:rFonts w:ascii="Calibri" w:eastAsiaTheme="minorHAnsi" w:hAnsi="Calibri" w:cs="Calibri"/>
          <w:color w:val="auto"/>
          <w:sz w:val="22"/>
          <w:szCs w:val="22"/>
        </w:rPr>
        <w:t xml:space="preserve"> formally extending the compliance deadlines associated with its updated </w:t>
      </w:r>
      <w:r w:rsidRPr="00DD7BD1">
        <w:rPr>
          <w:rFonts w:ascii="Calibri" w:eastAsiaTheme="minorHAnsi" w:hAnsi="Calibri" w:cs="Calibri"/>
          <w:b/>
          <w:bCs/>
          <w:color w:val="auto"/>
          <w:sz w:val="22"/>
          <w:szCs w:val="22"/>
        </w:rPr>
        <w:t>Hazard Communication Standard (HCS)</w:t>
      </w:r>
      <w:r w:rsidRPr="00DD7BD1">
        <w:rPr>
          <w:rFonts w:ascii="Calibri" w:eastAsiaTheme="minorHAnsi" w:hAnsi="Calibri" w:cs="Calibri"/>
          <w:color w:val="auto"/>
          <w:sz w:val="22"/>
          <w:szCs w:val="22"/>
        </w:rPr>
        <w:t>. The underlying revision to the standard, intended to align the HCS with the seventh edition of the Globally Harmonized System, was finalized on May 20, 2024, and took effect on July 19, 2024. Applicable Employers should be prepared for a staggered rollout of updated SDS and chemical labels as manufacturers and distributors meet the extended compliance deadlines. As new hazard information arrives in the workplace, employers will be responsible for updating their written HCS programs, revising on-site labeling systems and providing additional training to employees. Although the deadlines for employer compliance actions have been extended, the changes that were required in the HCS 2024 final rule have not changed.  ETC does not typically monitor or report on OSHA-related matters.  Employers are encouraged to stay ahead of any applicable compliance obligations.</w:t>
      </w:r>
    </w:p>
    <w:p w14:paraId="58D4C728" w14:textId="60FC5DB5"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Update Benefit Limits &amp; Obligations 2026</w:t>
      </w:r>
    </w:p>
    <w:p w14:paraId="75E9417D"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10825133"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7271BD82"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266">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108015F9"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1CD79ABF"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16584816"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lastRenderedPageBreak/>
        <w:t>Post/Distribute updated Federal and State Labor Notices</w:t>
      </w:r>
    </w:p>
    <w:p w14:paraId="53D23E65"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7ABB4A2" w14:textId="08F385CB"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A25DEBE" w14:textId="77777777" w:rsidR="001F3144" w:rsidRPr="00DD7BD1" w:rsidRDefault="001F3144" w:rsidP="001F3144">
      <w:pPr>
        <w:pStyle w:val="Heading1"/>
        <w:shd w:val="clear" w:color="auto" w:fill="FFFFFF"/>
        <w:spacing w:before="0" w:beforeAutospacing="0" w:after="0" w:afterAutospacing="0"/>
        <w:ind w:left="720"/>
        <w:rPr>
          <w:rFonts w:ascii="Calibri" w:hAnsi="Calibri" w:cs="Calibri"/>
          <w:b w:val="0"/>
          <w:bCs w:val="0"/>
          <w:sz w:val="22"/>
          <w:szCs w:val="22"/>
        </w:rPr>
      </w:pPr>
    </w:p>
    <w:p w14:paraId="413D9EFE" w14:textId="33445EFA" w:rsidR="00EB6E38" w:rsidRPr="00DD7BD1" w:rsidRDefault="00EB6E38" w:rsidP="00EB6E38">
      <w:pPr>
        <w:pStyle w:val="Heading1"/>
        <w:shd w:val="clear" w:color="auto" w:fill="FFFFFF"/>
        <w:spacing w:before="0" w:beforeAutospacing="0" w:after="0" w:afterAutospacing="0"/>
        <w:jc w:val="center"/>
        <w:rPr>
          <w:rFonts w:ascii="Calibri" w:hAnsi="Calibri" w:cs="Calibri"/>
          <w:spacing w:val="-11"/>
          <w:sz w:val="28"/>
          <w:szCs w:val="28"/>
        </w:rPr>
      </w:pPr>
      <w:r w:rsidRPr="00DD7BD1">
        <w:rPr>
          <w:rFonts w:ascii="Calibri" w:hAnsi="Calibri" w:cs="Calibri"/>
          <w:spacing w:val="-11"/>
          <w:sz w:val="28"/>
          <w:szCs w:val="28"/>
        </w:rPr>
        <w:t xml:space="preserve">Federal: OSHA Form 300A Posting Begins February 1 &amp; </w:t>
      </w:r>
      <w:r w:rsidRPr="00DD7BD1">
        <w:rPr>
          <w:rFonts w:ascii="Calibri" w:hAnsi="Calibri" w:cs="Calibri"/>
          <w:spacing w:val="-11"/>
          <w:sz w:val="28"/>
          <w:szCs w:val="28"/>
        </w:rPr>
        <w:br/>
        <w:t>Electronic Reporting Due March 2</w:t>
      </w:r>
    </w:p>
    <w:p w14:paraId="74093E94" w14:textId="77777777" w:rsidR="00EB6E38" w:rsidRPr="00DD7BD1" w:rsidRDefault="00EB6E38" w:rsidP="00EB6E38">
      <w:pPr>
        <w:pStyle w:val="Heading1"/>
        <w:spacing w:before="0" w:beforeAutospacing="0" w:after="0" w:afterAutospacing="0"/>
        <w:rPr>
          <w:rFonts w:ascii="Calibri" w:eastAsiaTheme="minorHAnsi" w:hAnsi="Calibri" w:cs="Calibri"/>
          <w:b w:val="0"/>
          <w:bCs w:val="0"/>
          <w:sz w:val="23"/>
          <w:szCs w:val="23"/>
        </w:rPr>
      </w:pPr>
      <w:r w:rsidRPr="00DD7BD1">
        <w:rPr>
          <w:rFonts w:ascii="Calibri" w:eastAsiaTheme="minorHAnsi" w:hAnsi="Calibri" w:cs="Calibri"/>
          <w:sz w:val="23"/>
          <w:szCs w:val="23"/>
        </w:rPr>
        <w:t>Form 300A Workplace Posting Begins February 1</w:t>
      </w:r>
      <w:r w:rsidRPr="00DD7BD1">
        <w:rPr>
          <w:rFonts w:ascii="Calibri" w:eastAsiaTheme="minorHAnsi" w:hAnsi="Calibri" w:cs="Calibri"/>
          <w:b w:val="0"/>
          <w:bCs w:val="0"/>
          <w:sz w:val="23"/>
          <w:szCs w:val="23"/>
        </w:rPr>
        <w:br/>
        <w:t>Covered employers that had 11 or more employees in the entire company at any point in 2025 are required to post the Occupational Safety and Health Administration (OSHA) Form 300A, Summary of Work-Related Injury and Illnesses, from February 1 through April 30. This requirement applies even if the company didn’t have any recordable incidents in 2025.</w:t>
      </w:r>
    </w:p>
    <w:p w14:paraId="21B29879"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B90123A"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OSHA Form 300A must be certified by a company executive and posted in each establishment in a conspicuous location where notices to employees are customarily posted.</w:t>
      </w:r>
    </w:p>
    <w:p w14:paraId="411824B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6458507"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267" w:tgtFrame="_blank" w:history="1">
        <w:r w:rsidRPr="00DD7BD1">
          <w:rPr>
            <w:rStyle w:val="Hyperlink"/>
            <w:rFonts w:ascii="Calibri" w:hAnsi="Calibri" w:cs="Calibri"/>
            <w:b w:val="0"/>
            <w:bCs w:val="0"/>
            <w:spacing w:val="-11"/>
            <w:sz w:val="22"/>
            <w:szCs w:val="22"/>
          </w:rPr>
          <w:t>here</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The exemption is “partial” because all employers must notify OSHA when an employee is killed on the job or suffers a work-related hospitalization, amputation, or loss of an eye.)</w:t>
      </w:r>
    </w:p>
    <w:p w14:paraId="440D43BF"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CC6EF" w14:textId="77777777" w:rsidR="00EB6E38" w:rsidRPr="00DD7BD1" w:rsidRDefault="00EB6E38" w:rsidP="00EB6E38">
      <w:pPr>
        <w:pStyle w:val="Heading1"/>
        <w:spacing w:before="0" w:beforeAutospacing="0" w:after="0" w:afterAutospacing="0"/>
        <w:ind w:right="-90"/>
        <w:rPr>
          <w:rFonts w:ascii="Calibri" w:hAnsi="Calibri" w:cs="Calibri"/>
          <w:b w:val="0"/>
          <w:bCs w:val="0"/>
          <w:spacing w:val="-11"/>
          <w:sz w:val="22"/>
          <w:szCs w:val="22"/>
        </w:rPr>
      </w:pPr>
      <w:r w:rsidRPr="00DD7BD1">
        <w:rPr>
          <w:rFonts w:ascii="Calibri" w:eastAsiaTheme="minorHAnsi" w:hAnsi="Calibri" w:cs="Calibri"/>
          <w:sz w:val="23"/>
          <w:szCs w:val="23"/>
        </w:rPr>
        <w:t>Form 300A Electronic Submission Due by March 2</w:t>
      </w:r>
      <w:r w:rsidRPr="00DD7BD1">
        <w:rPr>
          <w:rFonts w:ascii="Calibri" w:eastAsiaTheme="minorHAnsi" w:hAnsi="Calibri" w:cs="Calibri"/>
          <w:b w:val="0"/>
          <w:bCs w:val="0"/>
          <w:sz w:val="23"/>
          <w:szCs w:val="23"/>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b w:val="0"/>
          <w:bCs w:val="0"/>
          <w:spacing w:val="-11"/>
          <w:sz w:val="22"/>
          <w:szCs w:val="22"/>
        </w:rPr>
        <w:t> </w:t>
      </w:r>
      <w:hyperlink r:id="rId268" w:tgtFrame="_blank" w:history="1">
        <w:r w:rsidRPr="00DD7BD1">
          <w:rPr>
            <w:rStyle w:val="Hyperlink"/>
            <w:rFonts w:ascii="Calibri" w:hAnsi="Calibri" w:cs="Calibri"/>
            <w:b w:val="0"/>
            <w:bCs w:val="0"/>
            <w:spacing w:val="-11"/>
            <w:sz w:val="22"/>
            <w:szCs w:val="22"/>
          </w:rPr>
          <w:t>Injury Tracking Application</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b w:val="0"/>
          <w:bCs w:val="0"/>
          <w:spacing w:val="-11"/>
          <w:sz w:val="22"/>
          <w:szCs w:val="22"/>
        </w:rPr>
        <w:t> </w:t>
      </w:r>
      <w:hyperlink r:id="rId269" w:tgtFrame="_blank" w:history="1">
        <w:r w:rsidRPr="00DD7BD1">
          <w:rPr>
            <w:rStyle w:val="Hyperlink"/>
            <w:rFonts w:ascii="Calibri" w:hAnsi="Calibri" w:cs="Calibri"/>
            <w:b w:val="0"/>
            <w:bCs w:val="0"/>
            <w:spacing w:val="-11"/>
            <w:sz w:val="22"/>
            <w:szCs w:val="22"/>
          </w:rPr>
          <w:t>must also use the ITA</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to send data electronically.</w:t>
      </w:r>
    </w:p>
    <w:p w14:paraId="5598A2C7" w14:textId="77777777" w:rsidR="00EB6E38" w:rsidRPr="00DD7BD1" w:rsidRDefault="00EB6E38" w:rsidP="00EB6E38">
      <w:pPr>
        <w:pStyle w:val="Heading1"/>
        <w:spacing w:before="0" w:beforeAutospacing="0" w:after="0" w:afterAutospacing="0"/>
        <w:jc w:val="both"/>
        <w:rPr>
          <w:rFonts w:ascii="Calibri" w:hAnsi="Calibri" w:cs="Calibri"/>
          <w:b w:val="0"/>
          <w:bCs w:val="0"/>
          <w:w w:val="110"/>
          <w:sz w:val="16"/>
          <w:szCs w:val="16"/>
        </w:rPr>
      </w:pPr>
    </w:p>
    <w:p w14:paraId="5BA991F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Employers that meet any of the following criteria DO NOT have to send Form 300A information to OSHA:</w:t>
      </w:r>
    </w:p>
    <w:p w14:paraId="1351C398"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are partially exempt from OSHA’s routine recordkeeping requirements, as mentioned above.</w:t>
      </w:r>
    </w:p>
    <w:p w14:paraId="42C9524B"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never had 20 or more employees during the previous calendar year, regardless of industry.</w:t>
      </w:r>
    </w:p>
    <w:p w14:paraId="4066EA4D"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had between 20 and 249 employees at some point during the previous calendar year but are NOT on this</w:t>
      </w:r>
      <w:r w:rsidRPr="00DD7BD1">
        <w:rPr>
          <w:rFonts w:ascii="Calibri" w:hAnsi="Calibri" w:cs="Calibri"/>
          <w:b w:val="0"/>
          <w:bCs w:val="0"/>
          <w:spacing w:val="-11"/>
          <w:sz w:val="22"/>
          <w:szCs w:val="22"/>
        </w:rPr>
        <w:t> </w:t>
      </w:r>
      <w:hyperlink r:id="rId270" w:tgtFrame="_blank" w:history="1">
        <w:r w:rsidRPr="00DD7BD1">
          <w:rPr>
            <w:rStyle w:val="Hyperlink"/>
            <w:rFonts w:ascii="Calibri" w:hAnsi="Calibri" w:cs="Calibri"/>
            <w:b w:val="0"/>
            <w:bCs w:val="0"/>
            <w:spacing w:val="-11"/>
            <w:sz w:val="22"/>
            <w:szCs w:val="22"/>
          </w:rPr>
          <w:t>list</w:t>
        </w:r>
      </w:hyperlink>
      <w:r w:rsidRPr="00DD7BD1">
        <w:rPr>
          <w:rFonts w:ascii="Calibri" w:eastAsiaTheme="minorHAnsi" w:hAnsi="Calibri" w:cs="Calibri"/>
          <w:b w:val="0"/>
          <w:bCs w:val="0"/>
          <w:sz w:val="23"/>
          <w:szCs w:val="23"/>
        </w:rPr>
        <w:t> of high-hazard industries.</w:t>
      </w:r>
    </w:p>
    <w:p w14:paraId="47376AC2"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340765B3"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Additional information, FAQs, and the ITA can be found on OSHA’s</w:t>
      </w:r>
      <w:r w:rsidRPr="00DD7BD1">
        <w:rPr>
          <w:rFonts w:ascii="Calibri" w:hAnsi="Calibri" w:cs="Calibri"/>
          <w:b w:val="0"/>
          <w:bCs w:val="0"/>
          <w:w w:val="110"/>
          <w:sz w:val="22"/>
          <w:szCs w:val="22"/>
        </w:rPr>
        <w:t> </w:t>
      </w:r>
      <w:hyperlink r:id="rId271" w:tgtFrame="_blank" w:history="1">
        <w:r w:rsidRPr="00DD7BD1">
          <w:rPr>
            <w:rStyle w:val="Hyperlink"/>
            <w:rFonts w:ascii="Calibri" w:hAnsi="Calibri" w:cs="Calibri"/>
            <w:b w:val="0"/>
            <w:bCs w:val="0"/>
            <w:spacing w:val="-11"/>
            <w:sz w:val="22"/>
            <w:szCs w:val="22"/>
          </w:rPr>
          <w:t>ITA page</w:t>
        </w:r>
      </w:hyperlink>
      <w:r w:rsidRPr="00DD7BD1">
        <w:rPr>
          <w:rFonts w:ascii="Calibri" w:hAnsi="Calibri" w:cs="Calibri"/>
          <w:b w:val="0"/>
          <w:bCs w:val="0"/>
          <w:spacing w:val="-11"/>
          <w:sz w:val="22"/>
          <w:szCs w:val="22"/>
        </w:rPr>
        <w:t>.</w:t>
      </w:r>
    </w:p>
    <w:p w14:paraId="1AD559F9"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05E9660D" w14:textId="77777777" w:rsidR="00EB6E38"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Form 300 and Form 301 Electronic Submission Required by March 2</w:t>
      </w:r>
      <w:r w:rsidRPr="00DD7BD1">
        <w:rPr>
          <w:rFonts w:ascii="Calibri" w:eastAsiaTheme="minorHAnsi" w:hAnsi="Calibri" w:cs="Calibri"/>
          <w:b w:val="0"/>
          <w:bCs w:val="0"/>
          <w:sz w:val="23"/>
          <w:szCs w:val="23"/>
        </w:rPr>
        <w:br/>
        <w:t>Covered establishments in designated</w:t>
      </w:r>
      <w:r w:rsidRPr="00DD7BD1">
        <w:rPr>
          <w:rFonts w:ascii="Calibri" w:hAnsi="Calibri" w:cs="Calibri"/>
          <w:b w:val="0"/>
          <w:bCs w:val="0"/>
          <w:spacing w:val="-11"/>
          <w:sz w:val="22"/>
          <w:szCs w:val="22"/>
        </w:rPr>
        <w:t> </w:t>
      </w:r>
      <w:hyperlink r:id="rId272" w:tgtFrame="_blank" w:history="1">
        <w:r w:rsidRPr="00DD7BD1">
          <w:rPr>
            <w:rStyle w:val="Hyperlink"/>
            <w:rFonts w:ascii="Calibri" w:hAnsi="Calibri" w:cs="Calibri"/>
            <w:b w:val="0"/>
            <w:bCs w:val="0"/>
            <w:spacing w:val="-11"/>
            <w:sz w:val="22"/>
            <w:szCs w:val="22"/>
          </w:rPr>
          <w:t>high-hazard industries</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that had 100 or more employees in the prior calendar year will need to electronically submit information from their Form 300, Log of Work-Related Injuries and Illnesses, and Form 301, Injury and Illness Incident Report, through OSHA’s ITA. This is in addition to submitting information from their Form 300A.</w:t>
      </w:r>
    </w:p>
    <w:p w14:paraId="65FCA3DD"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8C588" w14:textId="3321D064" w:rsidR="00DA444A"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Help Determining Coverage</w:t>
      </w:r>
      <w:r w:rsidRPr="00DD7BD1">
        <w:rPr>
          <w:rFonts w:ascii="Calibri" w:hAnsi="Calibri" w:cs="Calibri"/>
          <w:b w:val="0"/>
          <w:bCs w:val="0"/>
          <w:spacing w:val="-11"/>
          <w:sz w:val="22"/>
          <w:szCs w:val="22"/>
        </w:rPr>
        <w:br/>
      </w:r>
      <w:r w:rsidRPr="00DD7BD1">
        <w:rPr>
          <w:rFonts w:ascii="Calibri" w:eastAsiaTheme="minorHAnsi" w:hAnsi="Calibri" w:cs="Calibri"/>
          <w:b w:val="0"/>
          <w:bCs w:val="0"/>
          <w:sz w:val="23"/>
          <w:szCs w:val="23"/>
        </w:rPr>
        <w:t>Employers can use the</w:t>
      </w:r>
      <w:r w:rsidRPr="00DD7BD1">
        <w:rPr>
          <w:rFonts w:ascii="Calibri" w:hAnsi="Calibri" w:cs="Calibri"/>
          <w:b w:val="0"/>
          <w:bCs w:val="0"/>
          <w:spacing w:val="-11"/>
          <w:sz w:val="22"/>
          <w:szCs w:val="22"/>
        </w:rPr>
        <w:t> </w:t>
      </w:r>
      <w:hyperlink r:id="rId273" w:tgtFrame="_blank" w:history="1">
        <w:r w:rsidRPr="00DD7BD1">
          <w:rPr>
            <w:rStyle w:val="Hyperlink"/>
            <w:rFonts w:ascii="Calibri" w:hAnsi="Calibri" w:cs="Calibri"/>
            <w:b w:val="0"/>
            <w:bCs w:val="0"/>
            <w:spacing w:val="-11"/>
            <w:sz w:val="22"/>
            <w:szCs w:val="22"/>
          </w:rPr>
          <w:t>ITA Coverage Application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if they’re required to electronically submit their injury and illness information and whether they should review an applicable </w:t>
      </w:r>
      <w:hyperlink r:id="rId274" w:tgtFrame="_blank" w:history="1">
        <w:r w:rsidRPr="00DD7BD1">
          <w:rPr>
            <w:rStyle w:val="Hyperlink"/>
            <w:rFonts w:ascii="Calibri" w:hAnsi="Calibri" w:cs="Calibri"/>
            <w:b w:val="0"/>
            <w:bCs w:val="0"/>
            <w:spacing w:val="-11"/>
            <w:sz w:val="22"/>
            <w:szCs w:val="22"/>
          </w:rPr>
          <w:t>State Plan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reporting requirements.</w:t>
      </w:r>
      <w:r w:rsidRPr="00DD7BD1">
        <w:rPr>
          <w:rFonts w:ascii="Calibri" w:hAnsi="Calibri" w:cs="Calibri"/>
          <w:b w:val="0"/>
          <w:bCs w:val="0"/>
          <w:spacing w:val="-11"/>
          <w:sz w:val="22"/>
          <w:szCs w:val="22"/>
        </w:rPr>
        <w:t xml:space="preserve"> </w:t>
      </w:r>
      <w:r w:rsidRPr="00DD7BD1">
        <w:rPr>
          <w:rFonts w:ascii="Calibri" w:eastAsiaTheme="minorHAnsi" w:hAnsi="Calibri" w:cs="Calibri"/>
          <w:sz w:val="23"/>
          <w:szCs w:val="23"/>
        </w:rPr>
        <w:t>See also ETC’s compliance reminder sent Jan 13, 2026.</w:t>
      </w:r>
    </w:p>
    <w:p w14:paraId="00BE5939" w14:textId="77777777" w:rsidR="00DA444A" w:rsidRPr="00DD7BD1" w:rsidRDefault="00DA444A" w:rsidP="001558B8">
      <w:pPr>
        <w:pStyle w:val="BodyText"/>
        <w:spacing w:after="0" w:line="240" w:lineRule="auto"/>
        <w:ind w:right="274"/>
        <w:rPr>
          <w:rFonts w:eastAsiaTheme="minorHAnsi" w:cs="Calibri"/>
          <w:b/>
          <w:bCs/>
          <w:color w:val="auto"/>
          <w:kern w:val="36"/>
          <w:szCs w:val="22"/>
        </w:rPr>
      </w:pPr>
    </w:p>
    <w:p w14:paraId="1BC479BF" w14:textId="4EB4E9EE" w:rsidR="00632423" w:rsidRPr="00DD7BD1" w:rsidRDefault="00632423"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 xml:space="preserve">December </w:t>
      </w:r>
      <w:r w:rsidR="00DA444A" w:rsidRPr="00DD7BD1">
        <w:rPr>
          <w:rFonts w:eastAsiaTheme="minorHAnsi" w:cs="Calibri"/>
          <w:b/>
          <w:bCs/>
          <w:color w:val="C00000"/>
          <w:kern w:val="36"/>
          <w:szCs w:val="22"/>
        </w:rPr>
        <w:t xml:space="preserve">2025 </w:t>
      </w:r>
      <w:r w:rsidRPr="00DD7BD1">
        <w:rPr>
          <w:rFonts w:eastAsiaTheme="minorHAnsi" w:cs="Calibri"/>
          <w:b/>
          <w:bCs/>
          <w:color w:val="C00000"/>
          <w:kern w:val="36"/>
          <w:szCs w:val="22"/>
        </w:rPr>
        <w:t>Alerts/Reminders:</w:t>
      </w:r>
    </w:p>
    <w:p w14:paraId="6ED63B6E" w14:textId="7DFB0725" w:rsidR="00EB6E38" w:rsidRPr="00DD7BD1" w:rsidRDefault="0004551D" w:rsidP="0004551D">
      <w:pPr>
        <w:pStyle w:val="BodyText"/>
        <w:tabs>
          <w:tab w:val="left" w:pos="1663"/>
        </w:tabs>
        <w:spacing w:after="0" w:line="240" w:lineRule="auto"/>
        <w:ind w:right="274"/>
        <w:rPr>
          <w:rFonts w:eastAsiaTheme="minorHAnsi" w:cs="Calibri"/>
          <w:b/>
          <w:bCs/>
          <w:color w:val="auto"/>
          <w:kern w:val="36"/>
          <w:sz w:val="16"/>
          <w:szCs w:val="16"/>
        </w:rPr>
      </w:pPr>
      <w:r w:rsidRPr="00DD7BD1">
        <w:rPr>
          <w:rFonts w:eastAsiaTheme="minorHAnsi" w:cs="Calibri"/>
          <w:b/>
          <w:bCs/>
          <w:color w:val="auto"/>
          <w:kern w:val="36"/>
          <w:szCs w:val="22"/>
        </w:rPr>
        <w:tab/>
      </w:r>
    </w:p>
    <w:p w14:paraId="2F08E643" w14:textId="58D02A20"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December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January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03766C43" w14:textId="77777777"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2"/>
          <w:szCs w:val="22"/>
        </w:rPr>
      </w:pPr>
    </w:p>
    <w:p w14:paraId="71240A99" w14:textId="751689CF"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lastRenderedPageBreak/>
        <w:t>Looking ahead to January 2026 – Updated Benefit Limits &amp; Obligations</w:t>
      </w:r>
    </w:p>
    <w:p w14:paraId="0EB77BA2"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300EA6A2"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3D1B51D8"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275">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5C1F9FC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4440E2F1"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084F0EFF"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BFEFF2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08ECBE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130AC10" w14:textId="77777777"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2"/>
          <w:szCs w:val="22"/>
        </w:rPr>
      </w:pPr>
    </w:p>
    <w:p w14:paraId="2345D188" w14:textId="54B1B338"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USCIS Updates Certain Validity Periods for EAD (Employment Authorization Documents)</w:t>
      </w:r>
    </w:p>
    <w:p w14:paraId="1008F612" w14:textId="49395557" w:rsidR="005B033C" w:rsidRPr="00DD7BD1" w:rsidRDefault="005B033C" w:rsidP="005B033C">
      <w:pPr>
        <w:rPr>
          <w:rFonts w:ascii="Calibri" w:hAnsi="Calibri" w:cs="Calibri"/>
        </w:rPr>
      </w:pPr>
      <w:r w:rsidRPr="00DD7BD1">
        <w:rPr>
          <w:rFonts w:ascii="Calibri" w:hAnsi="Calibri" w:cs="Calibri"/>
        </w:rPr>
        <w:t xml:space="preserve">On Dec. 4, 2025, the U.S. Citizenship and Immigration Services (USCIS) issued policy guidance in its </w:t>
      </w:r>
      <w:hyperlink r:id="rId276" w:history="1">
        <w:r w:rsidRPr="00DD7BD1">
          <w:rPr>
            <w:rStyle w:val="Hyperlink"/>
            <w:rFonts w:ascii="Calibri" w:hAnsi="Calibri" w:cs="Calibri"/>
          </w:rPr>
          <w:t>Policy Manual</w:t>
        </w:r>
      </w:hyperlink>
      <w:r w:rsidRPr="00DD7BD1">
        <w:rPr>
          <w:rFonts w:ascii="Calibri" w:hAnsi="Calibri" w:cs="Calibri"/>
        </w:rPr>
        <w:t xml:space="preserve"> updating the maximum validity periods for Employment Authorization Documents (EADs), also known as Form I-766, for certain EAD categories.</w:t>
      </w:r>
    </w:p>
    <w:p w14:paraId="42D4D912" w14:textId="77777777" w:rsidR="005B033C" w:rsidRPr="00DD7BD1" w:rsidRDefault="005B033C" w:rsidP="009C0036">
      <w:pPr>
        <w:spacing w:after="0" w:line="240" w:lineRule="auto"/>
        <w:rPr>
          <w:rFonts w:ascii="Calibri" w:hAnsi="Calibri" w:cs="Calibri"/>
        </w:rPr>
      </w:pPr>
      <w:r w:rsidRPr="00DD7BD1">
        <w:rPr>
          <w:rFonts w:ascii="Calibri" w:hAnsi="Calibri" w:cs="Calibri"/>
        </w:rPr>
        <w:t>Based on the USCIS’ announcement, the maximum validity period for i</w:t>
      </w:r>
      <w:r w:rsidRPr="00DD7BD1">
        <w:rPr>
          <w:rFonts w:ascii="Calibri" w:hAnsi="Calibri" w:cs="Calibri"/>
          <w:u w:val="single"/>
        </w:rPr>
        <w:t>nitial and renewal EADs will be changed from 5 years to 18 months for several categories of “aliens,</w:t>
      </w:r>
      <w:r w:rsidRPr="00DD7BD1">
        <w:rPr>
          <w:rFonts w:ascii="Calibri" w:hAnsi="Calibri" w:cs="Calibri"/>
        </w:rPr>
        <w:t>” a term used by the USCIS,</w:t>
      </w:r>
      <w:r w:rsidRPr="00DD7BD1">
        <w:rPr>
          <w:rFonts w:ascii="Calibri" w:hAnsi="Calibri" w:cs="Calibri"/>
          <w:u w:val="single"/>
        </w:rPr>
        <w:t xml:space="preserve"> including those who</w:t>
      </w:r>
      <w:r w:rsidRPr="00DD7BD1">
        <w:rPr>
          <w:rFonts w:ascii="Calibri" w:hAnsi="Calibri" w:cs="Calibri"/>
        </w:rPr>
        <w:t>:</w:t>
      </w:r>
    </w:p>
    <w:p w14:paraId="7A985AC8"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admitted as refugees;</w:t>
      </w:r>
    </w:p>
    <w:p w14:paraId="41DFA34B"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asylum;</w:t>
      </w:r>
    </w:p>
    <w:p w14:paraId="3B8838CE"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withholding of deportation or removal;</w:t>
      </w:r>
    </w:p>
    <w:p w14:paraId="73F8186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asylum or withholding of removal;</w:t>
      </w:r>
    </w:p>
    <w:p w14:paraId="0FCCA13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adjustment of status under INA 245; and</w:t>
      </w:r>
    </w:p>
    <w:p w14:paraId="155ADBBD" w14:textId="5543100A"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suspension of deportation, cancellation of removal or relief under the Nicaraguan Adjustment and Central American Relief Act.</w:t>
      </w:r>
    </w:p>
    <w:p w14:paraId="4D49ACBB" w14:textId="7633C5FB" w:rsidR="005B033C" w:rsidRPr="00DD7BD1" w:rsidRDefault="005B033C" w:rsidP="005B033C">
      <w:pPr>
        <w:rPr>
          <w:rFonts w:ascii="Calibri" w:hAnsi="Calibri" w:cs="Calibri"/>
        </w:rPr>
      </w:pPr>
      <w:r w:rsidRPr="00DD7BD1">
        <w:rPr>
          <w:rFonts w:ascii="Calibri" w:hAnsi="Calibri" w:cs="Calibri"/>
        </w:rPr>
        <w:t>This change affects foreign workers with applications for employment authorization that are pending or filed on or after Dec. 5, 2025, and based on any of the above categories.</w:t>
      </w:r>
    </w:p>
    <w:p w14:paraId="71A3C495" w14:textId="09484A7B" w:rsidR="005B033C" w:rsidRPr="00DD7BD1" w:rsidRDefault="005B033C" w:rsidP="005B033C">
      <w:pPr>
        <w:rPr>
          <w:rFonts w:ascii="Calibri" w:hAnsi="Calibri" w:cs="Calibri"/>
        </w:rPr>
      </w:pPr>
      <w:r w:rsidRPr="00DD7BD1">
        <w:rPr>
          <w:rFonts w:ascii="Calibri" w:hAnsi="Calibri" w:cs="Calibri"/>
          <w:b/>
          <w:bCs/>
          <w:highlight w:val="lightGray"/>
        </w:rPr>
        <w:t>Employer Informational Takeaway:</w:t>
      </w:r>
      <w:r w:rsidRPr="00DD7BD1">
        <w:rPr>
          <w:rFonts w:ascii="Calibri" w:hAnsi="Calibri" w:cs="Calibri"/>
        </w:rPr>
        <w:t xml:space="preserve"> This change will likely result in more EAD renewals for employers relying on foreign workers. This will likely significantly increase the number of Forms I-756 the USCIS receives, resulting in longer processing times and potential backlogs. As a result, employers must plan accordingly to avoid disruptions in work authorization.</w:t>
      </w:r>
    </w:p>
    <w:p w14:paraId="32B96E8F" w14:textId="1779F75E" w:rsidR="005B033C" w:rsidRPr="00DD7BD1" w:rsidRDefault="005B033C" w:rsidP="005B033C">
      <w:pPr>
        <w:jc w:val="center"/>
        <w:rPr>
          <w:rFonts w:ascii="Calibri" w:hAnsi="Calibri" w:cs="Calibri"/>
          <w:b/>
          <w:bCs/>
          <w:color w:val="C00000"/>
          <w:sz w:val="28"/>
          <w:szCs w:val="28"/>
        </w:rPr>
      </w:pPr>
      <w:r w:rsidRPr="00DD7BD1">
        <w:rPr>
          <w:rFonts w:ascii="Calibri" w:hAnsi="Calibri" w:cs="Calibri"/>
          <w:b/>
          <w:bCs/>
          <w:sz w:val="28"/>
          <w:szCs w:val="28"/>
        </w:rPr>
        <w:t>US Postal Services Changes Regarding Postmark Date System –</w:t>
      </w:r>
      <w:r w:rsidRPr="00DD7BD1">
        <w:rPr>
          <w:rFonts w:ascii="Calibri" w:hAnsi="Calibri" w:cs="Calibri"/>
          <w:b/>
          <w:bCs/>
          <w:color w:val="C00000"/>
          <w:sz w:val="28"/>
          <w:szCs w:val="28"/>
        </w:rPr>
        <w:t xml:space="preserve"> Eff Dec 24, 2025</w:t>
      </w:r>
    </w:p>
    <w:p w14:paraId="54F6EE18" w14:textId="067705A4" w:rsidR="005B033C" w:rsidRPr="00DD7BD1" w:rsidRDefault="005B033C" w:rsidP="005B033C">
      <w:pPr>
        <w:rPr>
          <w:rFonts w:ascii="Calibri" w:hAnsi="Calibri" w:cs="Calibri"/>
        </w:rPr>
      </w:pPr>
      <w:r w:rsidRPr="00DD7BD1">
        <w:rPr>
          <w:rFonts w:ascii="Calibri" w:hAnsi="Calibri" w:cs="Calibri"/>
        </w:rPr>
        <w:t>The United States Postal Service (USPS) has adopted a final rule (</w:t>
      </w:r>
      <w:hyperlink r:id="rId277" w:history="1">
        <w:r w:rsidRPr="00DD7BD1">
          <w:rPr>
            <w:rStyle w:val="Hyperlink"/>
            <w:rFonts w:ascii="Calibri" w:hAnsi="Calibri" w:cs="Calibri"/>
          </w:rPr>
          <w:t>FR Doc. 2025-20740</w:t>
        </w:r>
      </w:hyperlink>
      <w:r w:rsidRPr="00DD7BD1">
        <w:rPr>
          <w:rFonts w:ascii="Calibri" w:hAnsi="Calibri" w:cs="Calibri"/>
        </w:rPr>
        <w:t>) adding Section 608.11, "Postmarks and Postal Possession," to the Domestic Mail Manual (DMM). The rule formally defines postmarks and identifies the types of markings that qualify as such. Its primary purpose is to improve public understanding that while a postmark confirms the USPS possessed a mail piece on the date inscribed, that date does not necessarily align with the date the USPS first accepted possession of the item. The rule clarifies that the USPS does not postmark all mail in the ordinary course of operations and that the absence of a postmark does not imply the USPS did not accept custody.</w:t>
      </w:r>
    </w:p>
    <w:p w14:paraId="77F1B85C" w14:textId="179940A2" w:rsidR="005B033C" w:rsidRPr="00DD7BD1" w:rsidRDefault="005B033C" w:rsidP="005B033C">
      <w:pPr>
        <w:rPr>
          <w:rFonts w:ascii="Calibri" w:hAnsi="Calibri" w:cs="Calibri"/>
        </w:rPr>
      </w:pPr>
      <w:r w:rsidRPr="00DD7BD1">
        <w:rPr>
          <w:rFonts w:ascii="Calibri" w:hAnsi="Calibri" w:cs="Calibri"/>
          <w:b/>
          <w:bCs/>
        </w:rPr>
        <w:t>Impact on Postmarking Timing</w:t>
      </w:r>
      <w:r w:rsidRPr="00DD7BD1">
        <w:rPr>
          <w:rFonts w:ascii="Calibri" w:hAnsi="Calibri" w:cs="Calibri"/>
        </w:rPr>
        <w:t> The rule clarifies that the date displayed on a machine-applied postmark represents the "date of the first automated processing operation" performed at a processing facility, rather than the date the mail was dropped off.</w:t>
      </w:r>
    </w:p>
    <w:p w14:paraId="53637665" w14:textId="10BF52C3" w:rsidR="005B033C" w:rsidRPr="00DD7BD1" w:rsidRDefault="005B033C" w:rsidP="00EA4EA1">
      <w:pPr>
        <w:numPr>
          <w:ilvl w:val="0"/>
          <w:numId w:val="280"/>
        </w:numPr>
        <w:spacing w:after="0" w:line="240" w:lineRule="auto"/>
        <w:rPr>
          <w:rFonts w:ascii="Calibri" w:hAnsi="Calibri" w:cs="Calibri"/>
        </w:rPr>
      </w:pPr>
      <w:r w:rsidRPr="00DD7BD1">
        <w:rPr>
          <w:rFonts w:ascii="Calibri" w:hAnsi="Calibri" w:cs="Calibri"/>
          <w:b/>
          <w:bCs/>
        </w:rPr>
        <w:t>Potential Delays:</w:t>
      </w:r>
      <w:r w:rsidRPr="00DD7BD1">
        <w:rPr>
          <w:rFonts w:ascii="Calibri" w:hAnsi="Calibri" w:cs="Calibri"/>
        </w:rPr>
        <w:t> Because most postmarks are applied at processing facilities, the date inscribed may be later than the date the mail piece was first accepted by the USPS. This discrepancy is expected to become more common due to the implementation of the "Regional Transportation Optimization" (RTO) initiative and the adoption of "leg-based" service standards.</w:t>
      </w:r>
    </w:p>
    <w:p w14:paraId="2B2E1AF1" w14:textId="15E4507F" w:rsidR="00EA4EA1" w:rsidRPr="00DD7BD1" w:rsidRDefault="005B033C" w:rsidP="005B033C">
      <w:pPr>
        <w:numPr>
          <w:ilvl w:val="0"/>
          <w:numId w:val="280"/>
        </w:numPr>
        <w:spacing w:after="0" w:line="240" w:lineRule="auto"/>
        <w:rPr>
          <w:rFonts w:ascii="Calibri" w:hAnsi="Calibri" w:cs="Calibri"/>
        </w:rPr>
      </w:pPr>
      <w:r w:rsidRPr="00DD7BD1">
        <w:rPr>
          <w:rFonts w:ascii="Calibri" w:hAnsi="Calibri" w:cs="Calibri"/>
          <w:b/>
          <w:bCs/>
        </w:rPr>
        <w:lastRenderedPageBreak/>
        <w:t>Operational Reality:</w:t>
      </w:r>
      <w:r w:rsidRPr="00DD7BD1">
        <w:rPr>
          <w:rFonts w:ascii="Calibri" w:hAnsi="Calibri" w:cs="Calibri"/>
        </w:rPr>
        <w:t> The rule codifies the operational reality that postmarking operations often cross calendar days or occur after transportation from a retail unit, </w:t>
      </w:r>
      <w:r w:rsidRPr="00DD7BD1">
        <w:rPr>
          <w:rFonts w:ascii="Calibri" w:hAnsi="Calibri" w:cs="Calibri"/>
          <w:b/>
          <w:bCs/>
        </w:rPr>
        <w:t>meaning the postmark date is not a "perfectly reliable indicator" of the date of mailing.</w:t>
      </w:r>
    </w:p>
    <w:p w14:paraId="105DD0A4" w14:textId="1F200A0B" w:rsidR="005B033C" w:rsidRPr="00DD7BD1" w:rsidRDefault="005B033C" w:rsidP="005B033C">
      <w:pPr>
        <w:rPr>
          <w:rFonts w:ascii="Calibri" w:hAnsi="Calibri" w:cs="Calibri"/>
        </w:rPr>
      </w:pPr>
      <w:r w:rsidRPr="00DD7BD1">
        <w:rPr>
          <w:rFonts w:ascii="Calibri" w:hAnsi="Calibri" w:cs="Calibri"/>
          <w:b/>
          <w:bCs/>
        </w:rPr>
        <w:t>Ensuring a Postmark on the Date of Delivery</w:t>
      </w:r>
      <w:r w:rsidRPr="00DD7BD1">
        <w:rPr>
          <w:rFonts w:ascii="Calibri" w:hAnsi="Calibri" w:cs="Calibri"/>
        </w:rPr>
        <w:t> To assure a postmark is applied on the same day a document is delivered to the USPS, individuals must utilize specific retail services. The final rule outlines the following methods:</w:t>
      </w:r>
    </w:p>
    <w:p w14:paraId="7A19EE6E"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Request a Manual Postmark:</w:t>
      </w:r>
      <w:r w:rsidRPr="00DD7BD1">
        <w:rPr>
          <w:rFonts w:ascii="Calibri" w:hAnsi="Calibri" w:cs="Calibri"/>
        </w:rPr>
        <w:t> Customers may present a mail piece at a retail counter and request a "manual (local) postmark". This postmark is applied at the time of acceptance, so the date aligns with the date the USPS took possession.</w:t>
      </w:r>
    </w:p>
    <w:p w14:paraId="4FDCDD68"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Postage Validation Imprint (PVI):</w:t>
      </w:r>
      <w:r w:rsidRPr="00DD7BD1">
        <w:rPr>
          <w:rFonts w:ascii="Calibri" w:hAnsi="Calibri" w:cs="Calibri"/>
        </w:rPr>
        <w:t> When a customer pays for postage at a retail counter, the PVI label applied by the employee also indicates the date of acceptance.</w:t>
      </w:r>
    </w:p>
    <w:p w14:paraId="6726CAE7"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Certificates of Mailing:</w:t>
      </w:r>
      <w:r w:rsidRPr="00DD7BD1">
        <w:rPr>
          <w:rFonts w:ascii="Calibri" w:hAnsi="Calibri" w:cs="Calibri"/>
        </w:rPr>
        <w:t> Customers may purchase a Certificate of Mailing, or use Registered or Certified Mail, to obtain a receipt that serves as evidence of the date the item was presented for mailing.</w:t>
      </w:r>
    </w:p>
    <w:p w14:paraId="5642DDE1"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color w:val="C00000"/>
          <w:kern w:val="0"/>
          <w:sz w:val="22"/>
          <w:szCs w:val="22"/>
        </w:rPr>
      </w:pPr>
    </w:p>
    <w:p w14:paraId="5E46D209" w14:textId="1BD57C1C" w:rsidR="005B033C" w:rsidRPr="00DD7BD1" w:rsidRDefault="005B033C" w:rsidP="00EA4EA1">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2026 Federal EEO Trends</w:t>
      </w:r>
    </w:p>
    <w:p w14:paraId="5DF4802E"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Equal Employment Opportunity Commission (EEOC), other federal agencies and the executive branch have significantly shifted their priorities.</w:t>
      </w:r>
    </w:p>
    <w:p w14:paraId="07E6478C"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16"/>
          <w:szCs w:val="16"/>
        </w:rPr>
      </w:pPr>
    </w:p>
    <w:p w14:paraId="28536961" w14:textId="77777777" w:rsidR="005B033C" w:rsidRPr="00DD7BD1" w:rsidRDefault="005B033C" w:rsidP="005B033C">
      <w:pPr>
        <w:pStyle w:val="BodyText"/>
        <w:rPr>
          <w:rFonts w:cs="Calibri"/>
          <w:color w:val="auto"/>
          <w:szCs w:val="22"/>
        </w:rPr>
      </w:pPr>
      <w:r w:rsidRPr="00DD7BD1">
        <w:rPr>
          <w:rFonts w:cs="Calibri"/>
          <w:color w:val="auto"/>
          <w:szCs w:val="22"/>
        </w:rPr>
        <w:t>Employers can expect these changes in federal equal employment opportunity (EEO) trends to both continue and accelerate throughout 2026. In 2026, employers can expect to see the EEOC prioritize the following issues:</w:t>
      </w:r>
    </w:p>
    <w:p w14:paraId="22FE6576"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Diversity, equity and inclusion (DEI) motivated race and sex discrimination;</w:t>
      </w:r>
    </w:p>
    <w:p w14:paraId="148734B0"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Reverse discrimination;</w:t>
      </w:r>
    </w:p>
    <w:p w14:paraId="21FD0F18"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Sex discrimination (including a shift away from protections for sexual orientation and gender identity);</w:t>
      </w:r>
    </w:p>
    <w:p w14:paraId="0438C651"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Pregnancy discrimination and accommodations;</w:t>
      </w:r>
    </w:p>
    <w:p w14:paraId="111CC68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National origin discrimination, with a particular focus on anti-American bias; and</w:t>
      </w:r>
    </w:p>
    <w:p w14:paraId="17F9E0BF"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discrimination.</w:t>
      </w:r>
    </w:p>
    <w:p w14:paraId="682FCAD6"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In addition, in October 2025, the EEOC restored its quorum, so employers may anticipate increased rulemaking and guidance throughout 2026.</w:t>
      </w:r>
    </w:p>
    <w:p w14:paraId="0C857094" w14:textId="77777777" w:rsidR="005B033C" w:rsidRPr="00DD7BD1" w:rsidRDefault="005B033C" w:rsidP="005B033C">
      <w:pPr>
        <w:pStyle w:val="BodyText"/>
        <w:spacing w:after="0" w:line="240" w:lineRule="auto"/>
        <w:ind w:right="270"/>
        <w:rPr>
          <w:rFonts w:cs="Calibri"/>
          <w:color w:val="auto"/>
          <w:szCs w:val="22"/>
        </w:rPr>
      </w:pPr>
    </w:p>
    <w:p w14:paraId="763C8267" w14:textId="04D5418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Executive Order Restricting State Regulations of Artificial Intelligence</w:t>
      </w:r>
    </w:p>
    <w:p w14:paraId="0A63A2CE" w14:textId="77777777" w:rsidR="005B033C" w:rsidRPr="00DD7BD1" w:rsidRDefault="005B033C" w:rsidP="005B033C">
      <w:pPr>
        <w:rPr>
          <w:rFonts w:ascii="Calibri" w:hAnsi="Calibri" w:cs="Calibri"/>
        </w:rPr>
      </w:pPr>
      <w:r w:rsidRPr="00DD7BD1">
        <w:rPr>
          <w:rFonts w:ascii="Calibri" w:hAnsi="Calibri" w:cs="Calibri"/>
        </w:rPr>
        <w:t xml:space="preserve">Recently, </w:t>
      </w:r>
      <w:proofErr w:type="gramStart"/>
      <w:r w:rsidRPr="00DD7BD1">
        <w:rPr>
          <w:rFonts w:ascii="Calibri" w:hAnsi="Calibri" w:cs="Calibri"/>
        </w:rPr>
        <w:t>a number of</w:t>
      </w:r>
      <w:proofErr w:type="gramEnd"/>
      <w:r w:rsidRPr="00DD7BD1">
        <w:rPr>
          <w:rFonts w:ascii="Calibri" w:hAnsi="Calibri" w:cs="Calibri"/>
        </w:rPr>
        <w:t xml:space="preserve"> states have passed legislation to regulate the use and development of AI, including the use of AI in employment decision-making. For example, California, Illinois, Texas and Colorado have enacted laws restricting the use of AI that results in discrimination based on an employee’s protected trait. Further, Congress recently attempted but failed to pass legislation that would ban states from enacting AI regulations.  On Dec. 11, 2025, President Donald Trump issued an executive order (EO) titled </w:t>
      </w:r>
      <w:hyperlink r:id="rId278" w:history="1">
        <w:r w:rsidRPr="00DD7BD1">
          <w:rPr>
            <w:rStyle w:val="Hyperlink"/>
            <w:rFonts w:ascii="Calibri" w:hAnsi="Calibri" w:cs="Calibri"/>
          </w:rPr>
          <w:t>Ensuring a National Policy Framework for Artificial Intelligence</w:t>
        </w:r>
      </w:hyperlink>
      <w:r w:rsidRPr="00DD7BD1">
        <w:rPr>
          <w:rFonts w:ascii="Calibri" w:hAnsi="Calibri" w:cs="Calibri"/>
        </w:rPr>
        <w:t xml:space="preserve">. The EO aims to restrict states from implementing their own laws and regulations regarding the use and development of artificial intelligence (AI). </w:t>
      </w:r>
    </w:p>
    <w:p w14:paraId="2B697634" w14:textId="77777777" w:rsidR="005B033C" w:rsidRPr="00DD7BD1" w:rsidRDefault="005B033C" w:rsidP="005B033C">
      <w:pPr>
        <w:pStyle w:val="Heading2"/>
        <w:spacing w:before="0"/>
        <w:rPr>
          <w:rFonts w:ascii="Calibri" w:hAnsi="Calibri" w:cs="Calibri"/>
          <w:sz w:val="12"/>
          <w:szCs w:val="12"/>
        </w:rPr>
      </w:pPr>
    </w:p>
    <w:p w14:paraId="07E879AB" w14:textId="77777777" w:rsidR="005B033C" w:rsidRPr="00DD7BD1" w:rsidRDefault="005B033C" w:rsidP="005B033C">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EO Highlights</w:t>
      </w:r>
    </w:p>
    <w:p w14:paraId="7C904140" w14:textId="77777777" w:rsidR="005B033C" w:rsidRPr="00DD7BD1" w:rsidRDefault="005B033C" w:rsidP="005B033C">
      <w:pPr>
        <w:rPr>
          <w:rFonts w:ascii="Calibri" w:hAnsi="Calibri" w:cs="Calibri"/>
        </w:rPr>
      </w:pPr>
      <w:r w:rsidRPr="00DD7BD1">
        <w:rPr>
          <w:rFonts w:ascii="Calibri" w:hAnsi="Calibri" w:cs="Calibri"/>
        </w:rPr>
        <w:t>The EO argues that excessive state regulation restricts AI innovation, makes compliance more challenging, embeds ideological bias within AI models and impinges on interstate commerce. The Trump EO states its policy of global AI dominance through a minimally burdensome national standard. To achieve this, the EO calls for:</w:t>
      </w:r>
    </w:p>
    <w:p w14:paraId="452433E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establishment of an AI Litigation Task Force within 30 days of the EO to challenge state AI laws inconsistent with such policy; </w:t>
      </w:r>
    </w:p>
    <w:p w14:paraId="18E8F8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secretary of Commerce, within 90 days of the EO, to publish an evaluation of state laws in conflict with such policy;</w:t>
      </w:r>
    </w:p>
    <w:p w14:paraId="3C9A7A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secretary of Commerce, within 90 days of the EO, to issue a policy notice specifying the conditions under which states are eligible for funding under the Broadband Equity Access and Development Program and to stop </w:t>
      </w:r>
      <w:proofErr w:type="gramStart"/>
      <w:r w:rsidRPr="00DD7BD1">
        <w:rPr>
          <w:rFonts w:ascii="Calibri" w:hAnsi="Calibri" w:cs="Calibri"/>
        </w:rPr>
        <w:t>funding to</w:t>
      </w:r>
      <w:proofErr w:type="gramEnd"/>
      <w:r w:rsidRPr="00DD7BD1">
        <w:rPr>
          <w:rFonts w:ascii="Calibri" w:hAnsi="Calibri" w:cs="Calibri"/>
        </w:rPr>
        <w:t xml:space="preserve"> states with onerous AI laws;</w:t>
      </w:r>
    </w:p>
    <w:p w14:paraId="0D62B073"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lastRenderedPageBreak/>
        <w:t xml:space="preserve">The Federal Communications Commission, within 90 days of the secretary of Commerce’s publication of its state law evaluation, to determine whether to adopt a federal reporting and disclosure standard for AI models that </w:t>
      </w:r>
      <w:proofErr w:type="gramStart"/>
      <w:r w:rsidRPr="00DD7BD1">
        <w:rPr>
          <w:rFonts w:ascii="Calibri" w:hAnsi="Calibri" w:cs="Calibri"/>
        </w:rPr>
        <w:t>preempts</w:t>
      </w:r>
      <w:proofErr w:type="gramEnd"/>
      <w:r w:rsidRPr="00DD7BD1">
        <w:rPr>
          <w:rFonts w:ascii="Calibri" w:hAnsi="Calibri" w:cs="Calibri"/>
        </w:rPr>
        <w:t xml:space="preserve"> state laws;</w:t>
      </w:r>
    </w:p>
    <w:p w14:paraId="1E17E9D2"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Federal Trade Commission, within 90 days of the EO, to issue a statement explaining when state laws requiring alterations to truthful AI outputs are preempted by the ban on deceptive acts or practices affecting commerce; and</w:t>
      </w:r>
    </w:p>
    <w:p w14:paraId="1671E00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A recommendation for federal AI legislation that preempts conflicting state AI laws.</w:t>
      </w:r>
    </w:p>
    <w:p w14:paraId="29AD267F" w14:textId="77777777" w:rsidR="005B033C" w:rsidRPr="00DD7BD1" w:rsidRDefault="005B033C" w:rsidP="005B033C">
      <w:pPr>
        <w:rPr>
          <w:rFonts w:ascii="Calibri" w:hAnsi="Calibri" w:cs="Calibri"/>
          <w:sz w:val="12"/>
          <w:szCs w:val="12"/>
        </w:rPr>
      </w:pPr>
    </w:p>
    <w:p w14:paraId="13DB58CC" w14:textId="73243465" w:rsidR="005B033C" w:rsidRPr="00DD7BD1" w:rsidRDefault="005B033C" w:rsidP="004E0ED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particularly those in states with laws regulating AI in the workplace, should prepare for uncertainty following the EO. The EO is likely to face legal challenges by states with existing AI legislation who may argue that the EO is an infringement on states’ rights. Therefore, employers should monitor the status of applicable state AI laws and further federal actions. </w:t>
      </w:r>
    </w:p>
    <w:p w14:paraId="60EA39FD" w14:textId="5F19DDA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Employment Policies to Review Ahead of 2026</w:t>
      </w:r>
    </w:p>
    <w:p w14:paraId="14BF7B60"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Employee handbooks serve as a foundational tool for shaping workplace culture, guiding employee behavior and safeguarding organizations against legal exposure. Yet too often, employers overlook the importance of keeping employment policies current.</w:t>
      </w:r>
    </w:p>
    <w:p w14:paraId="10ECCAE6" w14:textId="77777777" w:rsidR="005B033C" w:rsidRPr="00DD7BD1" w:rsidRDefault="005B033C" w:rsidP="005B033C">
      <w:pPr>
        <w:pStyle w:val="BodyText"/>
        <w:spacing w:after="0" w:line="240" w:lineRule="auto"/>
        <w:ind w:right="270"/>
        <w:rPr>
          <w:rFonts w:cs="Calibri"/>
          <w:color w:val="auto"/>
          <w:sz w:val="16"/>
          <w:szCs w:val="16"/>
        </w:rPr>
      </w:pPr>
    </w:p>
    <w:p w14:paraId="673095CC" w14:textId="77777777" w:rsidR="005B033C" w:rsidRPr="00DD7BD1" w:rsidRDefault="005B033C" w:rsidP="005B033C">
      <w:pPr>
        <w:pStyle w:val="BodyText"/>
        <w:ind w:right="270"/>
        <w:rPr>
          <w:rFonts w:cs="Calibri"/>
          <w:color w:val="auto"/>
          <w:szCs w:val="22"/>
        </w:rPr>
      </w:pPr>
      <w:r w:rsidRPr="00DD7BD1">
        <w:rPr>
          <w:rFonts w:cs="Calibri"/>
          <w:color w:val="auto"/>
          <w:szCs w:val="22"/>
        </w:rPr>
        <w:t xml:space="preserve">When employee handbooks are not regularly reviewed and updated, organizations can face increased exposure to legal risks and liabilities. In today’s rapidly evolving environment, where complex employment laws are constantly changing, employers must stay informed about regulatory developments that may impact their operations. The start of the year presents an opportune time for employers to review and update their policies to ensure compliance and mitigate potential risks. Important legal developments in 2025 include: </w:t>
      </w:r>
    </w:p>
    <w:p w14:paraId="4DEF8E72"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Employee leave laws;</w:t>
      </w:r>
    </w:p>
    <w:p w14:paraId="7A38955C"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Pay transparency;</w:t>
      </w:r>
    </w:p>
    <w:p w14:paraId="67C6E4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Captive audience bans;</w:t>
      </w:r>
    </w:p>
    <w:p w14:paraId="543818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Increased reverse discrimination claims;</w:t>
      </w:r>
    </w:p>
    <w:p w14:paraId="070FD957"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accommodations;</w:t>
      </w:r>
    </w:p>
    <w:p w14:paraId="061189F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Artificial intelligence (AI) legislation; and</w:t>
      </w:r>
    </w:p>
    <w:p w14:paraId="69E78F44"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See attached resource to read more.</w:t>
      </w:r>
    </w:p>
    <w:p w14:paraId="7370142B" w14:textId="77777777" w:rsidR="005B033C" w:rsidRPr="00DD7BD1" w:rsidRDefault="005B033C" w:rsidP="005B033C">
      <w:pPr>
        <w:pStyle w:val="BodyText"/>
        <w:spacing w:after="0" w:line="240" w:lineRule="auto"/>
        <w:ind w:right="270"/>
        <w:rPr>
          <w:rFonts w:cs="Calibri"/>
          <w:color w:val="auto"/>
          <w:szCs w:val="22"/>
        </w:rPr>
      </w:pPr>
    </w:p>
    <w:p w14:paraId="2DC2A81D" w14:textId="7EEA28A2" w:rsidR="005B033C" w:rsidRPr="00DD7BD1" w:rsidRDefault="005B033C" w:rsidP="005B033C">
      <w:pPr>
        <w:pStyle w:val="BodyText"/>
        <w:spacing w:line="240" w:lineRule="auto"/>
        <w:ind w:right="270"/>
        <w:jc w:val="center"/>
        <w:rPr>
          <w:rFonts w:eastAsiaTheme="minorHAnsi" w:cs="Calibri"/>
          <w:b/>
          <w:bCs/>
          <w:color w:val="auto"/>
          <w:sz w:val="28"/>
          <w:szCs w:val="28"/>
        </w:rPr>
      </w:pPr>
      <w:r w:rsidRPr="00DD7BD1">
        <w:rPr>
          <w:rFonts w:eastAsiaTheme="minorHAnsi" w:cs="Calibri"/>
          <w:b/>
          <w:bCs/>
          <w:color w:val="auto"/>
          <w:sz w:val="28"/>
          <w:szCs w:val="28"/>
        </w:rPr>
        <w:t>2026 Has 27 Bi-Weekly Pay Periods: What That Means for Employers</w:t>
      </w:r>
    </w:p>
    <w:p w14:paraId="1FB828FE"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 xml:space="preserve">In 2026, employers with bi-weekly payroll schedules will encounter a 27-pay-period year. </w:t>
      </w:r>
      <w:proofErr w:type="gramStart"/>
      <w:r w:rsidRPr="00DD7BD1">
        <w:rPr>
          <w:rFonts w:cs="Calibri"/>
          <w:color w:val="auto"/>
          <w:szCs w:val="22"/>
        </w:rPr>
        <w:t>Advance planning</w:t>
      </w:r>
      <w:proofErr w:type="gramEnd"/>
      <w:r w:rsidRPr="00DD7BD1">
        <w:rPr>
          <w:rFonts w:cs="Calibri"/>
          <w:color w:val="auto"/>
          <w:szCs w:val="22"/>
        </w:rPr>
        <w:t xml:space="preserve"> can help avoid unintended payroll and budgeting impacts.</w:t>
      </w:r>
    </w:p>
    <w:p w14:paraId="7709648C"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What Is the Issue?</w:t>
      </w:r>
    </w:p>
    <w:p w14:paraId="3E634B9E"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 xml:space="preserve">An employee with an annual salary is automatically and regularly paid 1/26th of that annual salary on a bi-weekly payroll (52 divided by 2). In a year with 27 bi-weekly pay periods, that same structure can result in an additional payment and therefore a higher annual salary. This is lawful. The question for employers, however, is whether that additional payroll expense is accounted for in the company budget. If not, and you want options, access a recent blog post published by Greenberg </w:t>
      </w:r>
      <w:proofErr w:type="spellStart"/>
      <w:r w:rsidRPr="00DD7BD1">
        <w:rPr>
          <w:rFonts w:cs="Calibri"/>
          <w:color w:val="auto"/>
          <w:szCs w:val="22"/>
        </w:rPr>
        <w:t>Glusker</w:t>
      </w:r>
      <w:proofErr w:type="spellEnd"/>
      <w:r w:rsidRPr="00DD7BD1">
        <w:rPr>
          <w:rFonts w:cs="Calibri"/>
          <w:color w:val="auto"/>
          <w:szCs w:val="22"/>
        </w:rPr>
        <w:t xml:space="preserve"> Fields Claman &amp; </w:t>
      </w:r>
      <w:proofErr w:type="spellStart"/>
      <w:r w:rsidRPr="00DD7BD1">
        <w:rPr>
          <w:rFonts w:cs="Calibri"/>
          <w:color w:val="auto"/>
          <w:szCs w:val="22"/>
        </w:rPr>
        <w:t>Machtinger</w:t>
      </w:r>
      <w:proofErr w:type="spellEnd"/>
      <w:r w:rsidRPr="00DD7BD1">
        <w:rPr>
          <w:rFonts w:cs="Calibri"/>
          <w:color w:val="auto"/>
          <w:szCs w:val="22"/>
        </w:rPr>
        <w:t xml:space="preserve"> LLP  </w:t>
      </w:r>
      <w:hyperlink r:id="rId279" w:history="1">
        <w:r w:rsidRPr="00DD7BD1">
          <w:rPr>
            <w:rStyle w:val="Hyperlink"/>
            <w:rFonts w:cs="Calibri"/>
            <w:szCs w:val="22"/>
          </w:rPr>
          <w:t>HERE</w:t>
        </w:r>
      </w:hyperlink>
    </w:p>
    <w:p w14:paraId="0258B083" w14:textId="77777777" w:rsidR="005B033C" w:rsidRPr="00DD7BD1" w:rsidRDefault="005B033C" w:rsidP="005B033C">
      <w:pPr>
        <w:pStyle w:val="BodyText"/>
        <w:spacing w:after="0" w:line="240" w:lineRule="auto"/>
        <w:ind w:right="270"/>
        <w:rPr>
          <w:rFonts w:cs="Calibri"/>
          <w:color w:val="auto"/>
          <w:szCs w:val="22"/>
        </w:rPr>
      </w:pPr>
    </w:p>
    <w:p w14:paraId="1F784957" w14:textId="69B42FFB"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Annual Gag Clause Attestation –</w:t>
      </w:r>
      <w:r w:rsidRPr="00DD7BD1">
        <w:rPr>
          <w:rFonts w:ascii="Calibri" w:eastAsiaTheme="minorHAnsi" w:hAnsi="Calibri" w:cs="Calibri"/>
          <w:color w:val="C00000"/>
          <w:kern w:val="0"/>
          <w:sz w:val="28"/>
          <w:szCs w:val="28"/>
        </w:rPr>
        <w:t xml:space="preserve"> Filing Deadline Dec 31, 2025</w:t>
      </w:r>
    </w:p>
    <w:p w14:paraId="64A2477A"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Group health plans and health insurance issuers offering group or individual health insurance coverage must annually submit a Gag Clause Prohibition Compliance Attestation (GCPCA) to the Department of Health and Human Services (HHS), which is collecting the attestations on behalf of the Departments of Labor, HHS, and the Treasury (the Departments).</w:t>
      </w:r>
    </w:p>
    <w:p w14:paraId="409CFEFE"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12"/>
          <w:szCs w:val="12"/>
        </w:rPr>
      </w:pP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B033C" w:rsidRPr="00DD7BD1" w14:paraId="3F05A5FE"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302F790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61EF30C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Which entities are required to submit a Gag Clause Prohibition Compliance Attestation?</w:t>
                  </w:r>
                </w:p>
              </w:tc>
            </w:tr>
          </w:tbl>
          <w:p w14:paraId="284375A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6B3E1562"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6333521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56BDD3B2" w14:textId="77777777" w:rsidR="005B033C" w:rsidRPr="00DD7BD1" w:rsidRDefault="005B033C" w:rsidP="005B033C">
                  <w:pPr>
                    <w:pStyle w:val="Heading1"/>
                    <w:numPr>
                      <w:ilvl w:val="0"/>
                      <w:numId w:val="271"/>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health insurance issuers offering group health insurance coverage;</w:t>
                  </w:r>
                </w:p>
                <w:p w14:paraId="4B6F2603" w14:textId="77777777" w:rsidR="005B033C" w:rsidRPr="00DD7BD1" w:rsidRDefault="005B033C" w:rsidP="005B033C">
                  <w:pPr>
                    <w:pStyle w:val="Heading1"/>
                    <w:numPr>
                      <w:ilvl w:val="0"/>
                      <w:numId w:val="272"/>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individual health insurance coverage, including student health insurance coverage and individual health insurance coverage issued through an association; and</w:t>
                  </w:r>
                </w:p>
                <w:p w14:paraId="02120C79" w14:textId="77777777" w:rsidR="005B033C" w:rsidRPr="00DD7BD1" w:rsidRDefault="005B033C" w:rsidP="005B033C">
                  <w:pPr>
                    <w:pStyle w:val="Heading1"/>
                    <w:numPr>
                      <w:ilvl w:val="0"/>
                      <w:numId w:val="273"/>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fully-insured and self-insured group health plans, including ERISA plans, non-Federal governmental plans and church plans subject to the Code.</w:t>
                  </w:r>
                </w:p>
                <w:p w14:paraId="09752719" w14:textId="77777777" w:rsidR="005B033C" w:rsidRPr="00DD7BD1" w:rsidRDefault="005B033C" w:rsidP="005B033C">
                  <w:pPr>
                    <w:pStyle w:val="Heading1"/>
                    <w:numPr>
                      <w:ilvl w:val="0"/>
                      <w:numId w:val="274"/>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 enforced against plans that consist solely of account based HRAs.  This includes individual coverage HRAs for which the issuer of the individual coverage will be required to submit the attestation. ICHRAs are exempt.</w:t>
                  </w:r>
                </w:p>
                <w:p w14:paraId="6E6992D8" w14:textId="77777777" w:rsidR="005B033C" w:rsidRPr="00DD7BD1" w:rsidRDefault="005B033C" w:rsidP="005B033C">
                  <w:pPr>
                    <w:pStyle w:val="Heading1"/>
                    <w:numPr>
                      <w:ilvl w:val="0"/>
                      <w:numId w:val="275"/>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Enforcement and penalties have not been defined outside of possible Plan Fiduciary and ERISA violations for noncompliance. Good faith relief ended in 2022.</w:t>
                  </w:r>
                </w:p>
              </w:tc>
            </w:tr>
          </w:tbl>
          <w:p w14:paraId="42E1CB3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2B71F2E6"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1C4857D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7C73BF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WHAT NOW?</w:t>
                  </w:r>
                </w:p>
                <w:p w14:paraId="4154A489" w14:textId="77777777" w:rsidR="005B033C" w:rsidRPr="00DD7BD1" w:rsidRDefault="005B033C" w:rsidP="005B033C">
                  <w:pPr>
                    <w:pStyle w:val="Heading1"/>
                    <w:numPr>
                      <w:ilvl w:val="0"/>
                      <w:numId w:val="276"/>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 aware of your carrier / TPA / PBM approaches and deadlines. EACH ISSUER and CARRIER IS DIFFERENT</w:t>
                  </w:r>
                </w:p>
                <w:p w14:paraId="6738F6E1" w14:textId="77777777" w:rsidR="005B033C" w:rsidRPr="00DD7BD1" w:rsidRDefault="005B033C" w:rsidP="005B033C">
                  <w:pPr>
                    <w:pStyle w:val="Heading1"/>
                    <w:numPr>
                      <w:ilvl w:val="0"/>
                      <w:numId w:val="277"/>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Confirm that your carrier / TPA / PBM contracts in effect for 2025 </w:t>
                  </w:r>
                  <w:proofErr w:type="gramStart"/>
                  <w:r w:rsidRPr="00DD7BD1">
                    <w:rPr>
                      <w:rFonts w:ascii="Calibri" w:eastAsiaTheme="minorHAnsi" w:hAnsi="Calibri" w:cs="Calibri"/>
                      <w:b w:val="0"/>
                      <w:bCs w:val="0"/>
                      <w:sz w:val="22"/>
                      <w:szCs w:val="22"/>
                    </w:rPr>
                    <w:t>are in compliance</w:t>
                  </w:r>
                  <w:proofErr w:type="gramEnd"/>
                  <w:r w:rsidRPr="00DD7BD1">
                    <w:rPr>
                      <w:rFonts w:ascii="Calibri" w:eastAsiaTheme="minorHAnsi" w:hAnsi="Calibri" w:cs="Calibri"/>
                      <w:b w:val="0"/>
                      <w:bCs w:val="0"/>
                      <w:sz w:val="22"/>
                      <w:szCs w:val="22"/>
                    </w:rPr>
                    <w:t xml:space="preserve"> through publicly distributed statements or in writing directly (client communications).</w:t>
                  </w:r>
                </w:p>
                <w:p w14:paraId="0F641126" w14:textId="77777777" w:rsidR="005B033C" w:rsidRPr="00DD7BD1" w:rsidRDefault="005B033C" w:rsidP="005B033C">
                  <w:pPr>
                    <w:pStyle w:val="Heading1"/>
                    <w:numPr>
                      <w:ilvl w:val="0"/>
                      <w:numId w:val="278"/>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Confirm if your carriers are going to submit the required Group Health Plan attestation on behalf of your Group Health plan in addition to their own attestation. </w:t>
                  </w:r>
                </w:p>
                <w:p w14:paraId="0CF29881" w14:textId="77777777" w:rsidR="005B033C" w:rsidRPr="00DD7BD1" w:rsidRDefault="005B033C" w:rsidP="00160731">
                  <w:pPr>
                    <w:pStyle w:val="Heading1"/>
                    <w:shd w:val="clear" w:color="auto" w:fill="FFFFFF"/>
                    <w:spacing w:before="0" w:beforeAutospacing="0" w:after="0" w:afterAutospacing="0"/>
                    <w:ind w:left="720"/>
                    <w:rPr>
                      <w:rFonts w:ascii="Calibri" w:eastAsiaTheme="minorHAnsi" w:hAnsi="Calibri" w:cs="Calibri"/>
                      <w:b w:val="0"/>
                      <w:bCs w:val="0"/>
                      <w:sz w:val="16"/>
                      <w:szCs w:val="16"/>
                    </w:rPr>
                  </w:pPr>
                </w:p>
                <w:p w14:paraId="51D13B18"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Look for or request communication from your Medical/PBM carriers asap.  </w:t>
                  </w:r>
                </w:p>
                <w:p w14:paraId="62D4E454"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Still unsure what is next? Contact your </w:t>
                  </w:r>
                  <w:r w:rsidRPr="00DD7BD1">
                    <w:rPr>
                      <w:rFonts w:ascii="Calibri" w:eastAsiaTheme="minorHAnsi" w:hAnsi="Calibri" w:cs="Calibri"/>
                      <w:b w:val="0"/>
                      <w:bCs w:val="0"/>
                      <w:sz w:val="22"/>
                      <w:szCs w:val="22"/>
                      <w:u w:val="single"/>
                    </w:rPr>
                    <w:t>Benefits Broker </w:t>
                  </w:r>
                  <w:r w:rsidRPr="00DD7BD1">
                    <w:rPr>
                      <w:rFonts w:ascii="Calibri" w:eastAsiaTheme="minorHAnsi" w:hAnsi="Calibri" w:cs="Calibri"/>
                      <w:b w:val="0"/>
                      <w:bCs w:val="0"/>
                      <w:sz w:val="22"/>
                      <w:szCs w:val="22"/>
                    </w:rPr>
                    <w:t xml:space="preserve">to learn more about this </w:t>
                  </w:r>
                  <w:proofErr w:type="gramStart"/>
                  <w:r w:rsidRPr="00DD7BD1">
                    <w:rPr>
                      <w:rFonts w:ascii="Calibri" w:eastAsiaTheme="minorHAnsi" w:hAnsi="Calibri" w:cs="Calibri"/>
                      <w:b w:val="0"/>
                      <w:bCs w:val="0"/>
                      <w:sz w:val="22"/>
                      <w:szCs w:val="22"/>
                    </w:rPr>
                    <w:t>benefits</w:t>
                  </w:r>
                  <w:proofErr w:type="gramEnd"/>
                  <w:r w:rsidRPr="00DD7BD1">
                    <w:rPr>
                      <w:rFonts w:ascii="Calibri" w:eastAsiaTheme="minorHAnsi" w:hAnsi="Calibri" w:cs="Calibri"/>
                      <w:b w:val="0"/>
                      <w:bCs w:val="0"/>
                      <w:sz w:val="22"/>
                      <w:szCs w:val="22"/>
                    </w:rPr>
                    <w:t>-related obligation.</w:t>
                  </w:r>
                </w:p>
              </w:tc>
            </w:tr>
          </w:tbl>
          <w:p w14:paraId="1E5E871C"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bl>
    <w:p w14:paraId="37EF8E6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3F983C9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7480C427" w14:textId="5B7F5978" w:rsidR="00C54149" w:rsidRPr="00DD7BD1" w:rsidRDefault="00C54149"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November Alerts/Reminders:</w:t>
      </w:r>
    </w:p>
    <w:p w14:paraId="6B5CDE94" w14:textId="77777777" w:rsidR="0077371C" w:rsidRPr="00DD7BD1" w:rsidRDefault="0077371C" w:rsidP="0077371C">
      <w:pPr>
        <w:pStyle w:val="Heading1"/>
        <w:shd w:val="clear" w:color="auto" w:fill="FFFFFF"/>
        <w:spacing w:before="0" w:beforeAutospacing="0" w:after="0" w:afterAutospacing="0"/>
        <w:jc w:val="center"/>
        <w:rPr>
          <w:rFonts w:ascii="Calibri" w:eastAsiaTheme="minorHAnsi" w:hAnsi="Calibri" w:cs="Calibri"/>
          <w:color w:val="C00000"/>
          <w:sz w:val="28"/>
          <w:szCs w:val="28"/>
        </w:rPr>
      </w:pPr>
      <w:r w:rsidRPr="00DD7BD1">
        <w:rPr>
          <w:rFonts w:ascii="Calibri" w:eastAsiaTheme="minorHAnsi" w:hAnsi="Calibri" w:cs="Calibri"/>
          <w:sz w:val="28"/>
          <w:szCs w:val="28"/>
        </w:rPr>
        <w:t>Reducing Risk at Holiday Parties</w:t>
      </w:r>
    </w:p>
    <w:p w14:paraId="64D3C8CD"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Holiday parties offer a great opportunity to connect with coworkers and colleagues, and yet, everyone has heard stories of holiday parties gone bad. </w:t>
      </w:r>
    </w:p>
    <w:p w14:paraId="2BCB5630" w14:textId="77777777" w:rsidR="0077371C" w:rsidRPr="00DD7BD1" w:rsidRDefault="0077371C" w:rsidP="0077371C">
      <w:pPr>
        <w:pStyle w:val="Heading1"/>
        <w:shd w:val="clear" w:color="auto" w:fill="FFFFFF"/>
        <w:spacing w:before="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Employers should consider the risks of providing or permitting the consumption of alcohol. A party can be made safer by hiring professional bartenders who know how to spot and diplomatically cut off people who’ve had enough. Distributing drink tickets to limit consumption is another option, and offering free rides home for people who have overindulged is also another good idea to protect employees and the organization.</w:t>
      </w:r>
    </w:p>
    <w:p w14:paraId="32B630A0"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Event coordinators and vendors should ensure that intoxicated individuals aren’t served as employers could potentially be subject to liability if they allow employees to be overserved and there’s a car accident.  As mentioned, employees who are intoxicated shouldn’t be permitted to drive.  </w:t>
      </w:r>
    </w:p>
    <w:p w14:paraId="12744504"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11886A98"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Holiday parties may also increase the risk of harassment complaints, as the celebration and alcohol consumption tends to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p>
    <w:p w14:paraId="396E0F47"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4E4CEA43"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Attached is a Risk Mitigation Checklist which may be helpful.</w:t>
      </w:r>
    </w:p>
    <w:p w14:paraId="297E1742" w14:textId="77777777" w:rsidR="00CC3ABE" w:rsidRPr="00DD7BD1" w:rsidRDefault="00CC3ABE"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608DB36D" w14:textId="3C8C990F"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November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December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3729589B" w14:textId="77777777"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2"/>
          <w:szCs w:val="22"/>
        </w:rPr>
      </w:pPr>
    </w:p>
    <w:p w14:paraId="4838FD63" w14:textId="4C1E2C0C"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EEOC Releases Guidance on National Origin Discrimination and Anti-American Bias</w:t>
      </w:r>
    </w:p>
    <w:p w14:paraId="1AC1A840" w14:textId="308A7E5B" w:rsidR="00CC3ABE" w:rsidRPr="00DD7BD1" w:rsidRDefault="00CC3ABE" w:rsidP="00CC3ABE">
      <w:pPr>
        <w:rPr>
          <w:rFonts w:ascii="Calibri" w:hAnsi="Calibri" w:cs="Calibri"/>
        </w:rPr>
      </w:pPr>
      <w:r w:rsidRPr="00DD7BD1">
        <w:rPr>
          <w:rFonts w:ascii="Calibri" w:hAnsi="Calibri" w:cs="Calibri"/>
        </w:rPr>
        <w:t xml:space="preserve">On Nov. 19, 2025, the U.S. Equal Employment Opportunity Commission (EEOC) released new materials on national origin discrimination, including a technical assistance document, </w:t>
      </w:r>
      <w:hyperlink r:id="rId280" w:history="1">
        <w:r w:rsidRPr="00DD7BD1">
          <w:rPr>
            <w:rStyle w:val="Hyperlink"/>
            <w:rFonts w:ascii="Calibri" w:hAnsi="Calibri" w:cs="Calibri"/>
          </w:rPr>
          <w:t>Discrimination Against American Workers Is Against the Law</w:t>
        </w:r>
      </w:hyperlink>
      <w:r w:rsidRPr="00DD7BD1">
        <w:rPr>
          <w:rFonts w:ascii="Calibri" w:hAnsi="Calibri" w:cs="Calibri"/>
        </w:rPr>
        <w:t xml:space="preserve">, and </w:t>
      </w:r>
      <w:r w:rsidRPr="00DD7BD1">
        <w:rPr>
          <w:rFonts w:ascii="Calibri" w:hAnsi="Calibri" w:cs="Calibri"/>
        </w:rPr>
        <w:lastRenderedPageBreak/>
        <w:t xml:space="preserve">updates to its national origin </w:t>
      </w:r>
      <w:hyperlink r:id="rId281" w:history="1">
        <w:r w:rsidRPr="00DD7BD1">
          <w:rPr>
            <w:rStyle w:val="Hyperlink"/>
            <w:rFonts w:ascii="Calibri" w:hAnsi="Calibri" w:cs="Calibri"/>
          </w:rPr>
          <w:t>webpage</w:t>
        </w:r>
      </w:hyperlink>
      <w:r w:rsidRPr="00DD7BD1">
        <w:rPr>
          <w:rFonts w:ascii="Calibri" w:hAnsi="Calibri" w:cs="Calibri"/>
        </w:rPr>
        <w:t xml:space="preserve">. The new materials reflect the EEOC’s efforts to combat national origin discrimination, with a focus on anti-American national origin bias. </w:t>
      </w:r>
    </w:p>
    <w:p w14:paraId="12607067" w14:textId="77777777" w:rsidR="00CC3ABE" w:rsidRPr="00DD7BD1" w:rsidRDefault="00CC3ABE" w:rsidP="00CC3AB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Overview of New Guidance</w:t>
      </w:r>
    </w:p>
    <w:p w14:paraId="503A9F9D" w14:textId="5B81A3E9" w:rsidR="00CC3ABE" w:rsidRPr="00DD7BD1" w:rsidRDefault="00CC3ABE" w:rsidP="002242FA">
      <w:pPr>
        <w:rPr>
          <w:rFonts w:ascii="Calibri" w:hAnsi="Calibri" w:cs="Calibri"/>
        </w:rPr>
      </w:pPr>
      <w:r w:rsidRPr="00DD7BD1">
        <w:rPr>
          <w:rFonts w:ascii="Calibri" w:hAnsi="Calibri" w:cs="Calibri"/>
        </w:rPr>
        <w:t xml:space="preserve">Title VII of the Civil Rights Act prohibits employers with 15 or more employees from discriminating against applicants and employees </w:t>
      </w:r>
      <w:proofErr w:type="gramStart"/>
      <w:r w:rsidRPr="00DD7BD1">
        <w:rPr>
          <w:rFonts w:ascii="Calibri" w:hAnsi="Calibri" w:cs="Calibri"/>
        </w:rPr>
        <w:t>on the basis of</w:t>
      </w:r>
      <w:proofErr w:type="gramEnd"/>
      <w:r w:rsidRPr="00DD7BD1">
        <w:rPr>
          <w:rFonts w:ascii="Calibri" w:hAnsi="Calibri" w:cs="Calibri"/>
        </w:rPr>
        <w:t xml:space="preserve">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474DD4AC" w14:textId="04F63115"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Discriminatory job advertisements</w:t>
      </w:r>
      <w:r w:rsidRPr="00DD7BD1">
        <w:rPr>
          <w:rFonts w:ascii="Calibri" w:hAnsi="Calibri" w:cs="Calibri"/>
        </w:rPr>
        <w:t>, including ads that say the employer prefers or requires applicants from a particular country or with a particular visa status;</w:t>
      </w:r>
    </w:p>
    <w:p w14:paraId="51305972" w14:textId="4724DA2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Disparate treatment</w:t>
      </w:r>
      <w:r w:rsidRPr="00DD7BD1">
        <w:rPr>
          <w:rFonts w:ascii="Calibri" w:hAnsi="Calibri" w:cs="Calibri"/>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3E15838B" w14:textId="3B24D883"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 xml:space="preserve">Harassment </w:t>
      </w:r>
      <w:r w:rsidRPr="00DD7BD1">
        <w:rPr>
          <w:rFonts w:ascii="Calibri" w:hAnsi="Calibri" w:cs="Calibri"/>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54EFB877" w14:textId="6C550A9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Retaliation</w:t>
      </w:r>
      <w:r w:rsidRPr="00DD7BD1">
        <w:rPr>
          <w:rFonts w:ascii="Calibri" w:hAnsi="Calibri" w:cs="Calibri"/>
        </w:rPr>
        <w:t xml:space="preserve"> by an employer because an individual engaged in protected activity, such as objecting to national origin discrimination, participating in an investigation or filing a charge.</w:t>
      </w:r>
    </w:p>
    <w:p w14:paraId="0B84800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further clarifies that Title VII’s protections apply across all terms and conditions of employment, including hiring, firing, job assignments, training, benefits, and layoffs. </w:t>
      </w:r>
      <w:r w:rsidRPr="00DD7BD1">
        <w:rPr>
          <w:rFonts w:ascii="Calibri" w:hAnsi="Calibri" w:cs="Calibri"/>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75305B5D"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5B2E024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Given the heightened scrutiny, employers are encouraged to review and update their policies, recruiting practices, compensation systems, and workplace conduct standards to ensure they do not favor workers of </w:t>
      </w:r>
      <w:proofErr w:type="gramStart"/>
      <w:r w:rsidRPr="00DD7BD1">
        <w:rPr>
          <w:rFonts w:ascii="Calibri" w:eastAsiaTheme="minorHAnsi" w:hAnsi="Calibri" w:cs="Calibri"/>
          <w:b w:val="0"/>
          <w:bCs w:val="0"/>
          <w:kern w:val="0"/>
          <w:sz w:val="22"/>
          <w:szCs w:val="22"/>
        </w:rPr>
        <w:t>particular national</w:t>
      </w:r>
      <w:proofErr w:type="gramEnd"/>
      <w:r w:rsidRPr="00DD7BD1">
        <w:rPr>
          <w:rFonts w:ascii="Calibri" w:eastAsiaTheme="minorHAnsi" w:hAnsi="Calibri" w:cs="Calibri"/>
          <w:b w:val="0"/>
          <w:bCs w:val="0"/>
          <w:kern w:val="0"/>
          <w:sz w:val="22"/>
          <w:szCs w:val="22"/>
        </w:rPr>
        <w:t xml:space="preserve"> origins or visa statuses.</w:t>
      </w:r>
    </w:p>
    <w:p w14:paraId="0F1A7BF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6129D95" w14:textId="4B17AB0E" w:rsidR="00CC3ABE" w:rsidRPr="00DD7BD1" w:rsidRDefault="00CC3ABE" w:rsidP="00CC3ABE">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Rhode Island and Massachusetts Have Special Laws Regarding Work on Holidays</w:t>
      </w:r>
    </w:p>
    <w:p w14:paraId="1334115B"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While many employers offer most or all federal holidays off work for their employees, federal law does not require private employers to provide days off for traditionally recognized holidays.  That said, some states have holiday regulatory requirements applicable to holidays. </w:t>
      </w:r>
    </w:p>
    <w:p w14:paraId="4F8A9AB0"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Specifically, 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Pr="00DD7BD1">
        <w:rPr>
          <w:rFonts w:ascii="Calibri" w:eastAsiaTheme="minorHAnsi" w:hAnsi="Calibri" w:cs="Calibri"/>
          <w:sz w:val="22"/>
          <w:szCs w:val="22"/>
        </w:rPr>
        <w:t xml:space="preserve">not </w:t>
      </w:r>
      <w:r w:rsidRPr="00DD7BD1">
        <w:rPr>
          <w:rFonts w:ascii="Calibri" w:eastAsiaTheme="minorHAnsi" w:hAnsi="Calibri" w:cs="Calibri"/>
          <w:b w:val="0"/>
          <w:bCs w:val="0"/>
          <w:sz w:val="22"/>
          <w:szCs w:val="22"/>
        </w:rPr>
        <w:t>apply to doctors, dentists, attorneys, accountants, supervisory employees, hotel and restaurant workers and a few other groups of employees.</w:t>
      </w:r>
    </w:p>
    <w:p w14:paraId="135D287C"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Christmas.</w:t>
      </w:r>
    </w:p>
    <w:p w14:paraId="77E6C8A7" w14:textId="77777777" w:rsidR="00CC3ABE" w:rsidRPr="00DD7BD1" w:rsidRDefault="00CC3ABE" w:rsidP="00CC3ABE">
      <w:pPr>
        <w:pStyle w:val="Heading1"/>
        <w:spacing w:before="0" w:beforeAutospacing="0" w:after="0" w:afterAutospacing="0"/>
        <w:jc w:val="center"/>
        <w:rPr>
          <w:rFonts w:ascii="Calibri" w:eastAsiaTheme="minorHAnsi" w:hAnsi="Calibri" w:cs="Calibri"/>
          <w:color w:val="C00000"/>
          <w:kern w:val="0"/>
          <w:sz w:val="22"/>
          <w:szCs w:val="22"/>
        </w:rPr>
      </w:pPr>
    </w:p>
    <w:p w14:paraId="6BACA3EE" w14:textId="77777777" w:rsidR="00CC3ABE" w:rsidRPr="00DD7BD1" w:rsidRDefault="00CC3ABE" w:rsidP="00CC3ABE">
      <w:pPr>
        <w:pStyle w:val="Heading1"/>
        <w:spacing w:before="0" w:beforeAutospacing="0" w:after="0" w:afterAutospacing="0"/>
        <w:jc w:val="center"/>
        <w:rPr>
          <w:rFonts w:ascii="Calibri" w:eastAsiaTheme="minorHAnsi" w:hAnsi="Calibri" w:cs="Calibri"/>
          <w:b w:val="0"/>
          <w:bCs w:val="0"/>
          <w:kern w:val="0"/>
          <w:sz w:val="22"/>
          <w:szCs w:val="22"/>
        </w:rPr>
      </w:pPr>
      <w:r w:rsidRPr="00DD7BD1">
        <w:rPr>
          <w:rFonts w:ascii="Calibri" w:eastAsiaTheme="minorHAnsi" w:hAnsi="Calibri" w:cs="Calibri"/>
          <w:kern w:val="0"/>
          <w:sz w:val="28"/>
          <w:szCs w:val="28"/>
        </w:rPr>
        <w:t>Update:  “One Big Beautiful Bill Act” (OBBBA) IRS Gives Employers Relief on 2025 Tip &amp; Overtime Reporting</w:t>
      </w:r>
    </w:p>
    <w:p w14:paraId="5919C5A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effect in 2026, and employers should use this period to review payroll systems and recordkeeping practices. Employers are also encouraged to help employees claim available deductions by providing information about their tips and overtime and should stay alert for further IRS guidance as implementation continues.</w:t>
      </w:r>
    </w:p>
    <w:p w14:paraId="4CBFF8DF"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p>
    <w:p w14:paraId="7BBB6A1C"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Recap of the Tip and Overtime Deductions</w:t>
      </w:r>
    </w:p>
    <w:p w14:paraId="5FE2B1FA"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“no tax” term is a bit misleading. Both the “no tax on tips” and “no tax on overtime” provisions </w:t>
      </w:r>
      <w:proofErr w:type="gramStart"/>
      <w:r w:rsidRPr="00DD7BD1">
        <w:rPr>
          <w:rFonts w:ascii="Calibri" w:eastAsiaTheme="minorHAnsi" w:hAnsi="Calibri" w:cs="Calibri"/>
          <w:b w:val="0"/>
          <w:bCs w:val="0"/>
          <w:sz w:val="22"/>
          <w:szCs w:val="22"/>
        </w:rPr>
        <w:t>actually create</w:t>
      </w:r>
      <w:proofErr w:type="gramEnd"/>
      <w:r w:rsidRPr="00DD7BD1">
        <w:rPr>
          <w:rFonts w:ascii="Calibri" w:eastAsiaTheme="minorHAnsi" w:hAnsi="Calibri" w:cs="Calibri"/>
          <w:b w:val="0"/>
          <w:bCs w:val="0"/>
          <w:sz w:val="22"/>
          <w:szCs w:val="22"/>
        </w:rPr>
        <w:t xml:space="preserve"> limited income tax deductions for qualifying individuals, rather than making tips or overtime entirely tax-free. Importantly, these deductions do not affect the taxability of tips or overtime pay for Social Security and Medicare (FICA) taxes.</w:t>
      </w:r>
    </w:p>
    <w:p w14:paraId="16D29CC3"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discussed in our (Ackerman, LLP’s) earlier blog post </w:t>
      </w:r>
      <w:hyperlink r:id="rId282" w:tgtFrame="_blank"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the OBBBA introduced two new deductions for individuals, which also raise several compliance questions for employers:</w:t>
      </w:r>
    </w:p>
    <w:p w14:paraId="28D4AF9F"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026224E2"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Overtime: Workers may deduct up to $12,500 in “qualified overtime compensation” from their income subject to federal income tax ($25,000 for joint filers).</w:t>
      </w:r>
    </w:p>
    <w:p w14:paraId="0A2D9579"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frustrate employers preparing for the 2026 tax season. Notably, the OBBBA allows employers to “approximate” the amount of “qualified overtime compensation” using a “reasonable method,” but further IRS guidance is still pending on what constitutes a “reasonable method.”</w:t>
      </w:r>
    </w:p>
    <w:p w14:paraId="11CBEC3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November 5, 2025, the IRS issued </w:t>
      </w:r>
      <w:hyperlink r:id="rId283" w:tgtFrame="_blank" w:history="1">
        <w:r w:rsidRPr="00DD7BD1">
          <w:rPr>
            <w:rStyle w:val="Hyperlink"/>
            <w:rFonts w:ascii="Calibri" w:eastAsiaTheme="minorHAnsi" w:hAnsi="Calibri" w:cs="Calibri"/>
            <w:b w:val="0"/>
            <w:bCs w:val="0"/>
            <w:sz w:val="22"/>
            <w:szCs w:val="22"/>
          </w:rPr>
          <w:t>Notice 2025-62</w:t>
        </w:r>
      </w:hyperlink>
      <w:r w:rsidRPr="00DD7BD1">
        <w:rPr>
          <w:rFonts w:ascii="Calibri" w:eastAsiaTheme="minorHAnsi" w:hAnsi="Calibri" w:cs="Calibr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284"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5732FA94"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59C3D838"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Qualifying Occupations and Qualified Tips</w:t>
      </w:r>
    </w:p>
    <w:p w14:paraId="494AB369"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285" w:tgtFrame="_blank" w:history="1">
        <w:r w:rsidRPr="00DD7BD1">
          <w:rPr>
            <w:rStyle w:val="Hyperlink"/>
            <w:rFonts w:ascii="Calibri" w:eastAsiaTheme="minorHAnsi" w:hAnsi="Calibri" w:cs="Calibri"/>
            <w:b w:val="0"/>
            <w:bCs w:val="0"/>
            <w:sz w:val="22"/>
            <w:szCs w:val="22"/>
          </w:rPr>
          <w:t>proposed regulations</w:t>
        </w:r>
      </w:hyperlink>
      <w:r w:rsidRPr="00DD7BD1">
        <w:rPr>
          <w:rFonts w:ascii="Calibri" w:eastAsiaTheme="minorHAnsi" w:hAnsi="Calibri" w:cs="Calibri"/>
          <w:b w:val="0"/>
          <w:bCs w:val="0"/>
          <w:sz w:val="22"/>
          <w:szCs w:val="22"/>
        </w:rPr>
        <w:t xml:space="preserve"> identifying nearly 70 occupations that qualify, grouped into eight categories: (1) beverage and food service; (2) entertainment and events; </w:t>
      </w:r>
      <w:r w:rsidRPr="00DD7BD1">
        <w:rPr>
          <w:rFonts w:ascii="Calibri" w:eastAsiaTheme="minorHAnsi" w:hAnsi="Calibri" w:cs="Calibri"/>
          <w:b w:val="0"/>
          <w:bCs w:val="0"/>
          <w:sz w:val="22"/>
          <w:szCs w:val="22"/>
        </w:rPr>
        <w:lastRenderedPageBreak/>
        <w:t>(3) hospitality and guest services; (4) home services; (5) personal services; (6) personal appearance and wellness; (7) recreation and instruction; and (8) transportation and delivery.</w:t>
      </w:r>
    </w:p>
    <w:p w14:paraId="51D19F88"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explained that the proposed list was drafted “based on a review of IRS data, legislative history, and survey data regarding tipped occupations and the presence of certain factors demonstrating that those occupations 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employees who do interact with customers.” Employers should review the preliminary list to determine whether they have employees who meet the proposed definition of “occupations that customarily and regularly received tips.”</w:t>
      </w:r>
    </w:p>
    <w:p w14:paraId="71E1FCD2"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Other important limitations on the qualified tips provision include:</w:t>
      </w:r>
    </w:p>
    <w:p w14:paraId="05ACEB05" w14:textId="77777777" w:rsidR="00CC3ABE" w:rsidRPr="00DD7BD1" w:rsidRDefault="00CC3ABE" w:rsidP="00CC3ABE">
      <w:pPr>
        <w:pStyle w:val="Heading1"/>
        <w:numPr>
          <w:ilvl w:val="0"/>
          <w:numId w:val="264"/>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55C0D37D"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Illegal Activity Exclusion: Any amount received for illegal activity, prostitution services, or pornographic activity is not a qualified tip.</w:t>
      </w:r>
    </w:p>
    <w:p w14:paraId="617E56D9"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Income Phase-Out: The deduction phases out for taxpayers with modified adjusted gross income over $150,000 ($300,000 for joint filers).</w:t>
      </w:r>
    </w:p>
    <w:p w14:paraId="46D6A703"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Certain Service Business Excluded: Certain specified service trade or business activity is excluded from this provision. Those trades or businesses include: (a) performance of services in the fields of health, law, accounting, actuarial science, 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33D1F24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August 5, 2025, the IRS issued a </w:t>
      </w:r>
      <w:hyperlink r:id="rId286"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1849A0D6"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 fact, the IRS has already released a draft Form W-2 for tax year 2026, which is intended to address the new reporting requirements under the OBBBA for tipped and overtime workers. The draft Form W-2 includes a new Box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5BABE6F1"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IRS is expected to continue releasing guidance on the OBBBA requirements. In the meantime, employers should continue to maintain accurate records and </w:t>
      </w:r>
      <w:proofErr w:type="gramStart"/>
      <w:r w:rsidRPr="00DD7BD1">
        <w:rPr>
          <w:rFonts w:ascii="Calibri" w:eastAsiaTheme="minorHAnsi" w:hAnsi="Calibri" w:cs="Calibri"/>
          <w:b w:val="0"/>
          <w:bCs w:val="0"/>
          <w:sz w:val="22"/>
          <w:szCs w:val="22"/>
        </w:rPr>
        <w:t>plan ahead</w:t>
      </w:r>
      <w:proofErr w:type="gramEnd"/>
      <w:r w:rsidRPr="00DD7BD1">
        <w:rPr>
          <w:rFonts w:ascii="Calibri" w:eastAsiaTheme="minorHAnsi" w:hAnsi="Calibri" w:cs="Calibri"/>
          <w:b w:val="0"/>
          <w:bCs w:val="0"/>
          <w:sz w:val="22"/>
          <w:szCs w:val="22"/>
        </w:rPr>
        <w:t xml:space="preserve"> for new tracking and reporting requirements. While employers can avail themselves of the penalty relief in Notice 2025-62 for not reporting qualified tips or qualified overtime compensation on the relevant Forms W-2 and/or 1099 for tax year 2025 (</w:t>
      </w:r>
      <w:proofErr w:type="gramStart"/>
      <w:r w:rsidRPr="00DD7BD1">
        <w:rPr>
          <w:rFonts w:ascii="Calibri" w:eastAsiaTheme="minorHAnsi" w:hAnsi="Calibri" w:cs="Calibri"/>
          <w:b w:val="0"/>
          <w:bCs w:val="0"/>
          <w:sz w:val="22"/>
          <w:szCs w:val="22"/>
        </w:rPr>
        <w:t>as long as</w:t>
      </w:r>
      <w:proofErr w:type="gramEnd"/>
      <w:r w:rsidRPr="00DD7BD1">
        <w:rPr>
          <w:rFonts w:ascii="Calibri" w:eastAsiaTheme="minorHAnsi" w:hAnsi="Calibri" w:cs="Calibri"/>
          <w:b w:val="0"/>
          <w:bCs w:val="0"/>
          <w:sz w:val="22"/>
          <w:szCs w:val="22"/>
        </w:rPr>
        <w:t xml:space="preserve"> the forms are otherwise accurate, complete, and timely), employers should still make this information available to employees. Because not all tips or overtime may qualify, employers should review existing tip and overtime policies </w:t>
      </w:r>
      <w:proofErr w:type="gramStart"/>
      <w:r w:rsidRPr="00DD7BD1">
        <w:rPr>
          <w:rFonts w:ascii="Calibri" w:eastAsiaTheme="minorHAnsi" w:hAnsi="Calibri" w:cs="Calibri"/>
          <w:b w:val="0"/>
          <w:bCs w:val="0"/>
          <w:sz w:val="22"/>
          <w:szCs w:val="22"/>
        </w:rPr>
        <w:t>in light of</w:t>
      </w:r>
      <w:proofErr w:type="gramEnd"/>
      <w:r w:rsidRPr="00DD7BD1">
        <w:rPr>
          <w:rFonts w:ascii="Calibri" w:eastAsiaTheme="minorHAnsi" w:hAnsi="Calibri" w:cs="Calibri"/>
          <w:b w:val="0"/>
          <w:bCs w:val="0"/>
          <w:sz w:val="22"/>
          <w:szCs w:val="22"/>
        </w:rPr>
        <w:t xml:space="preserve"> the OBBBA and recent IRS guidance to determine applicability.</w:t>
      </w:r>
    </w:p>
    <w:p w14:paraId="6CC7840A"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-November 18, </w:t>
      </w:r>
      <w:proofErr w:type="gramStart"/>
      <w:r w:rsidRPr="00DD7BD1">
        <w:rPr>
          <w:rFonts w:ascii="Calibri" w:eastAsiaTheme="minorHAnsi" w:hAnsi="Calibri" w:cs="Calibri"/>
          <w:b w:val="0"/>
          <w:bCs w:val="0"/>
          <w:kern w:val="0"/>
          <w:sz w:val="22"/>
          <w:szCs w:val="22"/>
        </w:rPr>
        <w:t>2025</w:t>
      </w:r>
      <w:proofErr w:type="gramEnd"/>
      <w:r w:rsidRPr="00DD7BD1">
        <w:rPr>
          <w:rFonts w:ascii="Calibri" w:eastAsiaTheme="minorHAnsi" w:hAnsi="Calibri" w:cs="Calibri"/>
          <w:b w:val="0"/>
          <w:bCs w:val="0"/>
          <w:kern w:val="0"/>
          <w:sz w:val="22"/>
          <w:szCs w:val="22"/>
        </w:rPr>
        <w:t xml:space="preserve"> Blog Post Article published by Ackerman, LLP</w:t>
      </w:r>
    </w:p>
    <w:p w14:paraId="3D21615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p>
    <w:p w14:paraId="449FAA5C" w14:textId="2A0D1A16" w:rsidR="00CC3ABE" w:rsidRPr="00DD7BD1" w:rsidRDefault="00CC3ABE" w:rsidP="00CC3ABE">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BE3945" w:rsidRPr="00DD7BD1">
        <w:rPr>
          <w:rFonts w:ascii="Calibri" w:eastAsiaTheme="minorHAnsi" w:hAnsi="Calibri" w:cs="Calibri"/>
          <w:kern w:val="0"/>
          <w:sz w:val="28"/>
          <w:szCs w:val="28"/>
        </w:rPr>
        <w:t xml:space="preserve">Gag Clause Attestations </w:t>
      </w:r>
      <w:r w:rsidRPr="00DD7BD1">
        <w:rPr>
          <w:rFonts w:ascii="Calibri" w:eastAsiaTheme="minorHAnsi" w:hAnsi="Calibri" w:cs="Calibri"/>
          <w:kern w:val="0"/>
          <w:sz w:val="28"/>
          <w:szCs w:val="28"/>
        </w:rPr>
        <w:t xml:space="preserve">– Deadline </w:t>
      </w:r>
      <w:r w:rsidRPr="00DD7BD1">
        <w:rPr>
          <w:rFonts w:ascii="Calibri" w:eastAsiaTheme="minorHAnsi" w:hAnsi="Calibri" w:cs="Calibri"/>
          <w:color w:val="C00000"/>
          <w:kern w:val="0"/>
          <w:sz w:val="28"/>
          <w:szCs w:val="28"/>
        </w:rPr>
        <w:t>December 31, 2025</w:t>
      </w:r>
    </w:p>
    <w:p w14:paraId="3C5752E7" w14:textId="77777777" w:rsidR="00CC3ABE" w:rsidRPr="00DD7BD1" w:rsidRDefault="00CC3ABE" w:rsidP="00CC3ABE">
      <w:pPr>
        <w:pStyle w:val="BodyText"/>
        <w:spacing w:after="0" w:line="240" w:lineRule="auto"/>
        <w:rPr>
          <w:rFonts w:cs="Calibri"/>
          <w:b/>
          <w:bCs/>
          <w:color w:val="000000" w:themeColor="text1"/>
          <w:szCs w:val="22"/>
        </w:rPr>
      </w:pPr>
      <w:r w:rsidRPr="00DD7BD1">
        <w:rPr>
          <w:rFonts w:cs="Calibri"/>
          <w:color w:val="000000" w:themeColor="text1"/>
          <w:szCs w:val="22"/>
        </w:rPr>
        <w:lastRenderedPageBreak/>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7F873039" w14:textId="77777777" w:rsidR="00C54149" w:rsidRPr="00DD7BD1" w:rsidRDefault="00C54149" w:rsidP="001558B8">
      <w:pPr>
        <w:pStyle w:val="BodyText"/>
        <w:spacing w:after="0" w:line="240" w:lineRule="auto"/>
        <w:ind w:right="274"/>
        <w:rPr>
          <w:rFonts w:eastAsiaTheme="minorHAnsi" w:cs="Calibri"/>
          <w:b/>
          <w:bCs/>
          <w:color w:val="auto"/>
          <w:kern w:val="36"/>
          <w:szCs w:val="22"/>
        </w:rPr>
      </w:pPr>
    </w:p>
    <w:p w14:paraId="6FB75F84" w14:textId="0AF1F66B" w:rsidR="00D326EC" w:rsidRPr="00DD7BD1" w:rsidRDefault="00D326EC"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October Alerts/Reminders:</w:t>
      </w:r>
    </w:p>
    <w:p w14:paraId="3BDC2F97" w14:textId="77777777"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DHS Ends Automatic Extension of Employment Authorization</w:t>
      </w:r>
    </w:p>
    <w:p w14:paraId="091A8DFF" w14:textId="77777777" w:rsidR="00D326EC" w:rsidRPr="00DD7BD1" w:rsidRDefault="00D326EC" w:rsidP="00D326EC">
      <w:pPr>
        <w:pStyle w:val="NormalWeb"/>
        <w:spacing w:before="0" w:beforeAutospacing="0" w:after="0" w:afterAutospacing="0"/>
        <w:rPr>
          <w:rFonts w:ascii="Calibri" w:hAnsi="Calibri" w:cs="Calibri"/>
          <w:sz w:val="22"/>
          <w:szCs w:val="22"/>
        </w:rPr>
      </w:pPr>
      <w:bookmarkStart w:id="4" w:name="m_8429637592762638778_m_-580922486091443"/>
      <w:bookmarkEnd w:id="4"/>
      <w:r w:rsidRPr="00DD7BD1">
        <w:rPr>
          <w:rFonts w:ascii="Calibri" w:hAnsi="Calibri" w:cs="Calibri"/>
          <w:sz w:val="22"/>
          <w:szCs w:val="22"/>
        </w:rPr>
        <w:t>The Department of Homeland Security has announced an </w:t>
      </w:r>
      <w:hyperlink r:id="rId287" w:tgtFrame="_blank" w:history="1">
        <w:r w:rsidRPr="00DD7BD1">
          <w:rPr>
            <w:rStyle w:val="Hyperlink"/>
            <w:rFonts w:ascii="Calibri" w:hAnsi="Calibri" w:cs="Calibri"/>
            <w:color w:val="1155CC"/>
            <w:sz w:val="22"/>
            <w:szCs w:val="22"/>
          </w:rPr>
          <w:t>interim final rule</w:t>
        </w:r>
      </w:hyperlink>
      <w:r w:rsidRPr="00DD7BD1">
        <w:rPr>
          <w:rFonts w:ascii="Calibri" w:hAnsi="Calibri" w:cs="Calibri"/>
          <w:color w:val="222222"/>
          <w:sz w:val="22"/>
          <w:szCs w:val="22"/>
        </w:rPr>
        <w:t> </w:t>
      </w:r>
      <w:r w:rsidRPr="00DD7BD1">
        <w:rPr>
          <w:rFonts w:ascii="Calibri" w:hAnsi="Calibri" w:cs="Calibri"/>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5AC636D1"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0131DF3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Aliens who file to renew their EAD on or after Oct. 30, 2025, will no longer receive an automatic extension of their EAD. There are limited exceptions to this rule, including extensions provided by law or through a Federal Register notice for 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6D94F208"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16B88BC1"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The interim final rule does not affect EADs automatically extended before Oct. 30, 2025.</w:t>
      </w:r>
    </w:p>
    <w:p w14:paraId="40D637FD" w14:textId="77777777" w:rsidR="00D326EC" w:rsidRPr="00DD7BD1" w:rsidRDefault="00D326EC" w:rsidP="00D326EC">
      <w:pPr>
        <w:pStyle w:val="Heading1"/>
        <w:shd w:val="clear" w:color="auto" w:fill="FFFFFF"/>
        <w:spacing w:before="0" w:beforeAutospacing="0" w:after="0" w:afterAutospacing="0"/>
        <w:rPr>
          <w:rFonts w:ascii="Calibri" w:hAnsi="Calibri" w:cs="Calibri"/>
          <w:color w:val="222222"/>
          <w:sz w:val="16"/>
          <w:szCs w:val="16"/>
        </w:rPr>
      </w:pPr>
    </w:p>
    <w:p w14:paraId="752ECCA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r w:rsidRPr="00DD7BD1">
        <w:rPr>
          <w:rFonts w:ascii="Calibri" w:hAnsi="Calibri" w:cs="Calibri"/>
          <w:color w:val="222222"/>
          <w:sz w:val="22"/>
          <w:szCs w:val="22"/>
        </w:rPr>
        <w:t>For more information on applications for employment authorization, visit USCIS’ </w:t>
      </w:r>
      <w:hyperlink r:id="rId288" w:tgtFrame="_blank" w:history="1">
        <w:r w:rsidRPr="00DD7BD1">
          <w:rPr>
            <w:rStyle w:val="Hyperlink"/>
            <w:rFonts w:ascii="Calibri" w:hAnsi="Calibri" w:cs="Calibri"/>
            <w:color w:val="1155CC"/>
            <w:sz w:val="22"/>
            <w:szCs w:val="22"/>
          </w:rPr>
          <w:t>Employment Authorization Document page</w:t>
        </w:r>
      </w:hyperlink>
      <w:r w:rsidRPr="00DD7BD1">
        <w:rPr>
          <w:rFonts w:ascii="Calibri" w:hAnsi="Calibri" w:cs="Calibri"/>
          <w:color w:val="222222"/>
          <w:sz w:val="22"/>
          <w:szCs w:val="22"/>
        </w:rPr>
        <w:t>.</w:t>
      </w:r>
    </w:p>
    <w:p w14:paraId="1F6F455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p>
    <w:p w14:paraId="0AC5014A" w14:textId="467A7C7D"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color w:val="C00000"/>
          <w:kern w:val="0"/>
          <w:sz w:val="28"/>
          <w:szCs w:val="28"/>
          <w:highlight w:val="magenta"/>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October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November 30,</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42CF3B11"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8"/>
          <w:szCs w:val="28"/>
        </w:rPr>
      </w:pPr>
    </w:p>
    <w:p w14:paraId="2319C415" w14:textId="7504223C" w:rsidR="00D326EC" w:rsidRPr="00DD7BD1" w:rsidRDefault="00D326EC" w:rsidP="00D326EC">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636C21" w:rsidRPr="00DD7BD1">
        <w:rPr>
          <w:rFonts w:ascii="Calibri" w:eastAsiaTheme="minorHAnsi" w:hAnsi="Calibri" w:cs="Calibri"/>
          <w:kern w:val="0"/>
          <w:sz w:val="28"/>
          <w:szCs w:val="28"/>
        </w:rPr>
        <w:t>Gag Clause Attestation</w:t>
      </w:r>
      <w:r w:rsidRPr="00DD7BD1">
        <w:rPr>
          <w:rFonts w:ascii="Calibri" w:eastAsiaTheme="minorHAnsi" w:hAnsi="Calibri" w:cs="Calibri"/>
          <w:kern w:val="0"/>
          <w:sz w:val="28"/>
          <w:szCs w:val="28"/>
        </w:rPr>
        <w:t xml:space="preserve"> – Deadline </w:t>
      </w:r>
      <w:r w:rsidRPr="00DD7BD1">
        <w:rPr>
          <w:rFonts w:ascii="Calibri" w:eastAsiaTheme="minorHAnsi" w:hAnsi="Calibri" w:cs="Calibri"/>
          <w:color w:val="C00000"/>
          <w:kern w:val="0"/>
          <w:sz w:val="28"/>
          <w:szCs w:val="28"/>
        </w:rPr>
        <w:t>December 31, 2025</w:t>
      </w:r>
    </w:p>
    <w:p w14:paraId="2E84295B" w14:textId="77777777" w:rsidR="00D326EC" w:rsidRPr="00DD7BD1" w:rsidRDefault="00D326EC" w:rsidP="00D326EC">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1F3345BA" w14:textId="77777777" w:rsidR="00D326EC" w:rsidRPr="00DD7BD1" w:rsidRDefault="00D326EC" w:rsidP="00D326EC">
      <w:pPr>
        <w:pStyle w:val="BodyText"/>
        <w:spacing w:after="0" w:line="240" w:lineRule="auto"/>
        <w:rPr>
          <w:rFonts w:cs="Calibri"/>
          <w:b/>
          <w:bCs/>
          <w:color w:val="000000" w:themeColor="text1"/>
          <w:szCs w:val="22"/>
        </w:rPr>
      </w:pPr>
    </w:p>
    <w:p w14:paraId="0D06B6DB"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Pr="00DD7BD1" w:rsidRDefault="00D326EC" w:rsidP="00D326EC">
      <w:pPr>
        <w:pStyle w:val="BodyText"/>
        <w:spacing w:after="0" w:line="240" w:lineRule="auto"/>
        <w:rPr>
          <w:rFonts w:cs="Calibri"/>
          <w:color w:val="000000" w:themeColor="text1"/>
          <w:szCs w:val="22"/>
        </w:rPr>
      </w:pPr>
    </w:p>
    <w:p w14:paraId="372608DA"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Pr="00DD7BD1" w:rsidRDefault="00D326EC" w:rsidP="00D326EC">
      <w:pPr>
        <w:pStyle w:val="BodyText"/>
        <w:spacing w:after="0" w:line="240" w:lineRule="auto"/>
        <w:rPr>
          <w:rFonts w:cs="Calibri"/>
          <w:color w:val="000000" w:themeColor="text1"/>
          <w:szCs w:val="22"/>
        </w:rPr>
      </w:pPr>
    </w:p>
    <w:p w14:paraId="15F43A1E" w14:textId="77777777" w:rsidR="00D326EC" w:rsidRPr="00DD7BD1" w:rsidRDefault="00D326EC" w:rsidP="00D326EC">
      <w:pPr>
        <w:pStyle w:val="BodyText"/>
        <w:spacing w:after="0" w:line="240" w:lineRule="auto"/>
        <w:rPr>
          <w:rFonts w:cs="Calibri"/>
          <w:color w:val="000000" w:themeColor="text1"/>
        </w:rPr>
      </w:pPr>
      <w:bookmarkStart w:id="5" w:name="_Hlk212645441"/>
      <w:r w:rsidRPr="00DD7BD1">
        <w:rPr>
          <w:rFonts w:cs="Calibri"/>
          <w:color w:val="000000" w:themeColor="text1"/>
        </w:rPr>
        <w:t xml:space="preserve">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the attestation, but the legal responsibility </w:t>
      </w:r>
      <w:r w:rsidRPr="00DD7BD1">
        <w:rPr>
          <w:rFonts w:cs="Calibri"/>
          <w:color w:val="000000" w:themeColor="text1"/>
        </w:rPr>
        <w:lastRenderedPageBreak/>
        <w:t>remains with the health plan. Self-insured employers may need to submit their own attestations if their TPA is unwilling to submit the attestation on their behalf</w:t>
      </w:r>
      <w:bookmarkEnd w:id="5"/>
    </w:p>
    <w:p w14:paraId="55663DA1" w14:textId="77777777" w:rsidR="00D326EC" w:rsidRPr="00DD7BD1" w:rsidRDefault="00D326EC" w:rsidP="00D326EC">
      <w:pPr>
        <w:pStyle w:val="BodyText"/>
        <w:spacing w:after="0" w:line="240" w:lineRule="auto"/>
        <w:rPr>
          <w:rFonts w:cs="Calibri"/>
          <w:color w:val="000000" w:themeColor="text1"/>
          <w:sz w:val="16"/>
          <w:szCs w:val="16"/>
        </w:rPr>
      </w:pPr>
    </w:p>
    <w:p w14:paraId="4E573430" w14:textId="77777777" w:rsidR="00D326EC" w:rsidRPr="00DD7BD1" w:rsidRDefault="00D326EC" w:rsidP="00D326EC">
      <w:pPr>
        <w:pStyle w:val="BodyText"/>
        <w:spacing w:after="0" w:line="240" w:lineRule="auto"/>
        <w:rPr>
          <w:rFonts w:cs="Calibri"/>
          <w:color w:val="000000" w:themeColor="text1"/>
        </w:rPr>
      </w:pPr>
      <w:r w:rsidRPr="00DD7BD1">
        <w:rPr>
          <w:rFonts w:cs="Calibri"/>
          <w:color w:val="000000" w:themeColor="text1"/>
        </w:rPr>
        <w:t xml:space="preserve">According to the Departments’ </w:t>
      </w:r>
      <w:hyperlink r:id="rId289" w:history="1">
        <w:r w:rsidRPr="00DD7BD1">
          <w:rPr>
            <w:rStyle w:val="Hyperlink"/>
            <w:rFonts w:eastAsiaTheme="majorEastAsia" w:cs="Calibri"/>
          </w:rPr>
          <w:t>FAQs</w:t>
        </w:r>
      </w:hyperlink>
      <w:r w:rsidRPr="00DD7BD1">
        <w:rPr>
          <w:rFonts w:cs="Calibri"/>
          <w:color w:val="000000" w:themeColor="text1"/>
        </w:rPr>
        <w:t xml:space="preserve">, health plans and issuers that do not submit their attestations by the deadline may be subject to enforcement action. Employers are encouraged to seek guidance from their </w:t>
      </w:r>
      <w:r w:rsidRPr="00DD7BD1">
        <w:rPr>
          <w:rFonts w:cs="Calibri"/>
          <w:bCs/>
          <w:color w:val="000000" w:themeColor="text1"/>
        </w:rPr>
        <w:t>Benefit Broker.</w:t>
      </w:r>
    </w:p>
    <w:p w14:paraId="0279E218"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18E35F3B" w14:textId="0F51FF1C" w:rsidR="00D326EC" w:rsidRPr="00DD7BD1" w:rsidRDefault="00D326EC" w:rsidP="00D326EC">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6" w:name="_Hlk213072095"/>
      <w:r w:rsidRPr="00DD7BD1">
        <w:rPr>
          <w:rFonts w:ascii="Calibri" w:eastAsiaTheme="minorHAnsi" w:hAnsi="Calibri" w:cs="Calibri"/>
          <w:kern w:val="0"/>
          <w:sz w:val="28"/>
          <w:szCs w:val="28"/>
        </w:rPr>
        <w:t>EEOC Increases Penalty for Violations of Notice-posting Requirements</w:t>
      </w:r>
    </w:p>
    <w:bookmarkEnd w:id="6"/>
    <w:p w14:paraId="65C909DD" w14:textId="77777777" w:rsidR="00D326EC" w:rsidRPr="00DD7BD1" w:rsidRDefault="00D326EC" w:rsidP="00D326EC">
      <w:pPr>
        <w:pStyle w:val="ParagraphBasic"/>
        <w:spacing w:after="0" w:line="240" w:lineRule="auto"/>
        <w:jc w:val="both"/>
        <w:rPr>
          <w:rFonts w:ascii="Calibri" w:hAnsi="Calibri" w:cs="Calibri"/>
        </w:rPr>
      </w:pPr>
      <w:r w:rsidRPr="00DD7BD1">
        <w:rPr>
          <w:rFonts w:ascii="Calibri" w:hAnsi="Calibri" w:cs="Calibri"/>
        </w:rPr>
        <w:t xml:space="preserve">On Sept. 30, 2025, the U.S. Equal Employment Opportunity Commission (EEOC) published a </w:t>
      </w:r>
      <w:hyperlink r:id="rId290" w:history="1">
        <w:r w:rsidRPr="00DD7BD1">
          <w:rPr>
            <w:rStyle w:val="Hyperlink"/>
            <w:rFonts w:ascii="Calibri" w:hAnsi="Calibri" w:cs="Calibri"/>
          </w:rPr>
          <w:t>final rule</w:t>
        </w:r>
      </w:hyperlink>
      <w:r w:rsidRPr="00DD7BD1">
        <w:rPr>
          <w:rFonts w:ascii="Calibri" w:hAnsi="Calibri" w:cs="Calibri"/>
        </w:rPr>
        <w:t xml:space="preserve"> increasing the maximum civil monetary penalty for violations of federal requirements for employers to post notices about fair employment laws in their employees’ workplaces. The new maximum penalty amount is </w:t>
      </w:r>
      <w:r w:rsidRPr="00DD7BD1">
        <w:rPr>
          <w:rFonts w:ascii="Calibri" w:hAnsi="Calibri" w:cs="Calibri"/>
          <w:b/>
          <w:bCs/>
        </w:rPr>
        <w:t>$698</w:t>
      </w:r>
      <w:r w:rsidRPr="00DD7BD1">
        <w:rPr>
          <w:rFonts w:ascii="Calibri" w:hAnsi="Calibri" w:cs="Calibri"/>
        </w:rPr>
        <w:t xml:space="preserve">, which is an increase from $680. </w:t>
      </w:r>
    </w:p>
    <w:p w14:paraId="6C8C534D" w14:textId="77777777" w:rsidR="00D326EC" w:rsidRPr="00DD7BD1" w:rsidRDefault="00D326EC" w:rsidP="00D326EC">
      <w:pPr>
        <w:pStyle w:val="ParagraphBasic"/>
        <w:spacing w:after="0" w:line="240" w:lineRule="auto"/>
        <w:rPr>
          <w:rFonts w:ascii="Calibri" w:hAnsi="Calibri" w:cs="Calibri"/>
          <w:sz w:val="16"/>
          <w:szCs w:val="16"/>
        </w:rPr>
      </w:pPr>
    </w:p>
    <w:p w14:paraId="5E64A004" w14:textId="77777777" w:rsidR="00D326EC" w:rsidRPr="00DD7BD1" w:rsidRDefault="00D326EC" w:rsidP="00D326EC">
      <w:pPr>
        <w:pStyle w:val="ParagraphBasic"/>
        <w:spacing w:after="0" w:line="240" w:lineRule="auto"/>
        <w:rPr>
          <w:rFonts w:ascii="Calibri" w:hAnsi="Calibri" w:cs="Calibri"/>
        </w:rPr>
      </w:pPr>
      <w:r w:rsidRPr="00DD7BD1">
        <w:rPr>
          <w:rFonts w:ascii="Calibri" w:hAnsi="Calibri" w:cs="Calibri"/>
        </w:rPr>
        <w:t xml:space="preserve">This penalty may be assessed against any entity that is required but fails to display notices mandated under Title VII of the Civil Rights Act (Title VII), the Americans with Disabilities Act (ADA), the Genetic Information Nondiscrimination Act (GINA) and the Pregnant Workers Fairness Act (PWFA).  Generally, the laws that require the “Know Your Rights” poster apply to all </w:t>
      </w:r>
      <w:r w:rsidRPr="00DD7BD1">
        <w:rPr>
          <w:rFonts w:ascii="Calibri" w:hAnsi="Calibri" w:cs="Calibri"/>
          <w:u w:val="single"/>
        </w:rPr>
        <w:t>private employers with 15 or more employees</w:t>
      </w:r>
      <w:r w:rsidRPr="00DD7BD1">
        <w:rPr>
          <w:rFonts w:ascii="Calibri" w:hAnsi="Calibri" w:cs="Calibri"/>
        </w:rPr>
        <w:t xml:space="preserve">, state and local governmental employers, labor organizations and joint labor management committees. </w:t>
      </w:r>
    </w:p>
    <w:p w14:paraId="555B9AC9" w14:textId="77777777" w:rsidR="00D326EC" w:rsidRPr="00DD7BD1" w:rsidRDefault="00D326EC" w:rsidP="00D326EC">
      <w:pPr>
        <w:pStyle w:val="ParagraphBasic"/>
        <w:spacing w:after="0" w:line="240" w:lineRule="auto"/>
        <w:rPr>
          <w:rFonts w:ascii="Calibri" w:hAnsi="Calibri" w:cs="Calibri"/>
          <w:sz w:val="16"/>
          <w:szCs w:val="16"/>
        </w:rPr>
      </w:pPr>
    </w:p>
    <w:p w14:paraId="364DE8FC" w14:textId="77777777" w:rsidR="00D326EC" w:rsidRPr="00DD7BD1" w:rsidRDefault="00D326EC" w:rsidP="00D326EC">
      <w:pPr>
        <w:pStyle w:val="ParagraphBasic"/>
        <w:numPr>
          <w:ilvl w:val="0"/>
          <w:numId w:val="250"/>
        </w:numPr>
        <w:spacing w:after="0" w:line="240" w:lineRule="auto"/>
        <w:rPr>
          <w:rFonts w:ascii="Calibri" w:hAnsi="Calibri" w:cs="Calibri"/>
        </w:rPr>
      </w:pPr>
      <w:r w:rsidRPr="00DD7BD1">
        <w:rPr>
          <w:rFonts w:ascii="Calibri" w:hAnsi="Calibri" w:cs="Calibri"/>
        </w:rPr>
        <w:t>The EEOC last issued an updated poster on June 27, 2023, titled “</w:t>
      </w:r>
      <w:hyperlink r:id="rId291" w:history="1">
        <w:r w:rsidRPr="00DD7BD1">
          <w:rPr>
            <w:rStyle w:val="Hyperlink"/>
            <w:rFonts w:ascii="Calibri" w:hAnsi="Calibri" w:cs="Calibri"/>
          </w:rPr>
          <w:t>Know Your Rights: Workplace Discrimination is Illegal</w:t>
        </w:r>
      </w:hyperlink>
      <w:r w:rsidRPr="00DD7BD1">
        <w:rPr>
          <w:rFonts w:ascii="Calibri" w:hAnsi="Calibri" w:cs="Calibri"/>
        </w:rPr>
        <w:t xml:space="preserve">” for covered entities to use to comply with these mandates. </w:t>
      </w:r>
    </w:p>
    <w:p w14:paraId="65EFEED3"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Covered entities must place the posters in conspicuous locations in the workplace where notices to applicants and employees are customarily posted. </w:t>
      </w:r>
    </w:p>
    <w:p w14:paraId="40AA0858"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 xml:space="preserve">The EEOC also encourages covered entities to display the notices digitally on their websites. In most cases, electronic posting should be in addition to a physical posting. However, an electronic poster may be the only one if there is no physical workplace. For example, this may be the case for employees who telework or work remotely and do not visit the employer’s workplace on a regular basis. </w:t>
      </w:r>
      <w:bookmarkStart w:id="7" w:name="_Hlk212641840"/>
    </w:p>
    <w:p w14:paraId="560EDCD4" w14:textId="77777777" w:rsidR="00D326EC" w:rsidRPr="00DD7BD1" w:rsidRDefault="00D326EC" w:rsidP="00D326EC">
      <w:pPr>
        <w:pStyle w:val="BodyText"/>
        <w:spacing w:after="0" w:line="240" w:lineRule="auto"/>
        <w:ind w:right="274"/>
        <w:rPr>
          <w:rFonts w:eastAsiaTheme="minorHAnsi" w:cs="Calibri"/>
          <w:color w:val="auto"/>
          <w:kern w:val="36"/>
          <w:szCs w:val="22"/>
        </w:rPr>
      </w:pPr>
      <w:bookmarkStart w:id="8" w:name="_Hlk197515717"/>
      <w:bookmarkEnd w:id="7"/>
    </w:p>
    <w:p w14:paraId="08EE4582" w14:textId="77777777" w:rsidR="00865E7B" w:rsidRDefault="00865E7B" w:rsidP="00D326EC">
      <w:pPr>
        <w:pStyle w:val="BodyText"/>
        <w:spacing w:after="0" w:line="240" w:lineRule="auto"/>
        <w:ind w:right="274"/>
        <w:jc w:val="center"/>
        <w:rPr>
          <w:rFonts w:eastAsiaTheme="minorHAnsi" w:cs="Calibri"/>
          <w:b/>
          <w:bCs/>
          <w:color w:val="auto"/>
          <w:sz w:val="28"/>
          <w:szCs w:val="28"/>
        </w:rPr>
      </w:pPr>
    </w:p>
    <w:p w14:paraId="23589213" w14:textId="77777777" w:rsidR="00865E7B" w:rsidRDefault="00865E7B" w:rsidP="00D326EC">
      <w:pPr>
        <w:pStyle w:val="BodyText"/>
        <w:spacing w:after="0" w:line="240" w:lineRule="auto"/>
        <w:ind w:right="274"/>
        <w:jc w:val="center"/>
        <w:rPr>
          <w:rFonts w:eastAsiaTheme="minorHAnsi" w:cs="Calibri"/>
          <w:b/>
          <w:bCs/>
          <w:color w:val="auto"/>
          <w:sz w:val="28"/>
          <w:szCs w:val="28"/>
        </w:rPr>
      </w:pPr>
    </w:p>
    <w:p w14:paraId="52B263D4" w14:textId="77777777" w:rsidR="00865E7B" w:rsidRDefault="00865E7B" w:rsidP="00D326EC">
      <w:pPr>
        <w:pStyle w:val="BodyText"/>
        <w:spacing w:after="0" w:line="240" w:lineRule="auto"/>
        <w:ind w:right="274"/>
        <w:jc w:val="center"/>
        <w:rPr>
          <w:rFonts w:eastAsiaTheme="minorHAnsi" w:cs="Calibri"/>
          <w:b/>
          <w:bCs/>
          <w:color w:val="auto"/>
          <w:sz w:val="28"/>
          <w:szCs w:val="28"/>
        </w:rPr>
      </w:pPr>
    </w:p>
    <w:p w14:paraId="1ABE048C" w14:textId="77777777" w:rsidR="00865E7B" w:rsidRDefault="00865E7B" w:rsidP="00D326EC">
      <w:pPr>
        <w:pStyle w:val="BodyText"/>
        <w:spacing w:after="0" w:line="240" w:lineRule="auto"/>
        <w:ind w:right="274"/>
        <w:jc w:val="center"/>
        <w:rPr>
          <w:rFonts w:eastAsiaTheme="minorHAnsi" w:cs="Calibri"/>
          <w:b/>
          <w:bCs/>
          <w:color w:val="auto"/>
          <w:sz w:val="28"/>
          <w:szCs w:val="28"/>
        </w:rPr>
      </w:pPr>
    </w:p>
    <w:p w14:paraId="133A8816" w14:textId="20ACA837" w:rsidR="00D326EC" w:rsidRPr="00DD7BD1" w:rsidRDefault="00D326EC" w:rsidP="00D326EC">
      <w:pPr>
        <w:pStyle w:val="BodyText"/>
        <w:spacing w:after="0" w:line="240" w:lineRule="auto"/>
        <w:ind w:right="274"/>
        <w:jc w:val="center"/>
        <w:rPr>
          <w:rFonts w:eastAsiaTheme="minorHAnsi" w:cs="Calibri"/>
          <w:b/>
          <w:bCs/>
          <w:color w:val="C00000"/>
          <w:sz w:val="28"/>
          <w:szCs w:val="28"/>
        </w:rPr>
      </w:pPr>
      <w:r w:rsidRPr="00DD7BD1">
        <w:rPr>
          <w:rFonts w:eastAsiaTheme="minorHAnsi" w:cs="Calibri"/>
          <w:b/>
          <w:bCs/>
          <w:color w:val="auto"/>
          <w:sz w:val="28"/>
          <w:szCs w:val="28"/>
        </w:rPr>
        <w:t>Employees’ Right to Talk Pay &amp; the NLRA</w:t>
      </w:r>
    </w:p>
    <w:p w14:paraId="47836A04" w14:textId="77777777" w:rsidR="00D326EC" w:rsidRPr="00DD7BD1" w:rsidRDefault="00D326EC" w:rsidP="00D326EC">
      <w:pPr>
        <w:pStyle w:val="BodyText"/>
        <w:spacing w:after="0" w:line="240" w:lineRule="auto"/>
        <w:ind w:right="274"/>
        <w:jc w:val="left"/>
        <w:rPr>
          <w:rFonts w:eastAsiaTheme="minorHAnsi" w:cs="Calibri"/>
          <w:color w:val="auto"/>
          <w:szCs w:val="22"/>
        </w:rPr>
      </w:pPr>
      <w:r w:rsidRPr="00DD7BD1">
        <w:rPr>
          <w:rFonts w:eastAsiaTheme="minorHAnsi" w:cs="Calibr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DD7BD1" w:rsidRDefault="00D326EC" w:rsidP="00D326EC">
      <w:pPr>
        <w:pStyle w:val="BodyText"/>
        <w:spacing w:after="0" w:line="240" w:lineRule="auto"/>
        <w:ind w:right="274"/>
        <w:jc w:val="left"/>
        <w:rPr>
          <w:rFonts w:eastAsiaTheme="minorHAnsi" w:cs="Calibri"/>
          <w:color w:val="auto"/>
          <w:szCs w:val="22"/>
        </w:rPr>
      </w:pPr>
    </w:p>
    <w:p w14:paraId="2F467260"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 xml:space="preserve">It is important to remember that the NLRA covers nearly all private sector employers — not just those with unions. Non-union private sector employers must fully comply with labor law developments because </w:t>
      </w:r>
      <w:proofErr w:type="gramStart"/>
      <w:r w:rsidRPr="00DD7BD1">
        <w:rPr>
          <w:rFonts w:eastAsiaTheme="minorHAnsi" w:cs="Calibri"/>
          <w:color w:val="auto"/>
          <w:szCs w:val="22"/>
        </w:rPr>
        <w:t>all of</w:t>
      </w:r>
      <w:proofErr w:type="gramEnd"/>
      <w:r w:rsidRPr="00DD7BD1">
        <w:rPr>
          <w:rFonts w:eastAsiaTheme="minorHAnsi" w:cs="Calibri"/>
          <w:color w:val="auto"/>
          <w:szCs w:val="22"/>
        </w:rPr>
        <w:t xml:space="preserve"> their employees are protected by the NLRA, even in the absence of union representation.</w:t>
      </w:r>
    </w:p>
    <w:p w14:paraId="3C9EA7D7"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DD7BD1" w:rsidRDefault="00D326EC" w:rsidP="00D326EC">
      <w:pPr>
        <w:pStyle w:val="BodyText"/>
        <w:spacing w:after="0"/>
        <w:ind w:right="274"/>
        <w:rPr>
          <w:rFonts w:eastAsiaTheme="minorHAnsi" w:cs="Calibri"/>
          <w:color w:val="auto"/>
          <w:szCs w:val="22"/>
        </w:rPr>
      </w:pPr>
    </w:p>
    <w:p w14:paraId="7B23C1EA"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lastRenderedPageBreak/>
        <w:t>The bottom line is that employees have a right to discuss wages and other terms and conditions of employment. Restricting those discussions could lead to unfair labor practice charges, so it is important that employers respect employees' Section 7 rights.</w:t>
      </w:r>
    </w:p>
    <w:bookmarkEnd w:id="8"/>
    <w:p w14:paraId="4969B613" w14:textId="77777777" w:rsidR="00D326EC" w:rsidRPr="00DD7BD1" w:rsidRDefault="00D326EC" w:rsidP="001558B8">
      <w:pPr>
        <w:pStyle w:val="BodyText"/>
        <w:spacing w:after="0" w:line="240" w:lineRule="auto"/>
        <w:ind w:right="274"/>
        <w:rPr>
          <w:rFonts w:eastAsiaTheme="minorHAnsi" w:cs="Calibri"/>
          <w:b/>
          <w:bCs/>
          <w:color w:val="auto"/>
          <w:kern w:val="36"/>
          <w:szCs w:val="22"/>
        </w:rPr>
      </w:pPr>
    </w:p>
    <w:p w14:paraId="0658B1EB" w14:textId="791F171A" w:rsidR="00E43496" w:rsidRPr="00DD7BD1" w:rsidRDefault="00E43496"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Aug/September Articles/Reminders:</w:t>
      </w:r>
    </w:p>
    <w:p w14:paraId="5FE2909A" w14:textId="3E290CCE" w:rsidR="00E43496" w:rsidRPr="00DD7BD1" w:rsidRDefault="00E43496" w:rsidP="00E43496">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Medicare Part D Notice – Due before </w:t>
      </w:r>
      <w:r w:rsidRPr="00DD7BD1">
        <w:rPr>
          <w:rFonts w:ascii="Calibri" w:eastAsiaTheme="minorHAnsi" w:hAnsi="Calibri" w:cs="Calibri"/>
          <w:color w:val="C00000"/>
          <w:kern w:val="0"/>
          <w:sz w:val="28"/>
          <w:szCs w:val="28"/>
        </w:rPr>
        <w:t>Oct 14, 2025</w:t>
      </w:r>
    </w:p>
    <w:p w14:paraId="11D2418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Annual</w:t>
      </w:r>
      <w:r w:rsidRPr="00DD7BD1">
        <w:rPr>
          <w:rFonts w:cs="Calibri"/>
          <w:color w:val="auto"/>
          <w:spacing w:val="-17"/>
          <w:w w:val="110"/>
          <w:szCs w:val="22"/>
        </w:rPr>
        <w:t xml:space="preserve"> </w:t>
      </w:r>
      <w:r w:rsidRPr="00DD7BD1">
        <w:rPr>
          <w:rFonts w:cs="Calibri"/>
          <w:color w:val="auto"/>
          <w:w w:val="110"/>
          <w:szCs w:val="22"/>
        </w:rPr>
        <w:t>Creditable</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7"/>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Deadline</w:t>
      </w:r>
      <w:r w:rsidRPr="00DD7BD1">
        <w:rPr>
          <w:rFonts w:cs="Calibri"/>
          <w:color w:val="auto"/>
          <w:spacing w:val="-16"/>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just</w:t>
      </w:r>
      <w:r w:rsidRPr="00DD7BD1">
        <w:rPr>
          <w:rFonts w:cs="Calibri"/>
          <w:color w:val="auto"/>
          <w:spacing w:val="-17"/>
          <w:w w:val="110"/>
          <w:szCs w:val="22"/>
        </w:rPr>
        <w:t xml:space="preserve"> </w:t>
      </w:r>
      <w:r w:rsidRPr="00DD7BD1">
        <w:rPr>
          <w:rFonts w:cs="Calibri"/>
          <w:color w:val="auto"/>
          <w:w w:val="110"/>
          <w:szCs w:val="22"/>
        </w:rPr>
        <w:t>around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corner</w:t>
      </w:r>
      <w:r w:rsidRPr="00DD7BD1">
        <w:rPr>
          <w:rFonts w:cs="Calibri"/>
          <w:color w:val="auto"/>
          <w:spacing w:val="-16"/>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14.</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disclose to</w:t>
      </w:r>
      <w:r w:rsidRPr="00DD7BD1">
        <w:rPr>
          <w:rFonts w:cs="Calibri"/>
          <w:color w:val="auto"/>
          <w:spacing w:val="-4"/>
          <w:w w:val="110"/>
          <w:szCs w:val="22"/>
        </w:rPr>
        <w:t xml:space="preserve"> </w:t>
      </w:r>
      <w:r w:rsidRPr="00DD7BD1">
        <w:rPr>
          <w:rFonts w:cs="Calibri"/>
          <w:color w:val="auto"/>
          <w:w w:val="110"/>
          <w:szCs w:val="22"/>
        </w:rPr>
        <w:t>Medicare-eligible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participants whether</w:t>
      </w:r>
      <w:r w:rsidRPr="00DD7BD1">
        <w:rPr>
          <w:rFonts w:cs="Calibri"/>
          <w:color w:val="auto"/>
          <w:spacing w:val="-7"/>
          <w:w w:val="110"/>
          <w:szCs w:val="22"/>
        </w:rPr>
        <w:t xml:space="preserve"> </w:t>
      </w:r>
      <w:r w:rsidRPr="00DD7BD1">
        <w:rPr>
          <w:rFonts w:cs="Calibri"/>
          <w:color w:val="auto"/>
          <w:w w:val="110"/>
          <w:szCs w:val="22"/>
        </w:rPr>
        <w:t>offered</w:t>
      </w:r>
      <w:r w:rsidRPr="00DD7BD1">
        <w:rPr>
          <w:rFonts w:cs="Calibri"/>
          <w:color w:val="auto"/>
          <w:spacing w:val="-4"/>
          <w:w w:val="110"/>
          <w:szCs w:val="22"/>
        </w:rPr>
        <w:t xml:space="preserve"> </w:t>
      </w:r>
      <w:r w:rsidRPr="00DD7BD1">
        <w:rPr>
          <w:rFonts w:cs="Calibri"/>
          <w:color w:val="auto"/>
          <w:w w:val="110"/>
          <w:szCs w:val="22"/>
        </w:rPr>
        <w:t>prescription</w:t>
      </w:r>
      <w:r w:rsidRPr="00DD7BD1">
        <w:rPr>
          <w:rFonts w:cs="Calibri"/>
          <w:color w:val="auto"/>
          <w:spacing w:val="-7"/>
          <w:w w:val="110"/>
          <w:szCs w:val="22"/>
        </w:rPr>
        <w:t xml:space="preserve"> </w:t>
      </w:r>
      <w:r w:rsidRPr="00DD7BD1">
        <w:rPr>
          <w:rFonts w:cs="Calibri"/>
          <w:color w:val="auto"/>
          <w:w w:val="110"/>
          <w:szCs w:val="22"/>
        </w:rPr>
        <w:t>drug</w:t>
      </w:r>
      <w:r w:rsidRPr="00DD7BD1">
        <w:rPr>
          <w:rFonts w:cs="Calibri"/>
          <w:color w:val="auto"/>
          <w:spacing w:val="-4"/>
          <w:w w:val="110"/>
          <w:szCs w:val="22"/>
        </w:rPr>
        <w:t xml:space="preserve"> </w:t>
      </w:r>
      <w:r w:rsidRPr="00DD7BD1">
        <w:rPr>
          <w:rFonts w:cs="Calibri"/>
          <w:color w:val="auto"/>
          <w:w w:val="110"/>
          <w:szCs w:val="22"/>
        </w:rPr>
        <w:t>coverage</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creditable</w:t>
      </w:r>
      <w:r w:rsidRPr="00DD7BD1">
        <w:rPr>
          <w:rFonts w:cs="Calibri"/>
          <w:color w:val="auto"/>
          <w:spacing w:val="-7"/>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5"/>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good</w:t>
      </w:r>
      <w:r w:rsidRPr="00DD7BD1">
        <w:rPr>
          <w:rFonts w:cs="Calibri"/>
          <w:color w:val="auto"/>
          <w:spacing w:val="-7"/>
          <w:w w:val="110"/>
          <w:szCs w:val="22"/>
        </w:rPr>
        <w:t xml:space="preserve"> </w:t>
      </w:r>
      <w:r w:rsidRPr="00DD7BD1">
        <w:rPr>
          <w:rFonts w:cs="Calibri"/>
          <w:color w:val="auto"/>
          <w:w w:val="110"/>
          <w:szCs w:val="22"/>
        </w:rPr>
        <w:t>as Medicare Part D benefits) or non-creditable.</w:t>
      </w:r>
    </w:p>
    <w:p w14:paraId="4A28D33A" w14:textId="77777777" w:rsidR="00E43496" w:rsidRPr="00DD7BD1" w:rsidRDefault="00E43496" w:rsidP="00E43496">
      <w:pPr>
        <w:pStyle w:val="BodyText"/>
        <w:spacing w:after="0" w:line="240" w:lineRule="auto"/>
        <w:ind w:right="-270"/>
        <w:jc w:val="left"/>
        <w:rPr>
          <w:rFonts w:cs="Calibri"/>
          <w:color w:val="auto"/>
          <w:sz w:val="16"/>
          <w:szCs w:val="16"/>
        </w:rPr>
      </w:pPr>
    </w:p>
    <w:p w14:paraId="1B3C233A"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szCs w:val="22"/>
        </w:rPr>
        <w:t>Employers</w:t>
      </w:r>
      <w:r w:rsidRPr="00DD7BD1">
        <w:rPr>
          <w:rFonts w:cs="Calibri"/>
          <w:color w:val="auto"/>
          <w:spacing w:val="33"/>
          <w:szCs w:val="22"/>
        </w:rPr>
        <w:t xml:space="preserve"> </w:t>
      </w:r>
      <w:r w:rsidRPr="00DD7BD1">
        <w:rPr>
          <w:rFonts w:cs="Calibri"/>
          <w:color w:val="auto"/>
          <w:szCs w:val="22"/>
        </w:rPr>
        <w:t>are</w:t>
      </w:r>
      <w:r w:rsidRPr="00DD7BD1">
        <w:rPr>
          <w:rFonts w:cs="Calibri"/>
          <w:color w:val="auto"/>
          <w:spacing w:val="33"/>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provide</w:t>
      </w:r>
      <w:r w:rsidRPr="00DD7BD1">
        <w:rPr>
          <w:rFonts w:cs="Calibri"/>
          <w:color w:val="auto"/>
          <w:spacing w:val="30"/>
          <w:szCs w:val="22"/>
        </w:rPr>
        <w:t xml:space="preserve"> </w:t>
      </w:r>
      <w:r w:rsidRPr="00DD7BD1">
        <w:rPr>
          <w:rFonts w:cs="Calibri"/>
          <w:color w:val="auto"/>
          <w:szCs w:val="22"/>
        </w:rPr>
        <w:t>notice</w:t>
      </w:r>
      <w:r w:rsidRPr="00DD7BD1">
        <w:rPr>
          <w:rFonts w:cs="Calibri"/>
          <w:color w:val="auto"/>
          <w:spacing w:val="28"/>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all</w:t>
      </w:r>
      <w:r w:rsidRPr="00DD7BD1">
        <w:rPr>
          <w:rFonts w:cs="Calibri"/>
          <w:color w:val="auto"/>
          <w:spacing w:val="30"/>
          <w:szCs w:val="22"/>
        </w:rPr>
        <w:t xml:space="preserve"> </w:t>
      </w:r>
      <w:r w:rsidRPr="00DD7BD1">
        <w:rPr>
          <w:rFonts w:cs="Calibri"/>
          <w:color w:val="auto"/>
          <w:szCs w:val="22"/>
        </w:rPr>
        <w:t>Part</w:t>
      </w:r>
      <w:r w:rsidRPr="00DD7BD1">
        <w:rPr>
          <w:rFonts w:cs="Calibri"/>
          <w:color w:val="auto"/>
          <w:spacing w:val="31"/>
          <w:szCs w:val="22"/>
        </w:rPr>
        <w:t xml:space="preserve"> </w:t>
      </w:r>
      <w:r w:rsidRPr="00DD7BD1">
        <w:rPr>
          <w:rFonts w:cs="Calibri"/>
          <w:color w:val="auto"/>
          <w:szCs w:val="22"/>
        </w:rPr>
        <w:t>D</w:t>
      </w:r>
      <w:r w:rsidRPr="00DD7BD1">
        <w:rPr>
          <w:rFonts w:cs="Calibri"/>
          <w:color w:val="auto"/>
          <w:spacing w:val="26"/>
          <w:szCs w:val="22"/>
        </w:rPr>
        <w:t xml:space="preserve"> </w:t>
      </w:r>
      <w:r w:rsidRPr="00DD7BD1">
        <w:rPr>
          <w:rFonts w:cs="Calibri"/>
          <w:color w:val="auto"/>
          <w:szCs w:val="22"/>
        </w:rPr>
        <w:t>eligible</w:t>
      </w:r>
      <w:r w:rsidRPr="00DD7BD1">
        <w:rPr>
          <w:rFonts w:cs="Calibri"/>
          <w:color w:val="auto"/>
          <w:spacing w:val="33"/>
          <w:szCs w:val="22"/>
        </w:rPr>
        <w:t xml:space="preserve"> </w:t>
      </w:r>
      <w:r w:rsidRPr="00DD7BD1">
        <w:rPr>
          <w:rFonts w:cs="Calibri"/>
          <w:color w:val="auto"/>
          <w:szCs w:val="22"/>
        </w:rPr>
        <w:t>individuals,</w:t>
      </w:r>
      <w:r w:rsidRPr="00DD7BD1">
        <w:rPr>
          <w:rFonts w:cs="Calibri"/>
          <w:color w:val="auto"/>
          <w:spacing w:val="28"/>
          <w:szCs w:val="22"/>
        </w:rPr>
        <w:t xml:space="preserve"> </w:t>
      </w:r>
      <w:r w:rsidRPr="00DD7BD1">
        <w:rPr>
          <w:rFonts w:cs="Calibri"/>
          <w:color w:val="auto"/>
          <w:szCs w:val="22"/>
        </w:rPr>
        <w:t>or</w:t>
      </w:r>
      <w:r w:rsidRPr="00DD7BD1">
        <w:rPr>
          <w:rFonts w:cs="Calibri"/>
          <w:color w:val="auto"/>
          <w:spacing w:val="31"/>
          <w:szCs w:val="22"/>
        </w:rPr>
        <w:t xml:space="preserve"> </w:t>
      </w:r>
      <w:r w:rsidRPr="00DD7BD1">
        <w:rPr>
          <w:rFonts w:cs="Calibri"/>
          <w:color w:val="auto"/>
          <w:szCs w:val="22"/>
        </w:rPr>
        <w:t>those</w:t>
      </w:r>
      <w:r w:rsidRPr="00DD7BD1">
        <w:rPr>
          <w:rFonts w:cs="Calibri"/>
          <w:color w:val="auto"/>
          <w:spacing w:val="28"/>
          <w:szCs w:val="22"/>
        </w:rPr>
        <w:t xml:space="preserve"> </w:t>
      </w:r>
      <w:r w:rsidRPr="00DD7BD1">
        <w:rPr>
          <w:rFonts w:cs="Calibri"/>
          <w:color w:val="auto"/>
          <w:szCs w:val="22"/>
        </w:rPr>
        <w:t>about</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become</w:t>
      </w:r>
      <w:r w:rsidRPr="00DD7BD1">
        <w:rPr>
          <w:rFonts w:cs="Calibri"/>
          <w:color w:val="auto"/>
          <w:spacing w:val="33"/>
          <w:szCs w:val="22"/>
        </w:rPr>
        <w:t xml:space="preserve"> </w:t>
      </w:r>
      <w:r w:rsidRPr="00DD7BD1">
        <w:rPr>
          <w:rFonts w:cs="Calibri"/>
          <w:color w:val="auto"/>
          <w:szCs w:val="22"/>
        </w:rPr>
        <w:t>eligible,</w:t>
      </w:r>
      <w:r w:rsidRPr="00DD7BD1">
        <w:rPr>
          <w:rFonts w:cs="Calibri"/>
          <w:color w:val="auto"/>
          <w:spacing w:val="28"/>
          <w:szCs w:val="22"/>
        </w:rPr>
        <w:t xml:space="preserve"> </w:t>
      </w:r>
      <w:r w:rsidRPr="00DD7BD1">
        <w:rPr>
          <w:rFonts w:cs="Calibri"/>
          <w:color w:val="auto"/>
          <w:szCs w:val="22"/>
        </w:rPr>
        <w:t>prior</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 xml:space="preserve">October </w:t>
      </w:r>
      <w:r w:rsidRPr="00DD7BD1">
        <w:rPr>
          <w:rFonts w:cs="Calibri"/>
          <w:color w:val="auto"/>
          <w:w w:val="110"/>
          <w:szCs w:val="22"/>
        </w:rPr>
        <w:t>15</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6"/>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health</w:t>
      </w:r>
      <w:r w:rsidRPr="00DD7BD1">
        <w:rPr>
          <w:rFonts w:cs="Calibri"/>
          <w:color w:val="auto"/>
          <w:spacing w:val="-9"/>
          <w:w w:val="110"/>
          <w:szCs w:val="22"/>
        </w:rPr>
        <w:t xml:space="preserve"> </w:t>
      </w:r>
      <w:r w:rsidRPr="00DD7BD1">
        <w:rPr>
          <w:rFonts w:cs="Calibri"/>
          <w:color w:val="auto"/>
          <w:w w:val="110"/>
          <w:szCs w:val="22"/>
        </w:rPr>
        <w:t>plan</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outpatient</w:t>
      </w:r>
      <w:r w:rsidRPr="00DD7BD1">
        <w:rPr>
          <w:rFonts w:cs="Calibri"/>
          <w:color w:val="auto"/>
          <w:spacing w:val="-6"/>
          <w:w w:val="110"/>
          <w:szCs w:val="22"/>
        </w:rPr>
        <w:t xml:space="preserve"> </w:t>
      </w:r>
      <w:r w:rsidRPr="00DD7BD1">
        <w:rPr>
          <w:rFonts w:cs="Calibri"/>
          <w:color w:val="auto"/>
          <w:w w:val="110"/>
          <w:szCs w:val="22"/>
        </w:rPr>
        <w:t>prescription</w:t>
      </w:r>
      <w:r w:rsidRPr="00DD7BD1">
        <w:rPr>
          <w:rFonts w:cs="Calibri"/>
          <w:color w:val="auto"/>
          <w:spacing w:val="-5"/>
          <w:w w:val="110"/>
          <w:szCs w:val="22"/>
        </w:rPr>
        <w:t xml:space="preserve"> </w:t>
      </w:r>
      <w:r w:rsidRPr="00DD7BD1">
        <w:rPr>
          <w:rFonts w:cs="Calibri"/>
          <w:color w:val="auto"/>
          <w:w w:val="110"/>
          <w:szCs w:val="22"/>
        </w:rPr>
        <w:t>drug</w:t>
      </w:r>
      <w:r w:rsidRPr="00DD7BD1">
        <w:rPr>
          <w:rFonts w:cs="Calibri"/>
          <w:color w:val="auto"/>
          <w:spacing w:val="-9"/>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regardless of</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6"/>
          <w:w w:val="110"/>
          <w:szCs w:val="22"/>
        </w:rPr>
        <w:t xml:space="preserve"> </w:t>
      </w:r>
      <w:r w:rsidRPr="00DD7BD1">
        <w:rPr>
          <w:rFonts w:cs="Calibri"/>
          <w:color w:val="auto"/>
          <w:w w:val="110"/>
          <w:szCs w:val="22"/>
        </w:rPr>
        <w:t>primary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secondary</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Medicare.</w:t>
      </w:r>
      <w:r w:rsidRPr="00DD7BD1">
        <w:rPr>
          <w:rFonts w:cs="Calibri"/>
          <w:color w:val="auto"/>
          <w:spacing w:val="38"/>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provided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all</w:t>
      </w:r>
      <w:r w:rsidRPr="00DD7BD1">
        <w:rPr>
          <w:rFonts w:cs="Calibri"/>
          <w:color w:val="auto"/>
          <w:spacing w:val="-16"/>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 eligible</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5"/>
          <w:w w:val="110"/>
          <w:szCs w:val="22"/>
        </w:rPr>
        <w:t xml:space="preserve"> </w:t>
      </w:r>
      <w:r w:rsidRPr="00DD7BD1">
        <w:rPr>
          <w:rFonts w:cs="Calibri"/>
          <w:color w:val="auto"/>
          <w:w w:val="110"/>
          <w:szCs w:val="22"/>
        </w:rPr>
        <w:t>whether</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3"/>
          <w:w w:val="110"/>
          <w:szCs w:val="22"/>
        </w:rPr>
        <w:t xml:space="preserve"> </w:t>
      </w:r>
      <w:r w:rsidRPr="00DD7BD1">
        <w:rPr>
          <w:rFonts w:cs="Calibri"/>
          <w:color w:val="auto"/>
          <w:w w:val="110"/>
          <w:szCs w:val="22"/>
        </w:rPr>
        <w:t>active</w:t>
      </w:r>
      <w:r w:rsidRPr="00DD7BD1">
        <w:rPr>
          <w:rFonts w:cs="Calibri"/>
          <w:color w:val="auto"/>
          <w:spacing w:val="-3"/>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retirees,</w:t>
      </w:r>
      <w:r w:rsidRPr="00DD7BD1">
        <w:rPr>
          <w:rFonts w:cs="Calibri"/>
          <w:color w:val="auto"/>
          <w:spacing w:val="-5"/>
          <w:w w:val="110"/>
          <w:szCs w:val="22"/>
        </w:rPr>
        <w:t xml:space="preserve"> </w:t>
      </w:r>
      <w:r w:rsidRPr="00DD7BD1">
        <w:rPr>
          <w:rFonts w:cs="Calibri"/>
          <w:color w:val="auto"/>
          <w:w w:val="110"/>
          <w:szCs w:val="22"/>
        </w:rPr>
        <w:t>COBRA</w:t>
      </w:r>
      <w:r w:rsidRPr="00DD7BD1">
        <w:rPr>
          <w:rFonts w:cs="Calibri"/>
          <w:color w:val="auto"/>
          <w:spacing w:val="-7"/>
          <w:w w:val="110"/>
          <w:szCs w:val="22"/>
        </w:rPr>
        <w:t xml:space="preserve"> </w:t>
      </w:r>
      <w:r w:rsidRPr="00DD7BD1">
        <w:rPr>
          <w:rFonts w:cs="Calibri"/>
          <w:color w:val="auto"/>
          <w:w w:val="110"/>
          <w:szCs w:val="22"/>
        </w:rPr>
        <w:t>recipients,</w:t>
      </w:r>
      <w:r w:rsidRPr="00DD7BD1">
        <w:rPr>
          <w:rFonts w:cs="Calibri"/>
          <w:color w:val="auto"/>
          <w:spacing w:val="-5"/>
          <w:w w:val="110"/>
          <w:szCs w:val="22"/>
        </w:rPr>
        <w:t xml:space="preserve"> </w:t>
      </w:r>
      <w:r w:rsidRPr="00DD7BD1">
        <w:rPr>
          <w:rFonts w:cs="Calibri"/>
          <w:color w:val="auto"/>
          <w:w w:val="110"/>
          <w:szCs w:val="22"/>
        </w:rPr>
        <w:t>disabled</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as dependents.</w:t>
      </w:r>
      <w:r w:rsidRPr="00DD7BD1">
        <w:rPr>
          <w:rFonts w:cs="Calibri"/>
          <w:color w:val="auto"/>
          <w:spacing w:val="40"/>
          <w:w w:val="110"/>
          <w:szCs w:val="22"/>
        </w:rPr>
        <w:t xml:space="preserve"> </w:t>
      </w:r>
      <w:r w:rsidRPr="00DD7BD1">
        <w:rPr>
          <w:rFonts w:cs="Calibri"/>
          <w:color w:val="auto"/>
          <w:w w:val="110"/>
          <w:szCs w:val="22"/>
        </w:rPr>
        <w:t>Plan</w:t>
      </w:r>
      <w:r w:rsidRPr="00DD7BD1">
        <w:rPr>
          <w:rFonts w:cs="Calibri"/>
          <w:color w:val="auto"/>
          <w:spacing w:val="-13"/>
          <w:w w:val="110"/>
          <w:szCs w:val="22"/>
        </w:rPr>
        <w:t xml:space="preserve"> </w:t>
      </w:r>
      <w:r w:rsidRPr="00DD7BD1">
        <w:rPr>
          <w:rFonts w:cs="Calibri"/>
          <w:color w:val="auto"/>
          <w:w w:val="110"/>
          <w:szCs w:val="22"/>
        </w:rPr>
        <w:t>participants</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Part</w:t>
      </w:r>
      <w:r w:rsidRPr="00DD7BD1">
        <w:rPr>
          <w:rFonts w:cs="Calibri"/>
          <w:color w:val="auto"/>
          <w:spacing w:val="-11"/>
          <w:w w:val="110"/>
          <w:szCs w:val="22"/>
        </w:rPr>
        <w:t xml:space="preserve"> </w:t>
      </w:r>
      <w:r w:rsidRPr="00DD7BD1">
        <w:rPr>
          <w:rFonts w:cs="Calibri"/>
          <w:color w:val="auto"/>
          <w:w w:val="110"/>
          <w:szCs w:val="22"/>
        </w:rPr>
        <w:t>D</w:t>
      </w:r>
      <w:r w:rsidRPr="00DD7BD1">
        <w:rPr>
          <w:rFonts w:cs="Calibri"/>
          <w:color w:val="auto"/>
          <w:spacing w:val="-14"/>
          <w:w w:val="110"/>
          <w:szCs w:val="22"/>
        </w:rPr>
        <w:t xml:space="preserve"> </w:t>
      </w:r>
      <w:r w:rsidRPr="00DD7BD1">
        <w:rPr>
          <w:rFonts w:cs="Calibri"/>
          <w:color w:val="auto"/>
          <w:w w:val="110"/>
          <w:szCs w:val="22"/>
        </w:rPr>
        <w:t>eligible</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0"/>
          <w:w w:val="110"/>
          <w:szCs w:val="22"/>
        </w:rPr>
        <w:t xml:space="preserve"> </w:t>
      </w:r>
      <w:r w:rsidRPr="00DD7BD1">
        <w:rPr>
          <w:rFonts w:cs="Calibri"/>
          <w:color w:val="auto"/>
          <w:w w:val="110"/>
          <w:szCs w:val="22"/>
        </w:rPr>
        <w:t>65</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3"/>
          <w:w w:val="110"/>
          <w:szCs w:val="22"/>
        </w:rPr>
        <w:t xml:space="preserve"> </w:t>
      </w:r>
      <w:r w:rsidRPr="00DD7BD1">
        <w:rPr>
          <w:rFonts w:cs="Calibri"/>
          <w:color w:val="auto"/>
          <w:w w:val="110"/>
          <w:szCs w:val="22"/>
        </w:rPr>
        <w:t>more</w:t>
      </w:r>
      <w:r w:rsidRPr="00DD7BD1">
        <w:rPr>
          <w:rFonts w:cs="Calibri"/>
          <w:color w:val="auto"/>
          <w:spacing w:val="-12"/>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old,</w:t>
      </w:r>
      <w:r w:rsidRPr="00DD7BD1">
        <w:rPr>
          <w:rFonts w:cs="Calibri"/>
          <w:color w:val="auto"/>
          <w:spacing w:val="-11"/>
          <w:w w:val="110"/>
          <w:szCs w:val="22"/>
        </w:rPr>
        <w:t xml:space="preserve"> </w:t>
      </w:r>
      <w:r w:rsidRPr="00DD7BD1">
        <w:rPr>
          <w:rFonts w:cs="Calibri"/>
          <w:color w:val="auto"/>
          <w:w w:val="110"/>
          <w:szCs w:val="22"/>
        </w:rPr>
        <w:t>three</w:t>
      </w:r>
      <w:r w:rsidRPr="00DD7BD1">
        <w:rPr>
          <w:rFonts w:cs="Calibri"/>
          <w:color w:val="auto"/>
          <w:spacing w:val="-12"/>
          <w:w w:val="110"/>
          <w:szCs w:val="22"/>
        </w:rPr>
        <w:t xml:space="preserve"> </w:t>
      </w:r>
      <w:r w:rsidRPr="00DD7BD1">
        <w:rPr>
          <w:rFonts w:cs="Calibri"/>
          <w:color w:val="auto"/>
          <w:w w:val="110"/>
          <w:szCs w:val="22"/>
        </w:rPr>
        <w:t>months</w:t>
      </w:r>
      <w:r w:rsidRPr="00DD7BD1">
        <w:rPr>
          <w:rFonts w:cs="Calibri"/>
          <w:color w:val="auto"/>
          <w:spacing w:val="-12"/>
          <w:w w:val="110"/>
          <w:szCs w:val="22"/>
        </w:rPr>
        <w:t xml:space="preserve"> </w:t>
      </w:r>
      <w:r w:rsidRPr="00DD7BD1">
        <w:rPr>
          <w:rFonts w:cs="Calibri"/>
          <w:color w:val="auto"/>
          <w:w w:val="110"/>
          <w:szCs w:val="22"/>
        </w:rPr>
        <w:t>before</w:t>
      </w:r>
      <w:r w:rsidRPr="00DD7BD1">
        <w:rPr>
          <w:rFonts w:cs="Calibri"/>
          <w:color w:val="auto"/>
          <w:spacing w:val="-11"/>
          <w:w w:val="110"/>
          <w:szCs w:val="22"/>
        </w:rPr>
        <w:t xml:space="preserve"> </w:t>
      </w:r>
      <w:r w:rsidRPr="00DD7BD1">
        <w:rPr>
          <w:rFonts w:cs="Calibri"/>
          <w:color w:val="auto"/>
          <w:w w:val="110"/>
          <w:szCs w:val="22"/>
        </w:rPr>
        <w:t>turning</w:t>
      </w:r>
      <w:r w:rsidRPr="00DD7BD1">
        <w:rPr>
          <w:rFonts w:cs="Calibri"/>
          <w:color w:val="auto"/>
          <w:spacing w:val="-10"/>
          <w:w w:val="110"/>
          <w:szCs w:val="22"/>
        </w:rPr>
        <w:t xml:space="preserve"> </w:t>
      </w:r>
      <w:r w:rsidRPr="00DD7BD1">
        <w:rPr>
          <w:rFonts w:cs="Calibri"/>
          <w:color w:val="auto"/>
          <w:w w:val="110"/>
          <w:szCs w:val="22"/>
        </w:rPr>
        <w:t>age 65, and/or if they are disabled.</w:t>
      </w:r>
    </w:p>
    <w:p w14:paraId="6D2022A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szCs w:val="22"/>
        </w:rPr>
        <w:t>Providing</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40"/>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within</w:t>
      </w:r>
      <w:r w:rsidRPr="00DD7BD1">
        <w:rPr>
          <w:rFonts w:cs="Calibri"/>
          <w:color w:val="auto"/>
          <w:spacing w:val="40"/>
          <w:szCs w:val="22"/>
        </w:rPr>
        <w:t xml:space="preserve"> </w:t>
      </w:r>
      <w:r w:rsidRPr="00DD7BD1">
        <w:rPr>
          <w:rFonts w:cs="Calibri"/>
          <w:color w:val="auto"/>
          <w:szCs w:val="22"/>
        </w:rPr>
        <w:t>your</w:t>
      </w:r>
      <w:r w:rsidRPr="00DD7BD1">
        <w:rPr>
          <w:rFonts w:cs="Calibri"/>
          <w:color w:val="auto"/>
          <w:spacing w:val="40"/>
          <w:szCs w:val="22"/>
        </w:rPr>
        <w:t xml:space="preserve"> </w:t>
      </w:r>
      <w:r w:rsidRPr="00DD7BD1">
        <w:rPr>
          <w:rFonts w:cs="Calibri"/>
          <w:color w:val="auto"/>
          <w:szCs w:val="22"/>
        </w:rPr>
        <w:t>enrollment</w:t>
      </w:r>
      <w:r w:rsidRPr="00DD7BD1">
        <w:rPr>
          <w:rFonts w:cs="Calibri"/>
          <w:color w:val="auto"/>
          <w:spacing w:val="40"/>
          <w:szCs w:val="22"/>
        </w:rPr>
        <w:t xml:space="preserve"> </w:t>
      </w:r>
      <w:r w:rsidRPr="00DD7BD1">
        <w:rPr>
          <w:rFonts w:cs="Calibri"/>
          <w:color w:val="auto"/>
          <w:szCs w:val="22"/>
        </w:rPr>
        <w:t>materials</w:t>
      </w:r>
      <w:r w:rsidRPr="00DD7BD1">
        <w:rPr>
          <w:rFonts w:cs="Calibri"/>
          <w:color w:val="auto"/>
          <w:spacing w:val="40"/>
          <w:szCs w:val="22"/>
        </w:rPr>
        <w:t xml:space="preserve"> </w:t>
      </w:r>
      <w:r w:rsidRPr="00DD7BD1">
        <w:rPr>
          <w:rFonts w:cs="Calibri"/>
          <w:color w:val="auto"/>
          <w:szCs w:val="22"/>
        </w:rPr>
        <w:t>throughout</w:t>
      </w:r>
      <w:r w:rsidRPr="00DD7BD1">
        <w:rPr>
          <w:rFonts w:cs="Calibri"/>
          <w:color w:val="auto"/>
          <w:spacing w:val="38"/>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year</w:t>
      </w:r>
      <w:r w:rsidRPr="00DD7BD1">
        <w:rPr>
          <w:rFonts w:cs="Calibri"/>
          <w:color w:val="auto"/>
          <w:spacing w:val="40"/>
          <w:szCs w:val="22"/>
        </w:rPr>
        <w:t xml:space="preserve"> </w:t>
      </w:r>
      <w:r w:rsidRPr="00DD7BD1">
        <w:rPr>
          <w:rFonts w:cs="Calibri"/>
          <w:color w:val="auto"/>
          <w:szCs w:val="22"/>
        </w:rPr>
        <w:t>will</w:t>
      </w:r>
      <w:r w:rsidRPr="00DD7BD1">
        <w:rPr>
          <w:rFonts w:cs="Calibri"/>
          <w:color w:val="auto"/>
          <w:spacing w:val="40"/>
          <w:szCs w:val="22"/>
        </w:rPr>
        <w:t xml:space="preserve"> </w:t>
      </w:r>
      <w:r w:rsidRPr="00DD7BD1">
        <w:rPr>
          <w:rFonts w:cs="Calibri"/>
          <w:color w:val="auto"/>
          <w:szCs w:val="22"/>
        </w:rPr>
        <w:t>meet</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distribution</w:t>
      </w:r>
      <w:r w:rsidRPr="00DD7BD1">
        <w:rPr>
          <w:rFonts w:cs="Calibri"/>
          <w:color w:val="auto"/>
          <w:spacing w:val="40"/>
          <w:szCs w:val="22"/>
        </w:rPr>
        <w:t xml:space="preserve"> </w:t>
      </w:r>
      <w:r w:rsidRPr="00DD7BD1">
        <w:rPr>
          <w:rFonts w:cs="Calibri"/>
          <w:color w:val="auto"/>
          <w:szCs w:val="22"/>
        </w:rPr>
        <w:t xml:space="preserve">requirements </w:t>
      </w:r>
      <w:proofErr w:type="gramStart"/>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long</w:t>
      </w:r>
      <w:r w:rsidRPr="00DD7BD1">
        <w:rPr>
          <w:rFonts w:cs="Calibri"/>
          <w:color w:val="auto"/>
          <w:spacing w:val="-9"/>
          <w:w w:val="110"/>
          <w:szCs w:val="22"/>
        </w:rPr>
        <w:t xml:space="preserve"> </w:t>
      </w:r>
      <w:r w:rsidRPr="00DD7BD1">
        <w:rPr>
          <w:rFonts w:cs="Calibri"/>
          <w:color w:val="auto"/>
          <w:w w:val="110"/>
          <w:szCs w:val="22"/>
        </w:rPr>
        <w:t>as</w:t>
      </w:r>
      <w:proofErr w:type="gramEnd"/>
      <w:r w:rsidRPr="00DD7BD1">
        <w:rPr>
          <w:rFonts w:cs="Calibri"/>
          <w:color w:val="auto"/>
          <w:spacing w:val="-9"/>
          <w:w w:val="110"/>
          <w:szCs w:val="22"/>
        </w:rPr>
        <w:t xml:space="preserve"> </w:t>
      </w:r>
      <w:proofErr w:type="gramStart"/>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is</w:t>
      </w:r>
      <w:proofErr w:type="gramEnd"/>
      <w:r w:rsidRPr="00DD7BD1">
        <w:rPr>
          <w:rFonts w:cs="Calibri"/>
          <w:color w:val="auto"/>
          <w:spacing w:val="-9"/>
          <w:w w:val="110"/>
          <w:szCs w:val="22"/>
        </w:rPr>
        <w:t xml:space="preserve"> </w:t>
      </w:r>
      <w:r w:rsidRPr="00DD7BD1">
        <w:rPr>
          <w:rFonts w:cs="Calibri"/>
          <w:color w:val="auto"/>
          <w:w w:val="110"/>
          <w:szCs w:val="22"/>
        </w:rPr>
        <w:t>provided</w:t>
      </w:r>
      <w:r w:rsidRPr="00DD7BD1">
        <w:rPr>
          <w:rFonts w:cs="Calibri"/>
          <w:color w:val="auto"/>
          <w:spacing w:val="-9"/>
          <w:w w:val="110"/>
          <w:szCs w:val="22"/>
        </w:rPr>
        <w:t xml:space="preserve"> </w:t>
      </w:r>
      <w:r w:rsidRPr="00DD7BD1">
        <w:rPr>
          <w:rFonts w:cs="Calibri"/>
          <w:color w:val="auto"/>
          <w:w w:val="110"/>
          <w:szCs w:val="22"/>
        </w:rPr>
        <w:t>prior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15</w:t>
      </w:r>
      <w:r w:rsidRPr="00DD7BD1">
        <w:rPr>
          <w:rFonts w:cs="Calibri"/>
          <w:color w:val="auto"/>
          <w:w w:val="110"/>
          <w:szCs w:val="22"/>
          <w:vertAlign w:val="superscript"/>
        </w:rPr>
        <w:t>th</w:t>
      </w:r>
      <w:r w:rsidRPr="00DD7BD1">
        <w:rPr>
          <w:rFonts w:cs="Calibri"/>
          <w:color w:val="auto"/>
          <w:w w:val="110"/>
          <w:szCs w:val="22"/>
        </w:rPr>
        <w:t>.</w:t>
      </w:r>
      <w:r w:rsidRPr="00DD7BD1">
        <w:rPr>
          <w:rFonts w:cs="Calibri"/>
          <w:color w:val="auto"/>
          <w:spacing w:val="40"/>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separate</w:t>
      </w:r>
      <w:r w:rsidRPr="00DD7BD1">
        <w:rPr>
          <w:rFonts w:cs="Calibri"/>
          <w:color w:val="auto"/>
          <w:spacing w:val="-7"/>
          <w:w w:val="110"/>
          <w:szCs w:val="22"/>
        </w:rPr>
        <w:t xml:space="preserve"> </w:t>
      </w:r>
      <w:r w:rsidRPr="00DD7BD1">
        <w:rPr>
          <w:rFonts w:cs="Calibri"/>
          <w:color w:val="auto"/>
          <w:w w:val="110"/>
          <w:szCs w:val="22"/>
        </w:rPr>
        <w:t>reminder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reminding employees of where to find the information is recommended.</w:t>
      </w:r>
    </w:p>
    <w:p w14:paraId="04DEAF40" w14:textId="77777777" w:rsidR="00E43496" w:rsidRPr="00DD7BD1" w:rsidRDefault="00E43496" w:rsidP="00E43496">
      <w:pPr>
        <w:pStyle w:val="BodyText"/>
        <w:spacing w:after="0" w:line="240" w:lineRule="auto"/>
        <w:ind w:right="-270"/>
        <w:jc w:val="left"/>
        <w:rPr>
          <w:rFonts w:cs="Calibri"/>
          <w:color w:val="auto"/>
          <w:w w:val="110"/>
          <w:sz w:val="16"/>
          <w:szCs w:val="16"/>
        </w:rPr>
      </w:pPr>
    </w:p>
    <w:p w14:paraId="6DF5D57B"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Additional,</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offering</w:t>
      </w:r>
      <w:r w:rsidRPr="00DD7BD1">
        <w:rPr>
          <w:rFonts w:cs="Calibri"/>
          <w:color w:val="auto"/>
          <w:spacing w:val="-6"/>
          <w:w w:val="110"/>
          <w:szCs w:val="22"/>
        </w:rPr>
        <w:t xml:space="preserve"> </w:t>
      </w:r>
      <w:r w:rsidRPr="00DD7BD1">
        <w:rPr>
          <w:rFonts w:cs="Calibri"/>
          <w:color w:val="auto"/>
          <w:w w:val="110"/>
          <w:szCs w:val="22"/>
        </w:rPr>
        <w:t>multiple</w:t>
      </w:r>
      <w:r w:rsidRPr="00DD7BD1">
        <w:rPr>
          <w:rFonts w:cs="Calibri"/>
          <w:color w:val="auto"/>
          <w:spacing w:val="-8"/>
          <w:w w:val="110"/>
          <w:szCs w:val="22"/>
        </w:rPr>
        <w:t xml:space="preserve"> </w:t>
      </w:r>
      <w:r w:rsidRPr="00DD7BD1">
        <w:rPr>
          <w:rFonts w:cs="Calibri"/>
          <w:color w:val="auto"/>
          <w:w w:val="110"/>
          <w:szCs w:val="22"/>
        </w:rPr>
        <w:t>prescription</w:t>
      </w:r>
      <w:r w:rsidRPr="00DD7BD1">
        <w:rPr>
          <w:rFonts w:cs="Calibri"/>
          <w:color w:val="auto"/>
          <w:spacing w:val="-4"/>
          <w:w w:val="110"/>
          <w:szCs w:val="22"/>
        </w:rPr>
        <w:t xml:space="preserve"> </w:t>
      </w:r>
      <w:r w:rsidRPr="00DD7BD1">
        <w:rPr>
          <w:rFonts w:cs="Calibri"/>
          <w:color w:val="auto"/>
          <w:w w:val="110"/>
          <w:szCs w:val="22"/>
        </w:rPr>
        <w:t>plans</w:t>
      </w:r>
      <w:r w:rsidRPr="00DD7BD1">
        <w:rPr>
          <w:rFonts w:cs="Calibri"/>
          <w:color w:val="auto"/>
          <w:spacing w:val="-3"/>
          <w:w w:val="110"/>
          <w:szCs w:val="22"/>
        </w:rPr>
        <w:t xml:space="preserve"> </w:t>
      </w:r>
      <w:r w:rsidRPr="00DD7BD1">
        <w:rPr>
          <w:rFonts w:cs="Calibri"/>
          <w:color w:val="auto"/>
          <w:w w:val="110"/>
          <w:szCs w:val="22"/>
        </w:rPr>
        <w:t>(typically</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9"/>
          <w:w w:val="110"/>
          <w:szCs w:val="22"/>
        </w:rPr>
        <w:t xml:space="preserve"> </w:t>
      </w:r>
      <w:r w:rsidRPr="00DD7BD1">
        <w:rPr>
          <w:rFonts w:cs="Calibri"/>
          <w:color w:val="auto"/>
          <w:w w:val="110"/>
          <w:szCs w:val="22"/>
        </w:rPr>
        <w:t>benefits)</w:t>
      </w:r>
      <w:r w:rsidRPr="00DD7BD1">
        <w:rPr>
          <w:rFonts w:cs="Calibri"/>
          <w:color w:val="auto"/>
          <w:spacing w:val="-8"/>
          <w:w w:val="110"/>
          <w:szCs w:val="22"/>
        </w:rPr>
        <w:t xml:space="preserve"> </w:t>
      </w:r>
      <w:r w:rsidRPr="00DD7BD1">
        <w:rPr>
          <w:rFonts w:cs="Calibri"/>
          <w:color w:val="auto"/>
          <w:w w:val="110"/>
          <w:szCs w:val="22"/>
        </w:rPr>
        <w:t>could</w:t>
      </w:r>
      <w:r w:rsidRPr="00DD7BD1">
        <w:rPr>
          <w:rFonts w:cs="Calibri"/>
          <w:color w:val="auto"/>
          <w:spacing w:val="-8"/>
          <w:w w:val="110"/>
          <w:szCs w:val="22"/>
        </w:rPr>
        <w:t xml:space="preserve"> </w:t>
      </w:r>
      <w:r w:rsidRPr="00DD7BD1">
        <w:rPr>
          <w:rFonts w:cs="Calibri"/>
          <w:color w:val="auto"/>
          <w:w w:val="110"/>
          <w:szCs w:val="22"/>
        </w:rPr>
        <w:t>have both</w:t>
      </w:r>
      <w:r w:rsidRPr="00DD7BD1">
        <w:rPr>
          <w:rFonts w:cs="Calibri"/>
          <w:color w:val="auto"/>
          <w:spacing w:val="-10"/>
          <w:w w:val="110"/>
          <w:szCs w:val="22"/>
        </w:rPr>
        <w:t xml:space="preserve"> </w:t>
      </w:r>
      <w:r w:rsidRPr="00DD7BD1">
        <w:rPr>
          <w:rFonts w:cs="Calibri"/>
          <w:color w:val="auto"/>
          <w:w w:val="110"/>
          <w:szCs w:val="22"/>
        </w:rPr>
        <w:t>Creditable</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Non-creditable</w:t>
      </w:r>
      <w:r w:rsidRPr="00DD7BD1">
        <w:rPr>
          <w:rFonts w:cs="Calibri"/>
          <w:color w:val="auto"/>
          <w:spacing w:val="-13"/>
          <w:w w:val="110"/>
          <w:szCs w:val="22"/>
        </w:rPr>
        <w:t xml:space="preserve"> </w:t>
      </w:r>
      <w:r w:rsidRPr="00DD7BD1">
        <w:rPr>
          <w:rFonts w:cs="Calibri"/>
          <w:color w:val="auto"/>
          <w:w w:val="110"/>
          <w:szCs w:val="22"/>
        </w:rPr>
        <w:t>offerings.</w:t>
      </w:r>
      <w:r w:rsidRPr="00DD7BD1">
        <w:rPr>
          <w:rFonts w:cs="Calibri"/>
          <w:color w:val="auto"/>
          <w:spacing w:val="40"/>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so,</w:t>
      </w:r>
      <w:r w:rsidRPr="00DD7BD1">
        <w:rPr>
          <w:rFonts w:cs="Calibri"/>
          <w:color w:val="auto"/>
          <w:spacing w:val="-11"/>
          <w:w w:val="110"/>
          <w:szCs w:val="22"/>
        </w:rPr>
        <w:t xml:space="preserve"> </w:t>
      </w:r>
      <w:r w:rsidRPr="00DD7BD1">
        <w:rPr>
          <w:rFonts w:cs="Calibri"/>
          <w:color w:val="auto"/>
          <w:w w:val="110"/>
          <w:szCs w:val="22"/>
        </w:rPr>
        <w:t>BOTH</w:t>
      </w:r>
      <w:r w:rsidRPr="00DD7BD1">
        <w:rPr>
          <w:rFonts w:cs="Calibri"/>
          <w:color w:val="auto"/>
          <w:spacing w:val="-10"/>
          <w:w w:val="110"/>
          <w:szCs w:val="22"/>
        </w:rPr>
        <w:t xml:space="preserve"> </w:t>
      </w:r>
      <w:r w:rsidRPr="00DD7BD1">
        <w:rPr>
          <w:rFonts w:cs="Calibri"/>
          <w:color w:val="auto"/>
          <w:w w:val="110"/>
          <w:szCs w:val="22"/>
        </w:rPr>
        <w:t>notices</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prepared</w:t>
      </w:r>
      <w:r w:rsidRPr="00DD7BD1">
        <w:rPr>
          <w:rFonts w:cs="Calibri"/>
          <w:color w:val="auto"/>
          <w:spacing w:val="-13"/>
          <w:w w:val="110"/>
          <w:szCs w:val="22"/>
        </w:rPr>
        <w:t xml:space="preserve"> </w:t>
      </w:r>
      <w:r w:rsidRPr="00DD7BD1">
        <w:rPr>
          <w:rFonts w:cs="Calibri"/>
          <w:color w:val="auto"/>
          <w:w w:val="110"/>
          <w:szCs w:val="22"/>
        </w:rPr>
        <w:t>&amp;</w:t>
      </w:r>
      <w:r w:rsidRPr="00DD7BD1">
        <w:rPr>
          <w:rFonts w:cs="Calibri"/>
          <w:color w:val="auto"/>
          <w:spacing w:val="-11"/>
          <w:w w:val="110"/>
          <w:szCs w:val="22"/>
        </w:rPr>
        <w:t xml:space="preserve"> </w:t>
      </w:r>
      <w:r w:rsidRPr="00DD7BD1">
        <w:rPr>
          <w:rFonts w:cs="Calibri"/>
          <w:color w:val="auto"/>
          <w:w w:val="110"/>
          <w:szCs w:val="22"/>
        </w:rPr>
        <w:t>distributed</w:t>
      </w:r>
      <w:r w:rsidRPr="00DD7BD1">
        <w:rPr>
          <w:rFonts w:cs="Calibri"/>
          <w:color w:val="auto"/>
          <w:spacing w:val="-10"/>
          <w:w w:val="110"/>
          <w:szCs w:val="22"/>
        </w:rPr>
        <w:t xml:space="preserve"> </w:t>
      </w:r>
      <w:r w:rsidRPr="00DD7BD1">
        <w:rPr>
          <w:rFonts w:cs="Calibri"/>
          <w:color w:val="auto"/>
          <w:w w:val="110"/>
          <w:szCs w:val="22"/>
        </w:rPr>
        <w:t>citing</w:t>
      </w:r>
      <w:r w:rsidRPr="00DD7BD1">
        <w:rPr>
          <w:rFonts w:cs="Calibri"/>
          <w:color w:val="auto"/>
          <w:spacing w:val="-10"/>
          <w:w w:val="110"/>
          <w:szCs w:val="22"/>
        </w:rPr>
        <w:t xml:space="preserve"> </w:t>
      </w:r>
      <w:r w:rsidRPr="00DD7BD1">
        <w:rPr>
          <w:rFonts w:cs="Calibri"/>
          <w:color w:val="auto"/>
          <w:w w:val="110"/>
          <w:szCs w:val="22"/>
        </w:rPr>
        <w:t>which plans are and are not Creditable</w:t>
      </w:r>
    </w:p>
    <w:p w14:paraId="0B0BC879" w14:textId="77777777" w:rsidR="00E43496" w:rsidRPr="00DD7BD1" w:rsidRDefault="00E43496" w:rsidP="00E43496">
      <w:pPr>
        <w:pStyle w:val="BodyText"/>
        <w:spacing w:after="0" w:line="240" w:lineRule="auto"/>
        <w:ind w:right="-270"/>
        <w:jc w:val="left"/>
        <w:rPr>
          <w:rFonts w:cs="Calibri"/>
          <w:color w:val="auto"/>
          <w:sz w:val="16"/>
          <w:szCs w:val="16"/>
        </w:rPr>
      </w:pPr>
    </w:p>
    <w:p w14:paraId="5E1675F0" w14:textId="77777777" w:rsidR="00E43496" w:rsidRPr="00DD7BD1" w:rsidRDefault="00E43496" w:rsidP="00E43496">
      <w:pPr>
        <w:pStyle w:val="BodyText"/>
        <w:spacing w:after="0" w:line="240" w:lineRule="auto"/>
        <w:ind w:right="-270"/>
        <w:jc w:val="left"/>
        <w:rPr>
          <w:rFonts w:cs="Calibri"/>
          <w:color w:val="auto"/>
          <w:spacing w:val="-2"/>
          <w:w w:val="110"/>
          <w:szCs w:val="22"/>
        </w:rPr>
      </w:pPr>
      <w:r w:rsidRPr="00DD7BD1">
        <w:rPr>
          <w:rFonts w:cs="Calibri"/>
          <w:color w:val="auto"/>
          <w:w w:val="110"/>
          <w:szCs w:val="22"/>
        </w:rPr>
        <w:t>Although</w:t>
      </w:r>
      <w:r w:rsidRPr="00DD7BD1">
        <w:rPr>
          <w:rFonts w:cs="Calibri"/>
          <w:color w:val="auto"/>
          <w:spacing w:val="-12"/>
          <w:w w:val="110"/>
          <w:szCs w:val="22"/>
        </w:rPr>
        <w:t xml:space="preserve"> </w:t>
      </w:r>
      <w:r w:rsidRPr="00DD7BD1">
        <w:rPr>
          <w:rFonts w:cs="Calibri"/>
          <w:color w:val="auto"/>
          <w:w w:val="110"/>
          <w:szCs w:val="22"/>
        </w:rPr>
        <w:t>there</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2"/>
          <w:w w:val="110"/>
          <w:szCs w:val="22"/>
        </w:rPr>
        <w:t xml:space="preserve"> </w:t>
      </w:r>
      <w:r w:rsidRPr="00DD7BD1">
        <w:rPr>
          <w:rFonts w:cs="Calibri"/>
          <w:color w:val="auto"/>
          <w:w w:val="110"/>
          <w:szCs w:val="22"/>
        </w:rPr>
        <w:t>no</w:t>
      </w:r>
      <w:r w:rsidRPr="00DD7BD1">
        <w:rPr>
          <w:rFonts w:cs="Calibri"/>
          <w:color w:val="auto"/>
          <w:spacing w:val="-14"/>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associated</w:t>
      </w:r>
      <w:r w:rsidRPr="00DD7BD1">
        <w:rPr>
          <w:rFonts w:cs="Calibri"/>
          <w:color w:val="auto"/>
          <w:spacing w:val="-12"/>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either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4"/>
          <w:w w:val="110"/>
          <w:szCs w:val="22"/>
        </w:rPr>
        <w:t xml:space="preserve"> </w:t>
      </w:r>
      <w:r w:rsidRPr="00DD7BD1">
        <w:rPr>
          <w:rFonts w:cs="Calibri"/>
          <w:color w:val="auto"/>
          <w:w w:val="110"/>
          <w:szCs w:val="22"/>
        </w:rPr>
        <w:t>Creditable</w:t>
      </w:r>
      <w:r w:rsidRPr="00DD7BD1">
        <w:rPr>
          <w:rFonts w:cs="Calibri"/>
          <w:color w:val="auto"/>
          <w:spacing w:val="-14"/>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Notice and/or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Online</w:t>
      </w:r>
      <w:r w:rsidRPr="00DD7BD1">
        <w:rPr>
          <w:rFonts w:cs="Calibri"/>
          <w:color w:val="auto"/>
          <w:spacing w:val="-7"/>
          <w:w w:val="110"/>
          <w:szCs w:val="22"/>
        </w:rPr>
        <w:t xml:space="preserve"> </w:t>
      </w:r>
      <w:r w:rsidRPr="00DD7BD1">
        <w:rPr>
          <w:rFonts w:cs="Calibri"/>
          <w:color w:val="auto"/>
          <w:w w:val="110"/>
          <w:szCs w:val="22"/>
        </w:rPr>
        <w:t>Disclosure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CMS</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group's</w:t>
      </w:r>
      <w:r w:rsidRPr="00DD7BD1">
        <w:rPr>
          <w:rFonts w:cs="Calibri"/>
          <w:color w:val="auto"/>
          <w:spacing w:val="-9"/>
          <w:w w:val="110"/>
          <w:szCs w:val="22"/>
        </w:rPr>
        <w:t xml:space="preserve"> </w:t>
      </w:r>
      <w:r w:rsidRPr="00DD7BD1">
        <w:rPr>
          <w:rFonts w:cs="Calibri"/>
          <w:color w:val="auto"/>
          <w:w w:val="110"/>
          <w:szCs w:val="22"/>
        </w:rPr>
        <w:t>plan(s)</w:t>
      </w:r>
      <w:r w:rsidRPr="00DD7BD1">
        <w:rPr>
          <w:rFonts w:cs="Calibri"/>
          <w:color w:val="auto"/>
          <w:spacing w:val="-8"/>
          <w:w w:val="110"/>
          <w:szCs w:val="22"/>
        </w:rPr>
        <w:t xml:space="preserve"> </w:t>
      </w:r>
      <w:r w:rsidRPr="00DD7BD1">
        <w:rPr>
          <w:rFonts w:cs="Calibri"/>
          <w:color w:val="auto"/>
          <w:w w:val="110"/>
          <w:szCs w:val="22"/>
        </w:rPr>
        <w:t>Creditability,</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deferring Medicare</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w:t>
      </w:r>
      <w:r w:rsidRPr="00DD7BD1">
        <w:rPr>
          <w:rFonts w:cs="Calibri"/>
          <w:color w:val="auto"/>
          <w:spacing w:val="-12"/>
          <w:w w:val="110"/>
          <w:szCs w:val="22"/>
        </w:rPr>
        <w:t xml:space="preserve"> </w:t>
      </w:r>
      <w:r w:rsidRPr="00DD7BD1">
        <w:rPr>
          <w:rFonts w:cs="Calibri"/>
          <w:color w:val="auto"/>
          <w:w w:val="110"/>
          <w:szCs w:val="22"/>
        </w:rPr>
        <w:t>enrollment</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assessed</w:t>
      </w:r>
      <w:r w:rsidRPr="00DD7BD1">
        <w:rPr>
          <w:rFonts w:cs="Calibri"/>
          <w:color w:val="auto"/>
          <w:spacing w:val="-11"/>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should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group</w:t>
      </w:r>
      <w:r w:rsidRPr="00DD7BD1">
        <w:rPr>
          <w:rFonts w:cs="Calibri"/>
          <w:color w:val="auto"/>
          <w:spacing w:val="-13"/>
          <w:w w:val="110"/>
          <w:szCs w:val="22"/>
        </w:rPr>
        <w:t xml:space="preserve"> </w:t>
      </w:r>
      <w:r w:rsidRPr="00DD7BD1">
        <w:rPr>
          <w:rFonts w:cs="Calibri"/>
          <w:color w:val="auto"/>
          <w:w w:val="110"/>
          <w:szCs w:val="22"/>
        </w:rPr>
        <w:t>plans</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11"/>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enrolled</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proofErr w:type="gramStart"/>
      <w:r w:rsidRPr="00DD7BD1">
        <w:rPr>
          <w:rFonts w:cs="Calibri"/>
          <w:color w:val="auto"/>
          <w:w w:val="110"/>
          <w:szCs w:val="22"/>
        </w:rPr>
        <w:t>were</w:t>
      </w:r>
      <w:proofErr w:type="gramEnd"/>
      <w:r w:rsidRPr="00DD7BD1">
        <w:rPr>
          <w:rFonts w:cs="Calibri"/>
          <w:color w:val="auto"/>
          <w:spacing w:val="-11"/>
          <w:w w:val="110"/>
          <w:szCs w:val="22"/>
        </w:rPr>
        <w:t xml:space="preserve"> </w:t>
      </w:r>
      <w:r w:rsidRPr="00DD7BD1">
        <w:rPr>
          <w:rFonts w:cs="Calibri"/>
          <w:color w:val="auto"/>
          <w:w w:val="110"/>
          <w:szCs w:val="22"/>
        </w:rPr>
        <w:t xml:space="preserve">deemed </w:t>
      </w:r>
      <w:r w:rsidRPr="00DD7BD1">
        <w:rPr>
          <w:rFonts w:cs="Calibri"/>
          <w:color w:val="auto"/>
          <w:spacing w:val="-2"/>
          <w:w w:val="110"/>
          <w:szCs w:val="22"/>
        </w:rPr>
        <w:t>Non-Creditable.</w:t>
      </w:r>
    </w:p>
    <w:p w14:paraId="1EB769EE" w14:textId="77777777" w:rsidR="00E43496" w:rsidRPr="00DD7BD1" w:rsidRDefault="00E43496" w:rsidP="00E43496">
      <w:pPr>
        <w:pStyle w:val="BodyText"/>
        <w:spacing w:after="0" w:line="240" w:lineRule="auto"/>
        <w:ind w:right="-270"/>
        <w:jc w:val="left"/>
        <w:rPr>
          <w:rFonts w:cs="Calibri"/>
          <w:color w:val="auto"/>
          <w:sz w:val="16"/>
          <w:szCs w:val="16"/>
        </w:rPr>
      </w:pPr>
    </w:p>
    <w:p w14:paraId="7D679EF5"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can</w:t>
      </w:r>
      <w:r w:rsidRPr="00DD7BD1">
        <w:rPr>
          <w:rFonts w:cs="Calibri"/>
          <w:color w:val="auto"/>
          <w:spacing w:val="-15"/>
          <w:w w:val="110"/>
          <w:szCs w:val="22"/>
        </w:rPr>
        <w:t xml:space="preserve"> </w:t>
      </w:r>
      <w:r w:rsidRPr="00DD7BD1">
        <w:rPr>
          <w:rFonts w:cs="Calibri"/>
          <w:color w:val="auto"/>
          <w:w w:val="110"/>
          <w:szCs w:val="22"/>
        </w:rPr>
        <w:t>engage</w:t>
      </w:r>
      <w:r w:rsidRPr="00DD7BD1">
        <w:rPr>
          <w:rFonts w:cs="Calibri"/>
          <w:color w:val="auto"/>
          <w:spacing w:val="-15"/>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broker</w:t>
      </w:r>
      <w:r w:rsidRPr="00DD7BD1">
        <w:rPr>
          <w:rFonts w:cs="Calibri"/>
          <w:color w:val="auto"/>
          <w:spacing w:val="-16"/>
          <w:w w:val="110"/>
          <w:szCs w:val="22"/>
        </w:rPr>
        <w:t xml:space="preserve"> </w:t>
      </w:r>
      <w:proofErr w:type="gramStart"/>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regard</w:t>
      </w:r>
      <w:r w:rsidRPr="00DD7BD1">
        <w:rPr>
          <w:rFonts w:cs="Calibri"/>
          <w:color w:val="auto"/>
          <w:spacing w:val="-14"/>
          <w:w w:val="110"/>
          <w:szCs w:val="22"/>
        </w:rPr>
        <w:t xml:space="preserve"> </w:t>
      </w:r>
      <w:r w:rsidRPr="00DD7BD1">
        <w:rPr>
          <w:rFonts w:cs="Calibri"/>
          <w:color w:val="auto"/>
          <w:w w:val="110"/>
          <w:szCs w:val="22"/>
        </w:rPr>
        <w:t>to</w:t>
      </w:r>
      <w:proofErr w:type="gramEnd"/>
      <w:r w:rsidRPr="00DD7BD1">
        <w:rPr>
          <w:rFonts w:cs="Calibri"/>
          <w:color w:val="auto"/>
          <w:spacing w:val="-13"/>
          <w:w w:val="110"/>
          <w:szCs w:val="22"/>
        </w:rPr>
        <w:t xml:space="preserve"> </w:t>
      </w:r>
      <w:r w:rsidRPr="00DD7BD1">
        <w:rPr>
          <w:rFonts w:cs="Calibri"/>
          <w:color w:val="auto"/>
          <w:w w:val="110"/>
          <w:szCs w:val="22"/>
        </w:rPr>
        <w:t>this</w:t>
      </w:r>
      <w:r w:rsidRPr="00DD7BD1">
        <w:rPr>
          <w:rFonts w:cs="Calibri"/>
          <w:color w:val="auto"/>
          <w:spacing w:val="-15"/>
          <w:w w:val="110"/>
          <w:szCs w:val="22"/>
        </w:rPr>
        <w:t xml:space="preserve"> </w:t>
      </w:r>
      <w:r w:rsidRPr="00DD7BD1">
        <w:rPr>
          <w:rFonts w:cs="Calibri"/>
          <w:color w:val="auto"/>
          <w:w w:val="110"/>
          <w:szCs w:val="22"/>
        </w:rPr>
        <w:t>compliance</w:t>
      </w:r>
      <w:r w:rsidRPr="00DD7BD1">
        <w:rPr>
          <w:rFonts w:cs="Calibri"/>
          <w:color w:val="auto"/>
          <w:spacing w:val="-13"/>
          <w:w w:val="110"/>
          <w:szCs w:val="22"/>
        </w:rPr>
        <w:t xml:space="preserve"> </w:t>
      </w:r>
      <w:r w:rsidRPr="00DD7BD1">
        <w:rPr>
          <w:rFonts w:cs="Calibri"/>
          <w:color w:val="auto"/>
          <w:w w:val="110"/>
          <w:szCs w:val="22"/>
        </w:rPr>
        <w:t>obligation,</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carrier</w:t>
      </w:r>
      <w:r w:rsidRPr="00DD7BD1">
        <w:rPr>
          <w:rFonts w:cs="Calibri"/>
          <w:color w:val="auto"/>
          <w:spacing w:val="-16"/>
          <w:w w:val="110"/>
          <w:szCs w:val="22"/>
        </w:rPr>
        <w:t xml:space="preserve"> </w:t>
      </w:r>
      <w:r w:rsidRPr="00DD7BD1">
        <w:rPr>
          <w:rFonts w:cs="Calibri"/>
          <w:color w:val="auto"/>
          <w:w w:val="110"/>
          <w:szCs w:val="22"/>
        </w:rPr>
        <w:t>and/CMS</w:t>
      </w:r>
      <w:r w:rsidRPr="00DD7BD1">
        <w:rPr>
          <w:rFonts w:cs="Calibri"/>
          <w:color w:val="auto"/>
          <w:spacing w:val="-13"/>
          <w:w w:val="110"/>
          <w:szCs w:val="22"/>
        </w:rPr>
        <w:t xml:space="preserve"> </w:t>
      </w:r>
      <w:r w:rsidRPr="00DD7BD1">
        <w:rPr>
          <w:rFonts w:cs="Calibri"/>
          <w:color w:val="auto"/>
          <w:w w:val="110"/>
          <w:szCs w:val="22"/>
        </w:rPr>
        <w:t>for additional guidance and sample Notices.</w:t>
      </w:r>
    </w:p>
    <w:p w14:paraId="0B4A127F" w14:textId="77777777" w:rsidR="00E43496" w:rsidRPr="00DD7BD1" w:rsidRDefault="00E43496" w:rsidP="00E43496">
      <w:pPr>
        <w:pStyle w:val="BodyText"/>
        <w:spacing w:after="0" w:line="240" w:lineRule="auto"/>
        <w:ind w:right="-270"/>
        <w:jc w:val="left"/>
        <w:rPr>
          <w:rFonts w:cs="Calibri"/>
          <w:sz w:val="16"/>
          <w:szCs w:val="16"/>
        </w:rPr>
      </w:pPr>
    </w:p>
    <w:p w14:paraId="33B43E6C" w14:textId="77777777" w:rsidR="00E43496" w:rsidRPr="00DD7BD1" w:rsidRDefault="00E43496" w:rsidP="00E43496">
      <w:pPr>
        <w:pStyle w:val="BodyText"/>
        <w:spacing w:after="0" w:line="240" w:lineRule="auto"/>
        <w:ind w:right="-270"/>
        <w:jc w:val="left"/>
        <w:rPr>
          <w:rFonts w:cs="Calibri"/>
          <w:szCs w:val="22"/>
        </w:rPr>
      </w:pPr>
      <w:r w:rsidRPr="00DD7BD1">
        <w:rPr>
          <w:rFonts w:cs="Calibri"/>
          <w:color w:val="auto"/>
          <w:w w:val="110"/>
          <w:szCs w:val="22"/>
        </w:rPr>
        <w:t>CMS</w:t>
      </w:r>
      <w:r w:rsidRPr="00DD7BD1">
        <w:rPr>
          <w:rFonts w:cs="Calibri"/>
          <w:color w:val="auto"/>
          <w:spacing w:val="-7"/>
          <w:w w:val="110"/>
          <w:szCs w:val="22"/>
        </w:rPr>
        <w:t xml:space="preserve"> </w:t>
      </w:r>
      <w:r w:rsidRPr="00DD7BD1">
        <w:rPr>
          <w:rFonts w:cs="Calibri"/>
          <w:color w:val="auto"/>
          <w:w w:val="110"/>
          <w:szCs w:val="22"/>
        </w:rPr>
        <w:t>provides</w:t>
      </w:r>
      <w:r w:rsidRPr="00DD7BD1">
        <w:rPr>
          <w:rFonts w:cs="Calibri"/>
          <w:color w:val="auto"/>
          <w:spacing w:val="-5"/>
          <w:w w:val="110"/>
          <w:szCs w:val="22"/>
        </w:rPr>
        <w:t xml:space="preserve"> </w:t>
      </w:r>
      <w:hyperlink r:id="rId292">
        <w:r w:rsidRPr="00DD7BD1">
          <w:rPr>
            <w:rFonts w:cs="Calibri"/>
            <w:color w:val="0000FF"/>
            <w:w w:val="110"/>
            <w:szCs w:val="22"/>
            <w:u w:val="single" w:color="0000FF"/>
          </w:rPr>
          <w:t>model</w:t>
        </w:r>
        <w:r w:rsidRPr="00DD7BD1">
          <w:rPr>
            <w:rFonts w:cs="Calibri"/>
            <w:color w:val="0000FF"/>
            <w:spacing w:val="-9"/>
            <w:w w:val="110"/>
            <w:szCs w:val="22"/>
            <w:u w:val="single" w:color="0000FF"/>
          </w:rPr>
          <w:t xml:space="preserve"> </w:t>
        </w:r>
        <w:r w:rsidRPr="00DD7BD1">
          <w:rPr>
            <w:rFonts w:cs="Calibri"/>
            <w:color w:val="0000FF"/>
            <w:w w:val="110"/>
            <w:szCs w:val="22"/>
            <w:u w:val="single" w:color="0000FF"/>
          </w:rPr>
          <w:t>notices</w:t>
        </w:r>
      </w:hyperlink>
      <w:r w:rsidRPr="00DD7BD1">
        <w:rPr>
          <w:rFonts w:cs="Calibri"/>
          <w:color w:val="0000FF"/>
          <w:spacing w:val="-2"/>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both</w:t>
      </w:r>
      <w:r w:rsidRPr="00DD7BD1">
        <w:rPr>
          <w:rFonts w:cs="Calibri"/>
          <w:color w:val="auto"/>
          <w:spacing w:val="-8"/>
          <w:w w:val="110"/>
          <w:szCs w:val="22"/>
        </w:rPr>
        <w:t xml:space="preserve"> </w:t>
      </w:r>
      <w:r w:rsidRPr="00DD7BD1">
        <w:rPr>
          <w:rFonts w:cs="Calibri"/>
          <w:color w:val="auto"/>
          <w:w w:val="110"/>
          <w:szCs w:val="22"/>
        </w:rPr>
        <w:t>English</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Spanish</w:t>
      </w:r>
      <w:r w:rsidRPr="00DD7BD1">
        <w:rPr>
          <w:rFonts w:cs="Calibri"/>
          <w:color w:val="auto"/>
          <w:spacing w:val="-2"/>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well</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5"/>
          <w:w w:val="110"/>
          <w:szCs w:val="22"/>
        </w:rPr>
        <w:t xml:space="preserve"> </w:t>
      </w:r>
      <w:hyperlink r:id="rId293">
        <w:r w:rsidRPr="00DD7BD1">
          <w:rPr>
            <w:rFonts w:cs="Calibri"/>
            <w:color w:val="0000FF"/>
            <w:w w:val="110"/>
            <w:szCs w:val="22"/>
            <w:u w:val="single" w:color="0000FF"/>
          </w:rPr>
          <w:t>electronic</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disclosure</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rules.</w:t>
        </w:r>
      </w:hyperlink>
      <w:r w:rsidRPr="00DD7BD1">
        <w:rPr>
          <w:rFonts w:cs="Calibri"/>
          <w:color w:val="0000FF"/>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CMS has</w:t>
      </w:r>
      <w:r w:rsidRPr="00DD7BD1">
        <w:rPr>
          <w:rFonts w:cs="Calibri"/>
          <w:color w:val="auto"/>
          <w:spacing w:val="-7"/>
          <w:w w:val="110"/>
          <w:szCs w:val="22"/>
        </w:rPr>
        <w:t xml:space="preserve"> </w:t>
      </w:r>
      <w:r w:rsidRPr="00DD7BD1">
        <w:rPr>
          <w:rFonts w:cs="Calibri"/>
          <w:color w:val="auto"/>
          <w:w w:val="110"/>
          <w:szCs w:val="22"/>
        </w:rPr>
        <w:t>provided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hyperlink r:id="rId294">
        <w:r w:rsidRPr="00DD7BD1">
          <w:rPr>
            <w:rFonts w:cs="Calibri"/>
            <w:color w:val="0000FF"/>
            <w:w w:val="110"/>
            <w:szCs w:val="22"/>
            <w:u w:val="single" w:color="0000FF"/>
          </w:rPr>
          <w:t>Simplified</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Determination</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document</w:t>
        </w:r>
      </w:hyperlink>
      <w:r w:rsidRPr="00DD7BD1">
        <w:rPr>
          <w:rFonts w:cs="Calibri"/>
          <w:color w:val="0000FF"/>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help</w:t>
      </w:r>
      <w:r w:rsidRPr="00DD7BD1">
        <w:rPr>
          <w:rFonts w:cs="Calibri"/>
          <w:color w:val="auto"/>
          <w:spacing w:val="-5"/>
          <w:w w:val="110"/>
          <w:szCs w:val="22"/>
        </w:rPr>
        <w:t xml:space="preserve"> </w:t>
      </w:r>
      <w:r w:rsidRPr="00DD7BD1">
        <w:rPr>
          <w:rFonts w:cs="Calibri"/>
          <w:color w:val="auto"/>
          <w:w w:val="110"/>
          <w:szCs w:val="22"/>
        </w:rPr>
        <w:t>employers</w:t>
      </w:r>
      <w:r w:rsidRPr="00DD7BD1">
        <w:rPr>
          <w:rFonts w:cs="Calibri"/>
          <w:color w:val="auto"/>
          <w:spacing w:val="-5"/>
          <w:w w:val="110"/>
          <w:szCs w:val="22"/>
        </w:rPr>
        <w:t xml:space="preserve"> </w:t>
      </w:r>
      <w:r w:rsidRPr="00DD7BD1">
        <w:rPr>
          <w:rFonts w:cs="Calibri"/>
          <w:color w:val="auto"/>
          <w:w w:val="110"/>
          <w:szCs w:val="22"/>
        </w:rPr>
        <w:t>figure</w:t>
      </w:r>
      <w:r w:rsidRPr="00DD7BD1">
        <w:rPr>
          <w:rFonts w:cs="Calibri"/>
          <w:color w:val="auto"/>
          <w:spacing w:val="-6"/>
          <w:w w:val="110"/>
          <w:szCs w:val="22"/>
        </w:rPr>
        <w:t xml:space="preserve"> </w:t>
      </w:r>
      <w:r w:rsidRPr="00DD7BD1">
        <w:rPr>
          <w:rFonts w:cs="Calibri"/>
          <w:color w:val="auto"/>
          <w:w w:val="110"/>
          <w:szCs w:val="22"/>
        </w:rPr>
        <w:t>out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creditable</w:t>
      </w:r>
      <w:r w:rsidRPr="00DD7BD1">
        <w:rPr>
          <w:rFonts w:cs="Calibri"/>
          <w:color w:val="auto"/>
          <w:spacing w:val="-8"/>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status</w:t>
      </w:r>
      <w:r w:rsidRPr="00DD7BD1">
        <w:rPr>
          <w:rFonts w:cs="Calibri"/>
          <w:color w:val="auto"/>
          <w:spacing w:val="-5"/>
          <w:w w:val="110"/>
          <w:szCs w:val="22"/>
        </w:rPr>
        <w:t xml:space="preserve"> </w:t>
      </w:r>
      <w:r w:rsidRPr="00DD7BD1">
        <w:rPr>
          <w:rFonts w:cs="Calibri"/>
          <w:color w:val="auto"/>
          <w:w w:val="110"/>
          <w:szCs w:val="22"/>
        </w:rPr>
        <w:t>in the</w:t>
      </w:r>
      <w:r w:rsidRPr="00DD7BD1">
        <w:rPr>
          <w:rFonts w:cs="Calibri"/>
          <w:color w:val="auto"/>
          <w:spacing w:val="-10"/>
          <w:w w:val="110"/>
          <w:szCs w:val="22"/>
        </w:rPr>
        <w:t xml:space="preserve"> </w:t>
      </w:r>
      <w:r w:rsidRPr="00DD7BD1">
        <w:rPr>
          <w:rFonts w:cs="Calibri"/>
          <w:color w:val="auto"/>
          <w:w w:val="110"/>
          <w:szCs w:val="22"/>
        </w:rPr>
        <w:t>event</w:t>
      </w:r>
      <w:r w:rsidRPr="00DD7BD1">
        <w:rPr>
          <w:rFonts w:cs="Calibri"/>
          <w:color w:val="auto"/>
          <w:spacing w:val="-9"/>
          <w:w w:val="110"/>
          <w:szCs w:val="22"/>
        </w:rPr>
        <w:t xml:space="preserve"> </w:t>
      </w:r>
      <w:r w:rsidRPr="00DD7BD1">
        <w:rPr>
          <w:rFonts w:cs="Calibri"/>
          <w:color w:val="auto"/>
          <w:w w:val="110"/>
          <w:szCs w:val="22"/>
        </w:rPr>
        <w:t>that’s</w:t>
      </w:r>
      <w:r w:rsidRPr="00DD7BD1">
        <w:rPr>
          <w:rFonts w:cs="Calibri"/>
          <w:color w:val="auto"/>
          <w:spacing w:val="-10"/>
          <w:w w:val="110"/>
          <w:szCs w:val="22"/>
        </w:rPr>
        <w:t xml:space="preserve"> </w:t>
      </w:r>
      <w:r w:rsidRPr="00DD7BD1">
        <w:rPr>
          <w:rFonts w:cs="Calibri"/>
          <w:color w:val="auto"/>
          <w:w w:val="110"/>
          <w:szCs w:val="22"/>
        </w:rPr>
        <w:t>unknown.</w:t>
      </w:r>
      <w:r w:rsidRPr="00DD7BD1">
        <w:rPr>
          <w:rFonts w:cs="Calibri"/>
          <w:color w:val="auto"/>
          <w:spacing w:val="40"/>
          <w:w w:val="110"/>
          <w:szCs w:val="22"/>
        </w:rPr>
        <w:t xml:space="preserve"> </w:t>
      </w:r>
      <w:r w:rsidRPr="00DD7BD1">
        <w:rPr>
          <w:rFonts w:cs="Calibri"/>
          <w:color w:val="auto"/>
          <w:w w:val="110"/>
          <w:szCs w:val="22"/>
        </w:rPr>
        <w:t>More</w:t>
      </w:r>
      <w:r w:rsidRPr="00DD7BD1">
        <w:rPr>
          <w:rFonts w:cs="Calibri"/>
          <w:color w:val="auto"/>
          <w:spacing w:val="-11"/>
          <w:w w:val="110"/>
          <w:szCs w:val="22"/>
        </w:rPr>
        <w:t xml:space="preserve"> </w:t>
      </w:r>
      <w:r w:rsidRPr="00DD7BD1">
        <w:rPr>
          <w:rFonts w:cs="Calibri"/>
          <w:color w:val="auto"/>
          <w:w w:val="110"/>
          <w:szCs w:val="22"/>
        </w:rPr>
        <w:t>Creditable</w:t>
      </w:r>
      <w:r w:rsidRPr="00DD7BD1">
        <w:rPr>
          <w:rFonts w:cs="Calibri"/>
          <w:color w:val="auto"/>
          <w:spacing w:val="-10"/>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8"/>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95">
        <w:r w:rsidRPr="00DD7BD1">
          <w:rPr>
            <w:rFonts w:cs="Calibri"/>
            <w:color w:val="0000FF"/>
            <w:w w:val="110"/>
            <w:szCs w:val="22"/>
            <w:u w:val="single" w:color="0000FF"/>
          </w:rPr>
          <w:t>HERE</w:t>
        </w:r>
      </w:hyperlink>
      <w:r w:rsidRPr="00DD7BD1">
        <w:rPr>
          <w:rFonts w:cs="Calibri"/>
          <w:color w:val="0000FF"/>
          <w:spacing w:val="-9"/>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2026</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 xml:space="preserve">D Redesign Program instructions </w:t>
      </w:r>
      <w:hyperlink r:id="rId296">
        <w:r w:rsidRPr="00DD7BD1">
          <w:rPr>
            <w:rFonts w:cs="Calibri"/>
            <w:color w:val="0000FF"/>
            <w:w w:val="110"/>
            <w:szCs w:val="22"/>
            <w:u w:val="single" w:color="0000FF"/>
          </w:rPr>
          <w:t>HERE</w:t>
        </w:r>
      </w:hyperlink>
    </w:p>
    <w:p w14:paraId="24CB7620" w14:textId="77777777" w:rsidR="00E43496" w:rsidRPr="00DD7BD1" w:rsidRDefault="00E43496" w:rsidP="00E43496">
      <w:pPr>
        <w:pStyle w:val="Heading1"/>
        <w:spacing w:before="0" w:beforeAutospacing="0" w:after="0" w:afterAutospacing="0"/>
        <w:ind w:right="356"/>
        <w:jc w:val="center"/>
        <w:rPr>
          <w:rFonts w:ascii="Calibri" w:eastAsiaTheme="minorHAnsi" w:hAnsi="Calibri" w:cs="Calibri"/>
          <w:color w:val="C00000"/>
          <w:kern w:val="0"/>
          <w:sz w:val="22"/>
          <w:szCs w:val="22"/>
          <w:highlight w:val="magenta"/>
        </w:rPr>
      </w:pPr>
    </w:p>
    <w:p w14:paraId="2C7F68A4" w14:textId="4FC2639D" w:rsidR="00E43496" w:rsidRPr="00DD7BD1" w:rsidRDefault="00E43496" w:rsidP="00E43496">
      <w:pPr>
        <w:pStyle w:val="Heading1"/>
        <w:spacing w:before="0" w:beforeAutospacing="0" w:after="0" w:afterAutospacing="0"/>
        <w:ind w:right="356"/>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Federal Contractor VETS 4212 Filing – Due </w:t>
      </w:r>
      <w:r w:rsidRPr="00DD7BD1">
        <w:rPr>
          <w:rFonts w:ascii="Calibri" w:eastAsiaTheme="minorHAnsi" w:hAnsi="Calibri" w:cs="Calibri"/>
          <w:color w:val="C00000"/>
          <w:kern w:val="0"/>
          <w:sz w:val="28"/>
          <w:szCs w:val="28"/>
        </w:rPr>
        <w:t>Sept 30, 2025</w:t>
      </w:r>
    </w:p>
    <w:p w14:paraId="2EDE2C34" w14:textId="77777777" w:rsidR="00E43496" w:rsidRPr="00DD7BD1" w:rsidRDefault="00E43496" w:rsidP="00E43496">
      <w:pPr>
        <w:pStyle w:val="BodyText"/>
        <w:spacing w:after="0" w:line="240" w:lineRule="auto"/>
        <w:ind w:right="-274"/>
        <w:jc w:val="left"/>
        <w:rPr>
          <w:rFonts w:cs="Calibri"/>
          <w:color w:val="auto"/>
          <w:w w:val="110"/>
          <w:szCs w:val="22"/>
        </w:rPr>
      </w:pPr>
      <w:r w:rsidRPr="00DD7BD1">
        <w:rPr>
          <w:rFonts w:cs="Calibri"/>
          <w:color w:val="auto"/>
          <w:w w:val="110"/>
          <w:szCs w:val="22"/>
        </w:rPr>
        <w:t>Federal</w:t>
      </w:r>
      <w:r w:rsidRPr="00DD7BD1">
        <w:rPr>
          <w:rFonts w:cs="Calibri"/>
          <w:color w:val="auto"/>
          <w:spacing w:val="-11"/>
          <w:w w:val="110"/>
          <w:szCs w:val="22"/>
        </w:rPr>
        <w:t xml:space="preserve"> </w:t>
      </w:r>
      <w:r w:rsidRPr="00DD7BD1">
        <w:rPr>
          <w:rFonts w:cs="Calibri"/>
          <w:color w:val="auto"/>
          <w:w w:val="110"/>
          <w:szCs w:val="22"/>
        </w:rPr>
        <w:t>contractors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contract</w:t>
      </w:r>
      <w:r w:rsidRPr="00DD7BD1">
        <w:rPr>
          <w:rFonts w:cs="Calibri"/>
          <w:color w:val="auto"/>
          <w:spacing w:val="-7"/>
          <w:w w:val="110"/>
          <w:szCs w:val="22"/>
        </w:rPr>
        <w:t xml:space="preserve"> </w:t>
      </w:r>
      <w:r w:rsidRPr="00DD7BD1">
        <w:rPr>
          <w:rFonts w:cs="Calibri"/>
          <w:color w:val="auto"/>
          <w:w w:val="110"/>
          <w:szCs w:val="22"/>
        </w:rPr>
        <w:t>worth</w:t>
      </w:r>
      <w:r w:rsidRPr="00DD7BD1">
        <w:rPr>
          <w:rFonts w:cs="Calibri"/>
          <w:color w:val="auto"/>
          <w:spacing w:val="-5"/>
          <w:w w:val="110"/>
          <w:szCs w:val="22"/>
        </w:rPr>
        <w:t xml:space="preserve"> </w:t>
      </w:r>
      <w:r w:rsidRPr="00DD7BD1">
        <w:rPr>
          <w:rFonts w:cs="Calibri"/>
          <w:color w:val="auto"/>
          <w:w w:val="110"/>
          <w:szCs w:val="22"/>
        </w:rPr>
        <w:t>$150,000</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more</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file</w:t>
      </w:r>
      <w:r w:rsidRPr="00DD7BD1">
        <w:rPr>
          <w:rFonts w:cs="Calibri"/>
          <w:color w:val="auto"/>
          <w:spacing w:val="-4"/>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VETS-4212</w:t>
      </w:r>
      <w:r w:rsidRPr="00DD7BD1">
        <w:rPr>
          <w:rFonts w:cs="Calibri"/>
          <w:color w:val="auto"/>
          <w:spacing w:val="-5"/>
          <w:w w:val="110"/>
          <w:szCs w:val="22"/>
        </w:rPr>
        <w:t xml:space="preserve"> </w:t>
      </w:r>
      <w:r w:rsidRPr="00DD7BD1">
        <w:rPr>
          <w:rFonts w:cs="Calibri"/>
          <w:color w:val="auto"/>
          <w:w w:val="110"/>
          <w:szCs w:val="22"/>
        </w:rPr>
        <w:t>Report,</w:t>
      </w:r>
      <w:r w:rsidRPr="00DD7BD1">
        <w:rPr>
          <w:rFonts w:cs="Calibri"/>
          <w:color w:val="auto"/>
          <w:spacing w:val="-5"/>
          <w:w w:val="110"/>
          <w:szCs w:val="22"/>
        </w:rPr>
        <w:t xml:space="preserve"> </w:t>
      </w:r>
      <w:r w:rsidRPr="00DD7BD1">
        <w:rPr>
          <w:rFonts w:cs="Calibri"/>
          <w:color w:val="auto"/>
          <w:w w:val="110"/>
          <w:szCs w:val="22"/>
        </w:rPr>
        <w:t>which is due on September 30 of each year.</w:t>
      </w:r>
    </w:p>
    <w:p w14:paraId="1C528B74" w14:textId="77777777" w:rsidR="00E43496" w:rsidRPr="00DD7BD1" w:rsidRDefault="00E43496" w:rsidP="00E43496">
      <w:pPr>
        <w:pStyle w:val="BodyText"/>
        <w:spacing w:after="0" w:line="240" w:lineRule="auto"/>
        <w:ind w:right="-274"/>
        <w:jc w:val="left"/>
        <w:rPr>
          <w:rFonts w:cs="Calibri"/>
          <w:color w:val="auto"/>
          <w:sz w:val="16"/>
          <w:szCs w:val="16"/>
        </w:rPr>
      </w:pPr>
    </w:p>
    <w:p w14:paraId="25BC9C5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VETS-4212</w:t>
      </w:r>
      <w:r w:rsidRPr="00DD7BD1">
        <w:rPr>
          <w:rFonts w:cs="Calibri"/>
          <w:color w:val="auto"/>
          <w:spacing w:val="-13"/>
          <w:w w:val="110"/>
          <w:szCs w:val="22"/>
        </w:rPr>
        <w:t xml:space="preserve"> </w:t>
      </w:r>
      <w:r w:rsidRPr="00DD7BD1">
        <w:rPr>
          <w:rFonts w:cs="Calibri"/>
          <w:color w:val="auto"/>
          <w:w w:val="110"/>
          <w:szCs w:val="22"/>
        </w:rPr>
        <w:t>Report</w:t>
      </w:r>
      <w:r w:rsidRPr="00DD7BD1">
        <w:rPr>
          <w:rFonts w:cs="Calibri"/>
          <w:color w:val="auto"/>
          <w:spacing w:val="-14"/>
          <w:w w:val="110"/>
          <w:szCs w:val="22"/>
        </w:rPr>
        <w:t xml:space="preserve"> </w:t>
      </w:r>
      <w:r w:rsidRPr="00DD7BD1">
        <w:rPr>
          <w:rFonts w:cs="Calibri"/>
          <w:color w:val="auto"/>
          <w:w w:val="110"/>
          <w:szCs w:val="22"/>
        </w:rPr>
        <w:t>generally</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2"/>
          <w:w w:val="110"/>
          <w:szCs w:val="22"/>
        </w:rPr>
        <w:t xml:space="preserve"> </w:t>
      </w:r>
      <w:r w:rsidRPr="00DD7BD1">
        <w:rPr>
          <w:rFonts w:cs="Calibri"/>
          <w:color w:val="auto"/>
          <w:w w:val="110"/>
          <w:szCs w:val="22"/>
        </w:rPr>
        <w:t>information</w:t>
      </w:r>
      <w:r w:rsidRPr="00DD7BD1">
        <w:rPr>
          <w:rFonts w:cs="Calibri"/>
          <w:color w:val="auto"/>
          <w:spacing w:val="-13"/>
          <w:w w:val="110"/>
          <w:szCs w:val="22"/>
        </w:rPr>
        <w:t xml:space="preserve"> </w:t>
      </w:r>
      <w:r w:rsidRPr="00DD7BD1">
        <w:rPr>
          <w:rFonts w:cs="Calibri"/>
          <w:color w:val="auto"/>
          <w:w w:val="110"/>
          <w:szCs w:val="22"/>
        </w:rPr>
        <w:t>about</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contractor’s</w:t>
      </w:r>
      <w:r w:rsidRPr="00DD7BD1">
        <w:rPr>
          <w:rFonts w:cs="Calibri"/>
          <w:color w:val="auto"/>
          <w:spacing w:val="-12"/>
          <w:w w:val="110"/>
          <w:szCs w:val="22"/>
        </w:rPr>
        <w:t xml:space="preserve"> </w:t>
      </w:r>
      <w:r w:rsidRPr="00DD7BD1">
        <w:rPr>
          <w:rFonts w:cs="Calibri"/>
          <w:color w:val="auto"/>
          <w:w w:val="110"/>
          <w:szCs w:val="22"/>
        </w:rPr>
        <w:t>workforce</w:t>
      </w:r>
      <w:r w:rsidRPr="00DD7BD1">
        <w:rPr>
          <w:rFonts w:cs="Calibri"/>
          <w:color w:val="auto"/>
          <w:spacing w:val="-13"/>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each</w:t>
      </w:r>
      <w:r w:rsidRPr="00DD7BD1">
        <w:rPr>
          <w:rFonts w:cs="Calibri"/>
          <w:color w:val="auto"/>
          <w:spacing w:val="-13"/>
          <w:w w:val="110"/>
          <w:szCs w:val="22"/>
        </w:rPr>
        <w:t xml:space="preserve"> </w:t>
      </w:r>
      <w:r w:rsidRPr="00DD7BD1">
        <w:rPr>
          <w:rFonts w:cs="Calibri"/>
          <w:color w:val="auto"/>
          <w:w w:val="110"/>
          <w:szCs w:val="22"/>
        </w:rPr>
        <w:t>hiring</w:t>
      </w:r>
      <w:r w:rsidRPr="00DD7BD1">
        <w:rPr>
          <w:rFonts w:cs="Calibri"/>
          <w:color w:val="auto"/>
          <w:spacing w:val="-11"/>
          <w:w w:val="110"/>
          <w:szCs w:val="22"/>
        </w:rPr>
        <w:t xml:space="preserve"> </w:t>
      </w:r>
      <w:r w:rsidRPr="00DD7BD1">
        <w:rPr>
          <w:rFonts w:cs="Calibri"/>
          <w:color w:val="auto"/>
          <w:spacing w:val="-2"/>
          <w:w w:val="110"/>
          <w:szCs w:val="22"/>
        </w:rPr>
        <w:t>location,</w:t>
      </w:r>
    </w:p>
    <w:p w14:paraId="4FC655C0"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spacing w:val="-2"/>
          <w:w w:val="110"/>
          <w:szCs w:val="22"/>
        </w:rPr>
        <w:t>following:</w:t>
      </w:r>
    </w:p>
    <w:p w14:paraId="06D47DAC"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16"/>
        </w:rPr>
        <w:t xml:space="preserve"> </w:t>
      </w:r>
      <w:r w:rsidRPr="00DD7BD1">
        <w:rPr>
          <w:rFonts w:ascii="Calibri" w:hAnsi="Calibri" w:cs="Calibri"/>
        </w:rPr>
        <w:t>of</w:t>
      </w:r>
      <w:r w:rsidRPr="00DD7BD1">
        <w:rPr>
          <w:rFonts w:ascii="Calibri" w:hAnsi="Calibri" w:cs="Calibri"/>
          <w:spacing w:val="20"/>
        </w:rPr>
        <w:t xml:space="preserve"> </w:t>
      </w:r>
      <w:r w:rsidRPr="00DD7BD1">
        <w:rPr>
          <w:rFonts w:ascii="Calibri" w:hAnsi="Calibri" w:cs="Calibri"/>
          <w:spacing w:val="-2"/>
        </w:rPr>
        <w:t>employees</w:t>
      </w:r>
    </w:p>
    <w:p w14:paraId="20E5D79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2"/>
        </w:rPr>
        <w:t xml:space="preserve"> </w:t>
      </w:r>
      <w:r w:rsidRPr="00DD7BD1">
        <w:rPr>
          <w:rFonts w:ascii="Calibri" w:hAnsi="Calibri" w:cs="Calibri"/>
        </w:rPr>
        <w:t>of</w:t>
      </w:r>
      <w:r w:rsidRPr="00DD7BD1">
        <w:rPr>
          <w:rFonts w:ascii="Calibri" w:hAnsi="Calibri" w:cs="Calibri"/>
          <w:spacing w:val="23"/>
        </w:rPr>
        <w:t xml:space="preserve"> </w:t>
      </w:r>
      <w:r w:rsidRPr="00DD7BD1">
        <w:rPr>
          <w:rFonts w:ascii="Calibri" w:hAnsi="Calibri" w:cs="Calibri"/>
        </w:rPr>
        <w:t>protected</w:t>
      </w:r>
      <w:r w:rsidRPr="00DD7BD1">
        <w:rPr>
          <w:rFonts w:ascii="Calibri" w:hAnsi="Calibri" w:cs="Calibri"/>
          <w:spacing w:val="28"/>
        </w:rPr>
        <w:t xml:space="preserve"> </w:t>
      </w:r>
      <w:r w:rsidRPr="00DD7BD1">
        <w:rPr>
          <w:rFonts w:ascii="Calibri" w:hAnsi="Calibri" w:cs="Calibri"/>
          <w:spacing w:val="-2"/>
        </w:rPr>
        <w:t>veterans</w:t>
      </w:r>
    </w:p>
    <w:p w14:paraId="2C8BDCB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1"/>
        </w:rPr>
        <w:t xml:space="preserve"> </w:t>
      </w:r>
      <w:r w:rsidRPr="00DD7BD1">
        <w:rPr>
          <w:rFonts w:ascii="Calibri" w:hAnsi="Calibri" w:cs="Calibri"/>
        </w:rPr>
        <w:t>of</w:t>
      </w:r>
      <w:r w:rsidRPr="00DD7BD1">
        <w:rPr>
          <w:rFonts w:ascii="Calibri" w:hAnsi="Calibri" w:cs="Calibri"/>
          <w:spacing w:val="26"/>
        </w:rPr>
        <w:t xml:space="preserve"> </w:t>
      </w:r>
      <w:r w:rsidRPr="00DD7BD1">
        <w:rPr>
          <w:rFonts w:ascii="Calibri" w:hAnsi="Calibri" w:cs="Calibri"/>
        </w:rPr>
        <w:t>new</w:t>
      </w:r>
      <w:r w:rsidRPr="00DD7BD1">
        <w:rPr>
          <w:rFonts w:ascii="Calibri" w:hAnsi="Calibri" w:cs="Calibri"/>
          <w:spacing w:val="21"/>
        </w:rPr>
        <w:t xml:space="preserve"> </w:t>
      </w:r>
      <w:r w:rsidRPr="00DD7BD1">
        <w:rPr>
          <w:rFonts w:ascii="Calibri" w:hAnsi="Calibri" w:cs="Calibri"/>
        </w:rPr>
        <w:t>hires</w:t>
      </w:r>
      <w:r w:rsidRPr="00DD7BD1">
        <w:rPr>
          <w:rFonts w:ascii="Calibri" w:hAnsi="Calibri" w:cs="Calibri"/>
          <w:spacing w:val="27"/>
        </w:rPr>
        <w:t xml:space="preserve"> </w:t>
      </w:r>
      <w:r w:rsidRPr="00DD7BD1">
        <w:rPr>
          <w:rFonts w:ascii="Calibri" w:hAnsi="Calibri" w:cs="Calibri"/>
        </w:rPr>
        <w:t>during</w:t>
      </w:r>
      <w:r w:rsidRPr="00DD7BD1">
        <w:rPr>
          <w:rFonts w:ascii="Calibri" w:hAnsi="Calibri" w:cs="Calibri"/>
          <w:spacing w:val="24"/>
        </w:rPr>
        <w:t xml:space="preserve"> </w:t>
      </w:r>
      <w:r w:rsidRPr="00DD7BD1">
        <w:rPr>
          <w:rFonts w:ascii="Calibri" w:hAnsi="Calibri" w:cs="Calibri"/>
        </w:rPr>
        <w:t>the</w:t>
      </w:r>
      <w:r w:rsidRPr="00DD7BD1">
        <w:rPr>
          <w:rFonts w:ascii="Calibri" w:hAnsi="Calibri" w:cs="Calibri"/>
          <w:spacing w:val="22"/>
        </w:rPr>
        <w:t xml:space="preserve"> </w:t>
      </w:r>
      <w:r w:rsidRPr="00DD7BD1">
        <w:rPr>
          <w:rFonts w:ascii="Calibri" w:hAnsi="Calibri" w:cs="Calibri"/>
          <w:spacing w:val="-4"/>
        </w:rPr>
        <w:t>year</w:t>
      </w:r>
    </w:p>
    <w:p w14:paraId="0C9E7EA5"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w w:val="105"/>
        </w:rPr>
        <w:t>Number</w:t>
      </w:r>
      <w:r w:rsidRPr="00DD7BD1">
        <w:rPr>
          <w:rFonts w:ascii="Calibri" w:hAnsi="Calibri" w:cs="Calibri"/>
          <w:spacing w:val="-4"/>
          <w:w w:val="105"/>
        </w:rPr>
        <w:t xml:space="preserve"> </w:t>
      </w:r>
      <w:r w:rsidRPr="00DD7BD1">
        <w:rPr>
          <w:rFonts w:ascii="Calibri" w:hAnsi="Calibri" w:cs="Calibri"/>
          <w:w w:val="105"/>
        </w:rPr>
        <w:t>of</w:t>
      </w:r>
      <w:r w:rsidRPr="00DD7BD1">
        <w:rPr>
          <w:rFonts w:ascii="Calibri" w:hAnsi="Calibri" w:cs="Calibri"/>
          <w:spacing w:val="-3"/>
          <w:w w:val="105"/>
        </w:rPr>
        <w:t xml:space="preserve"> </w:t>
      </w:r>
      <w:r w:rsidRPr="00DD7BD1">
        <w:rPr>
          <w:rFonts w:ascii="Calibri" w:hAnsi="Calibri" w:cs="Calibri"/>
          <w:w w:val="105"/>
        </w:rPr>
        <w:t>protected veteran</w:t>
      </w:r>
      <w:r w:rsidRPr="00DD7BD1">
        <w:rPr>
          <w:rFonts w:ascii="Calibri" w:hAnsi="Calibri" w:cs="Calibri"/>
          <w:spacing w:val="-3"/>
          <w:w w:val="105"/>
        </w:rPr>
        <w:t xml:space="preserve"> </w:t>
      </w:r>
      <w:r w:rsidRPr="00DD7BD1">
        <w:rPr>
          <w:rFonts w:ascii="Calibri" w:hAnsi="Calibri" w:cs="Calibri"/>
          <w:w w:val="105"/>
        </w:rPr>
        <w:t>hires during</w:t>
      </w:r>
      <w:r w:rsidRPr="00DD7BD1">
        <w:rPr>
          <w:rFonts w:ascii="Calibri" w:hAnsi="Calibri" w:cs="Calibri"/>
          <w:spacing w:val="-2"/>
          <w:w w:val="105"/>
        </w:rPr>
        <w:t xml:space="preserve"> </w:t>
      </w:r>
      <w:r w:rsidRPr="00DD7BD1">
        <w:rPr>
          <w:rFonts w:ascii="Calibri" w:hAnsi="Calibri" w:cs="Calibri"/>
          <w:w w:val="105"/>
        </w:rPr>
        <w:t>the</w:t>
      </w:r>
      <w:r w:rsidRPr="00DD7BD1">
        <w:rPr>
          <w:rFonts w:ascii="Calibri" w:hAnsi="Calibri" w:cs="Calibri"/>
          <w:spacing w:val="1"/>
          <w:w w:val="105"/>
        </w:rPr>
        <w:t xml:space="preserve"> </w:t>
      </w:r>
      <w:r w:rsidRPr="00DD7BD1">
        <w:rPr>
          <w:rFonts w:ascii="Calibri" w:hAnsi="Calibri" w:cs="Calibri"/>
          <w:spacing w:val="-4"/>
          <w:w w:val="105"/>
        </w:rPr>
        <w:t>year</w:t>
      </w:r>
    </w:p>
    <w:p w14:paraId="376D3B96" w14:textId="77777777" w:rsidR="00E43496" w:rsidRPr="00DD7BD1" w:rsidRDefault="00E43496" w:rsidP="00E43496">
      <w:pPr>
        <w:pStyle w:val="BodyText"/>
        <w:spacing w:after="0" w:line="240" w:lineRule="auto"/>
        <w:ind w:right="-274"/>
        <w:jc w:val="left"/>
        <w:rPr>
          <w:rFonts w:cs="Calibri"/>
          <w:color w:val="auto"/>
          <w:sz w:val="16"/>
          <w:szCs w:val="16"/>
        </w:rPr>
      </w:pPr>
    </w:p>
    <w:p w14:paraId="7493B372"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szCs w:val="22"/>
        </w:rPr>
        <w:t xml:space="preserve">The same data and snapshot period can be used for both the 2024 EEO-1 and 2024 VETS-4212 reports provided </w:t>
      </w:r>
      <w:r w:rsidRPr="00DD7BD1">
        <w:rPr>
          <w:rFonts w:cs="Calibri"/>
          <w:color w:val="auto"/>
          <w:spacing w:val="-2"/>
          <w:w w:val="110"/>
          <w:szCs w:val="22"/>
        </w:rPr>
        <w:t>conditions</w:t>
      </w:r>
      <w:r w:rsidRPr="00DD7BD1">
        <w:rPr>
          <w:rFonts w:cs="Calibri"/>
          <w:color w:val="auto"/>
          <w:spacing w:val="-15"/>
          <w:w w:val="110"/>
          <w:szCs w:val="22"/>
        </w:rPr>
        <w:t xml:space="preserve"> </w:t>
      </w:r>
      <w:r w:rsidRPr="00DD7BD1">
        <w:rPr>
          <w:rFonts w:cs="Calibri"/>
          <w:color w:val="auto"/>
          <w:spacing w:val="-2"/>
          <w:w w:val="110"/>
          <w:szCs w:val="22"/>
        </w:rPr>
        <w:t>are</w:t>
      </w:r>
      <w:r w:rsidRPr="00DD7BD1">
        <w:rPr>
          <w:rFonts w:cs="Calibri"/>
          <w:color w:val="auto"/>
          <w:spacing w:val="-15"/>
          <w:w w:val="110"/>
          <w:szCs w:val="22"/>
        </w:rPr>
        <w:t xml:space="preserve"> </w:t>
      </w:r>
      <w:r w:rsidRPr="00DD7BD1">
        <w:rPr>
          <w:rFonts w:cs="Calibri"/>
          <w:color w:val="auto"/>
          <w:spacing w:val="-2"/>
          <w:w w:val="110"/>
          <w:szCs w:val="22"/>
        </w:rPr>
        <w:t>met</w:t>
      </w:r>
      <w:r w:rsidRPr="00DD7BD1">
        <w:rPr>
          <w:rFonts w:cs="Calibri"/>
          <w:color w:val="auto"/>
          <w:spacing w:val="-15"/>
          <w:w w:val="110"/>
          <w:szCs w:val="22"/>
        </w:rPr>
        <w:t xml:space="preserve"> </w:t>
      </w:r>
      <w:r w:rsidRPr="00DD7BD1">
        <w:rPr>
          <w:rFonts w:cs="Calibri"/>
          <w:color w:val="auto"/>
          <w:spacing w:val="-2"/>
          <w:w w:val="110"/>
          <w:szCs w:val="22"/>
        </w:rPr>
        <w:t>and</w:t>
      </w:r>
      <w:r w:rsidRPr="00DD7BD1">
        <w:rPr>
          <w:rFonts w:cs="Calibri"/>
          <w:color w:val="auto"/>
          <w:spacing w:val="-15"/>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additional</w:t>
      </w:r>
      <w:r w:rsidRPr="00DD7BD1">
        <w:rPr>
          <w:rFonts w:cs="Calibri"/>
          <w:color w:val="auto"/>
          <w:spacing w:val="-14"/>
          <w:w w:val="110"/>
          <w:szCs w:val="22"/>
        </w:rPr>
        <w:t xml:space="preserve"> </w:t>
      </w:r>
      <w:r w:rsidRPr="00DD7BD1">
        <w:rPr>
          <w:rFonts w:cs="Calibri"/>
          <w:color w:val="auto"/>
          <w:spacing w:val="-2"/>
          <w:w w:val="110"/>
          <w:szCs w:val="22"/>
        </w:rPr>
        <w:t>Protected</w:t>
      </w:r>
      <w:r w:rsidRPr="00DD7BD1">
        <w:rPr>
          <w:rFonts w:cs="Calibri"/>
          <w:color w:val="auto"/>
          <w:spacing w:val="-15"/>
          <w:w w:val="110"/>
          <w:szCs w:val="22"/>
        </w:rPr>
        <w:t xml:space="preserve"> </w:t>
      </w:r>
      <w:r w:rsidRPr="00DD7BD1">
        <w:rPr>
          <w:rFonts w:cs="Calibri"/>
          <w:color w:val="auto"/>
          <w:spacing w:val="-2"/>
          <w:w w:val="110"/>
          <w:szCs w:val="22"/>
        </w:rPr>
        <w:t>Veteran</w:t>
      </w:r>
      <w:r w:rsidRPr="00DD7BD1">
        <w:rPr>
          <w:rFonts w:cs="Calibri"/>
          <w:color w:val="auto"/>
          <w:spacing w:val="-15"/>
          <w:w w:val="110"/>
          <w:szCs w:val="22"/>
        </w:rPr>
        <w:t xml:space="preserve"> </w:t>
      </w:r>
      <w:r w:rsidRPr="00DD7BD1">
        <w:rPr>
          <w:rFonts w:cs="Calibri"/>
          <w:color w:val="auto"/>
          <w:spacing w:val="-2"/>
          <w:w w:val="110"/>
          <w:szCs w:val="22"/>
        </w:rPr>
        <w:t>Count</w:t>
      </w:r>
      <w:r w:rsidRPr="00DD7BD1">
        <w:rPr>
          <w:rFonts w:cs="Calibri"/>
          <w:color w:val="auto"/>
          <w:spacing w:val="-15"/>
          <w:w w:val="110"/>
          <w:szCs w:val="22"/>
        </w:rPr>
        <w:t xml:space="preserve"> </w:t>
      </w:r>
      <w:r w:rsidRPr="00DD7BD1">
        <w:rPr>
          <w:rFonts w:cs="Calibri"/>
          <w:color w:val="auto"/>
          <w:spacing w:val="-2"/>
          <w:w w:val="110"/>
          <w:szCs w:val="22"/>
        </w:rPr>
        <w:t>provided</w:t>
      </w:r>
      <w:r w:rsidRPr="00DD7BD1">
        <w:rPr>
          <w:rFonts w:cs="Calibri"/>
          <w:color w:val="auto"/>
          <w:spacing w:val="-15"/>
          <w:w w:val="110"/>
          <w:szCs w:val="22"/>
        </w:rPr>
        <w:t xml:space="preserve"> </w:t>
      </w:r>
      <w:r w:rsidRPr="00DD7BD1">
        <w:rPr>
          <w:rFonts w:cs="Calibri"/>
          <w:color w:val="auto"/>
          <w:spacing w:val="-2"/>
          <w:w w:val="110"/>
          <w:szCs w:val="22"/>
        </w:rPr>
        <w:t>along</w:t>
      </w:r>
      <w:r w:rsidRPr="00DD7BD1">
        <w:rPr>
          <w:rFonts w:cs="Calibri"/>
          <w:color w:val="auto"/>
          <w:spacing w:val="-14"/>
          <w:w w:val="110"/>
          <w:szCs w:val="22"/>
        </w:rPr>
        <w:t xml:space="preserve"> </w:t>
      </w:r>
      <w:r w:rsidRPr="00DD7BD1">
        <w:rPr>
          <w:rFonts w:cs="Calibri"/>
          <w:color w:val="auto"/>
          <w:spacing w:val="-2"/>
          <w:w w:val="110"/>
          <w:szCs w:val="22"/>
        </w:rPr>
        <w:t>with</w:t>
      </w:r>
      <w:r w:rsidRPr="00DD7BD1">
        <w:rPr>
          <w:rFonts w:cs="Calibri"/>
          <w:color w:val="auto"/>
          <w:spacing w:val="-15"/>
          <w:w w:val="110"/>
          <w:szCs w:val="22"/>
        </w:rPr>
        <w:t xml:space="preserve"> </w:t>
      </w:r>
      <w:r w:rsidRPr="00DD7BD1">
        <w:rPr>
          <w:rFonts w:cs="Calibri"/>
          <w:color w:val="auto"/>
          <w:spacing w:val="-2"/>
          <w:w w:val="110"/>
          <w:szCs w:val="22"/>
        </w:rPr>
        <w:t>Total</w:t>
      </w:r>
      <w:r w:rsidRPr="00DD7BD1">
        <w:rPr>
          <w:rFonts w:cs="Calibri"/>
          <w:color w:val="auto"/>
          <w:spacing w:val="-15"/>
          <w:w w:val="110"/>
          <w:szCs w:val="22"/>
        </w:rPr>
        <w:t xml:space="preserve"> </w:t>
      </w:r>
      <w:r w:rsidRPr="00DD7BD1">
        <w:rPr>
          <w:rFonts w:cs="Calibri"/>
          <w:color w:val="auto"/>
          <w:spacing w:val="-2"/>
          <w:w w:val="110"/>
          <w:szCs w:val="22"/>
        </w:rPr>
        <w:t>Employees.</w:t>
      </w:r>
      <w:r w:rsidRPr="00DD7BD1">
        <w:rPr>
          <w:rFonts w:cs="Calibri"/>
          <w:color w:val="auto"/>
          <w:spacing w:val="55"/>
          <w:w w:val="110"/>
          <w:szCs w:val="22"/>
        </w:rPr>
        <w:t xml:space="preserve"> </w:t>
      </w:r>
      <w:r w:rsidRPr="00DD7BD1">
        <w:rPr>
          <w:rFonts w:cs="Calibri"/>
          <w:color w:val="auto"/>
          <w:spacing w:val="-2"/>
          <w:w w:val="110"/>
          <w:szCs w:val="22"/>
        </w:rPr>
        <w:t>A</w:t>
      </w:r>
      <w:r w:rsidRPr="00DD7BD1">
        <w:rPr>
          <w:rFonts w:cs="Calibri"/>
          <w:color w:val="auto"/>
          <w:spacing w:val="-15"/>
          <w:w w:val="110"/>
          <w:szCs w:val="22"/>
        </w:rPr>
        <w:t xml:space="preserve"> </w:t>
      </w:r>
      <w:r w:rsidRPr="00DD7BD1">
        <w:rPr>
          <w:rFonts w:cs="Calibri"/>
          <w:color w:val="auto"/>
          <w:spacing w:val="-2"/>
          <w:w w:val="110"/>
          <w:szCs w:val="22"/>
        </w:rPr>
        <w:t xml:space="preserve">sample </w:t>
      </w:r>
      <w:r w:rsidRPr="00DD7BD1">
        <w:rPr>
          <w:rFonts w:cs="Calibri"/>
          <w:color w:val="auto"/>
          <w:w w:val="110"/>
          <w:szCs w:val="22"/>
        </w:rPr>
        <w:t>VETS 4212 report is provided as an example.</w:t>
      </w:r>
    </w:p>
    <w:p w14:paraId="615800F7" w14:textId="77777777" w:rsidR="00E43496" w:rsidRPr="00DD7BD1" w:rsidRDefault="00E43496" w:rsidP="00E43496">
      <w:pPr>
        <w:pStyle w:val="BodyText"/>
        <w:spacing w:after="0" w:line="240" w:lineRule="auto"/>
        <w:ind w:right="-274"/>
        <w:jc w:val="left"/>
        <w:rPr>
          <w:rFonts w:cs="Calibri"/>
          <w:color w:val="auto"/>
          <w:sz w:val="16"/>
          <w:szCs w:val="16"/>
        </w:rPr>
      </w:pPr>
    </w:p>
    <w:p w14:paraId="0829FAF2"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Filing Period</w:t>
      </w:r>
    </w:p>
    <w:p w14:paraId="4D8CC904"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lastRenderedPageBreak/>
        <w:t>The</w:t>
      </w:r>
      <w:r w:rsidRPr="00DD7BD1">
        <w:rPr>
          <w:rFonts w:ascii="Calibri" w:hAnsi="Calibri" w:cs="Calibri"/>
          <w:spacing w:val="-17"/>
          <w:w w:val="110"/>
        </w:rPr>
        <w:t xml:space="preserve"> </w:t>
      </w:r>
      <w:r w:rsidRPr="00DD7BD1">
        <w:rPr>
          <w:rFonts w:ascii="Calibri" w:hAnsi="Calibri" w:cs="Calibri"/>
          <w:w w:val="110"/>
        </w:rPr>
        <w:t>official</w:t>
      </w:r>
      <w:r w:rsidRPr="00DD7BD1">
        <w:rPr>
          <w:rFonts w:ascii="Calibri" w:hAnsi="Calibri" w:cs="Calibri"/>
          <w:spacing w:val="-17"/>
          <w:w w:val="110"/>
        </w:rPr>
        <w:t xml:space="preserve"> </w:t>
      </w:r>
      <w:r w:rsidRPr="00DD7BD1">
        <w:rPr>
          <w:rFonts w:ascii="Calibri" w:hAnsi="Calibri" w:cs="Calibri"/>
          <w:w w:val="110"/>
        </w:rPr>
        <w:t>filing</w:t>
      </w:r>
      <w:r w:rsidRPr="00DD7BD1">
        <w:rPr>
          <w:rFonts w:ascii="Calibri" w:hAnsi="Calibri" w:cs="Calibri"/>
          <w:spacing w:val="-17"/>
          <w:w w:val="110"/>
        </w:rPr>
        <w:t xml:space="preserve"> </w:t>
      </w:r>
      <w:r w:rsidRPr="00DD7BD1">
        <w:rPr>
          <w:rFonts w:ascii="Calibri" w:hAnsi="Calibri" w:cs="Calibri"/>
          <w:w w:val="110"/>
        </w:rPr>
        <w:t>cycle</w:t>
      </w:r>
      <w:r w:rsidRPr="00DD7BD1">
        <w:rPr>
          <w:rFonts w:ascii="Calibri" w:hAnsi="Calibri" w:cs="Calibri"/>
          <w:spacing w:val="-13"/>
          <w:w w:val="110"/>
        </w:rPr>
        <w:t xml:space="preserve"> </w:t>
      </w:r>
      <w:r w:rsidRPr="00DD7BD1">
        <w:rPr>
          <w:rFonts w:ascii="Calibri" w:hAnsi="Calibri" w:cs="Calibri"/>
          <w:w w:val="110"/>
        </w:rPr>
        <w:t>is</w:t>
      </w:r>
      <w:r w:rsidRPr="00DD7BD1">
        <w:rPr>
          <w:rFonts w:ascii="Calibri" w:hAnsi="Calibri" w:cs="Calibri"/>
          <w:spacing w:val="-14"/>
          <w:w w:val="110"/>
        </w:rPr>
        <w:t xml:space="preserve"> </w:t>
      </w:r>
      <w:r w:rsidRPr="00DD7BD1">
        <w:rPr>
          <w:rFonts w:ascii="Calibri" w:hAnsi="Calibri" w:cs="Calibri"/>
          <w:w w:val="110"/>
        </w:rPr>
        <w:t>yearly,</w:t>
      </w:r>
      <w:r w:rsidRPr="00DD7BD1">
        <w:rPr>
          <w:rFonts w:ascii="Calibri" w:hAnsi="Calibri" w:cs="Calibri"/>
          <w:spacing w:val="-11"/>
          <w:w w:val="110"/>
        </w:rPr>
        <w:t xml:space="preserve"> </w:t>
      </w:r>
      <w:r w:rsidRPr="00DD7BD1">
        <w:rPr>
          <w:rFonts w:ascii="Calibri" w:hAnsi="Calibri" w:cs="Calibri"/>
          <w:b/>
          <w:w w:val="110"/>
        </w:rPr>
        <w:t>August</w:t>
      </w:r>
      <w:r w:rsidRPr="00DD7BD1">
        <w:rPr>
          <w:rFonts w:ascii="Calibri" w:hAnsi="Calibri" w:cs="Calibri"/>
          <w:b/>
          <w:spacing w:val="-14"/>
          <w:w w:val="110"/>
        </w:rPr>
        <w:t xml:space="preserve"> </w:t>
      </w:r>
      <w:r w:rsidRPr="00DD7BD1">
        <w:rPr>
          <w:rFonts w:ascii="Calibri" w:hAnsi="Calibri" w:cs="Calibri"/>
          <w:b/>
          <w:w w:val="110"/>
        </w:rPr>
        <w:t>1</w:t>
      </w:r>
      <w:r w:rsidRPr="00DD7BD1">
        <w:rPr>
          <w:rFonts w:ascii="Calibri" w:hAnsi="Calibri" w:cs="Calibri"/>
          <w:b/>
          <w:spacing w:val="-13"/>
          <w:w w:val="110"/>
        </w:rPr>
        <w:t xml:space="preserve"> </w:t>
      </w:r>
      <w:r w:rsidRPr="00DD7BD1">
        <w:rPr>
          <w:rFonts w:ascii="Calibri" w:hAnsi="Calibri" w:cs="Calibri"/>
          <w:b/>
          <w:w w:val="110"/>
        </w:rPr>
        <w:t>to</w:t>
      </w:r>
      <w:r w:rsidRPr="00DD7BD1">
        <w:rPr>
          <w:rFonts w:ascii="Calibri" w:hAnsi="Calibri" w:cs="Calibri"/>
          <w:b/>
          <w:spacing w:val="-17"/>
          <w:w w:val="110"/>
        </w:rPr>
        <w:t xml:space="preserve"> </w:t>
      </w:r>
      <w:r w:rsidRPr="00DD7BD1">
        <w:rPr>
          <w:rFonts w:ascii="Calibri" w:hAnsi="Calibri" w:cs="Calibri"/>
          <w:b/>
          <w:w w:val="110"/>
        </w:rPr>
        <w:t>September</w:t>
      </w:r>
      <w:r w:rsidRPr="00DD7BD1">
        <w:rPr>
          <w:rFonts w:ascii="Calibri" w:hAnsi="Calibri" w:cs="Calibri"/>
          <w:b/>
          <w:spacing w:val="-15"/>
          <w:w w:val="110"/>
        </w:rPr>
        <w:t xml:space="preserve"> </w:t>
      </w:r>
      <w:r w:rsidRPr="00DD7BD1">
        <w:rPr>
          <w:rFonts w:ascii="Calibri" w:hAnsi="Calibri" w:cs="Calibri"/>
          <w:b/>
          <w:w w:val="110"/>
        </w:rPr>
        <w:t>30</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Reports</w:t>
      </w:r>
      <w:r w:rsidRPr="00DD7BD1">
        <w:rPr>
          <w:rFonts w:ascii="Calibri" w:hAnsi="Calibri" w:cs="Calibri"/>
          <w:spacing w:val="-13"/>
          <w:w w:val="110"/>
        </w:rPr>
        <w:t xml:space="preserve"> </w:t>
      </w:r>
      <w:r w:rsidRPr="00DD7BD1">
        <w:rPr>
          <w:rFonts w:ascii="Calibri" w:hAnsi="Calibri" w:cs="Calibri"/>
          <w:w w:val="110"/>
        </w:rPr>
        <w:t>filed</w:t>
      </w:r>
      <w:r w:rsidRPr="00DD7BD1">
        <w:rPr>
          <w:rFonts w:ascii="Calibri" w:hAnsi="Calibri" w:cs="Calibri"/>
          <w:spacing w:val="-17"/>
          <w:w w:val="110"/>
        </w:rPr>
        <w:t xml:space="preserve"> </w:t>
      </w:r>
      <w:r w:rsidRPr="00DD7BD1">
        <w:rPr>
          <w:rFonts w:ascii="Calibri" w:hAnsi="Calibri" w:cs="Calibri"/>
          <w:w w:val="110"/>
        </w:rPr>
        <w:t>outside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official</w:t>
      </w:r>
      <w:r w:rsidRPr="00DD7BD1">
        <w:rPr>
          <w:rFonts w:ascii="Calibri" w:hAnsi="Calibri" w:cs="Calibri"/>
          <w:spacing w:val="-14"/>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cycle will be treated as part of the currently active filing cycle.</w:t>
      </w:r>
    </w:p>
    <w:p w14:paraId="2D0873A6" w14:textId="77777777" w:rsidR="00E43496" w:rsidRPr="00DD7BD1" w:rsidRDefault="00E43496" w:rsidP="00E43496">
      <w:pPr>
        <w:pStyle w:val="BodyText"/>
        <w:spacing w:after="0" w:line="240" w:lineRule="auto"/>
        <w:ind w:right="-274"/>
        <w:jc w:val="left"/>
        <w:rPr>
          <w:rFonts w:cs="Calibri"/>
          <w:b/>
          <w:bCs/>
          <w:color w:val="auto"/>
          <w:sz w:val="16"/>
          <w:szCs w:val="16"/>
        </w:rPr>
      </w:pPr>
    </w:p>
    <w:p w14:paraId="38496EF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Submitting Form VETS-4212</w:t>
      </w:r>
    </w:p>
    <w:p w14:paraId="7431B989"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Federal</w:t>
      </w:r>
      <w:r w:rsidRPr="00DD7BD1">
        <w:rPr>
          <w:rFonts w:ascii="Calibri" w:hAnsi="Calibri" w:cs="Calibri"/>
          <w:spacing w:val="-13"/>
          <w:w w:val="110"/>
        </w:rPr>
        <w:t xml:space="preserve"> </w:t>
      </w:r>
      <w:r w:rsidRPr="00DD7BD1">
        <w:rPr>
          <w:rFonts w:ascii="Calibri" w:hAnsi="Calibri" w:cs="Calibri"/>
          <w:w w:val="110"/>
        </w:rPr>
        <w:t>contractors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4"/>
          <w:w w:val="110"/>
        </w:rPr>
        <w:t xml:space="preserve"> </w:t>
      </w:r>
      <w:r w:rsidRPr="00DD7BD1">
        <w:rPr>
          <w:rFonts w:ascii="Calibri" w:hAnsi="Calibri" w:cs="Calibri"/>
          <w:w w:val="110"/>
        </w:rPr>
        <w:t>subcontractors</w:t>
      </w:r>
      <w:r w:rsidRPr="00DD7BD1">
        <w:rPr>
          <w:rFonts w:ascii="Calibri" w:hAnsi="Calibri" w:cs="Calibri"/>
          <w:spacing w:val="-11"/>
          <w:w w:val="110"/>
        </w:rPr>
        <w:t xml:space="preserve"> </w:t>
      </w:r>
      <w:r w:rsidRPr="00DD7BD1">
        <w:rPr>
          <w:rFonts w:ascii="Calibri" w:hAnsi="Calibri" w:cs="Calibri"/>
          <w:w w:val="110"/>
        </w:rPr>
        <w:t>who</w:t>
      </w:r>
      <w:r w:rsidRPr="00DD7BD1">
        <w:rPr>
          <w:rFonts w:ascii="Calibri" w:hAnsi="Calibri" w:cs="Calibri"/>
          <w:spacing w:val="-11"/>
          <w:w w:val="110"/>
        </w:rPr>
        <w:t xml:space="preserve"> </w:t>
      </w:r>
      <w:r w:rsidRPr="00DD7BD1">
        <w:rPr>
          <w:rFonts w:ascii="Calibri" w:hAnsi="Calibri" w:cs="Calibri"/>
          <w:w w:val="110"/>
        </w:rPr>
        <w:t>are</w:t>
      </w:r>
      <w:r w:rsidRPr="00DD7BD1">
        <w:rPr>
          <w:rFonts w:ascii="Calibri" w:hAnsi="Calibri" w:cs="Calibri"/>
          <w:spacing w:val="-12"/>
          <w:w w:val="110"/>
        </w:rPr>
        <w:t xml:space="preserve"> </w:t>
      </w:r>
      <w:r w:rsidRPr="00DD7BD1">
        <w:rPr>
          <w:rFonts w:ascii="Calibri" w:hAnsi="Calibri" w:cs="Calibri"/>
          <w:w w:val="110"/>
        </w:rPr>
        <w:t>required</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file</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1"/>
          <w:w w:val="110"/>
        </w:rPr>
        <w:t xml:space="preserve"> </w:t>
      </w:r>
      <w:r w:rsidRPr="00DD7BD1">
        <w:rPr>
          <w:rFonts w:ascii="Calibri" w:hAnsi="Calibri" w:cs="Calibri"/>
          <w:w w:val="110"/>
        </w:rPr>
        <w:t>VETS-4212</w:t>
      </w:r>
      <w:r w:rsidRPr="00DD7BD1">
        <w:rPr>
          <w:rFonts w:ascii="Calibri" w:hAnsi="Calibri" w:cs="Calibri"/>
          <w:spacing w:val="-11"/>
          <w:w w:val="110"/>
        </w:rPr>
        <w:t xml:space="preserve"> </w:t>
      </w:r>
      <w:r w:rsidRPr="00DD7BD1">
        <w:rPr>
          <w:rFonts w:ascii="Calibri" w:hAnsi="Calibri" w:cs="Calibri"/>
          <w:w w:val="110"/>
        </w:rPr>
        <w:t>can</w:t>
      </w:r>
      <w:r w:rsidRPr="00DD7BD1">
        <w:rPr>
          <w:rFonts w:ascii="Calibri" w:hAnsi="Calibri" w:cs="Calibri"/>
          <w:spacing w:val="-12"/>
          <w:w w:val="110"/>
        </w:rPr>
        <w:t xml:space="preserve"> </w:t>
      </w:r>
      <w:r w:rsidRPr="00DD7BD1">
        <w:rPr>
          <w:rFonts w:ascii="Calibri" w:hAnsi="Calibri" w:cs="Calibri"/>
          <w:w w:val="110"/>
        </w:rPr>
        <w:t>submit</w:t>
      </w:r>
      <w:r w:rsidRPr="00DD7BD1">
        <w:rPr>
          <w:rFonts w:ascii="Calibri" w:hAnsi="Calibri" w:cs="Calibri"/>
          <w:spacing w:val="-10"/>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forms electronically</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5"/>
          <w:w w:val="110"/>
        </w:rPr>
        <w:t xml:space="preserve"> </w:t>
      </w:r>
      <w:r w:rsidRPr="00DD7BD1">
        <w:rPr>
          <w:rFonts w:ascii="Calibri" w:hAnsi="Calibri" w:cs="Calibri"/>
          <w:w w:val="110"/>
        </w:rPr>
        <w:t>using</w:t>
      </w:r>
      <w:r w:rsidRPr="00DD7BD1">
        <w:rPr>
          <w:rFonts w:ascii="Calibri" w:hAnsi="Calibri" w:cs="Calibri"/>
          <w:spacing w:val="-15"/>
          <w:w w:val="110"/>
        </w:rPr>
        <w:t xml:space="preserve"> </w:t>
      </w:r>
      <w:r w:rsidRPr="00DD7BD1">
        <w:rPr>
          <w:rFonts w:ascii="Calibri" w:hAnsi="Calibri" w:cs="Calibri"/>
          <w:w w:val="110"/>
        </w:rPr>
        <w:t>either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VETS-4212</w:t>
      </w:r>
      <w:r w:rsidRPr="00DD7BD1">
        <w:rPr>
          <w:rFonts w:ascii="Calibri" w:hAnsi="Calibri" w:cs="Calibri"/>
          <w:spacing w:val="-16"/>
          <w:w w:val="110"/>
        </w:rPr>
        <w:t xml:space="preserve"> </w:t>
      </w:r>
      <w:r w:rsidRPr="00DD7BD1">
        <w:rPr>
          <w:rFonts w:ascii="Calibri" w:hAnsi="Calibri" w:cs="Calibri"/>
          <w:w w:val="110"/>
        </w:rPr>
        <w:t>Reporting</w:t>
      </w:r>
      <w:r w:rsidRPr="00DD7BD1">
        <w:rPr>
          <w:rFonts w:ascii="Calibri" w:hAnsi="Calibri" w:cs="Calibri"/>
          <w:spacing w:val="-13"/>
          <w:w w:val="110"/>
        </w:rPr>
        <w:t xml:space="preserve"> </w:t>
      </w:r>
      <w:r w:rsidRPr="00DD7BD1">
        <w:rPr>
          <w:rFonts w:ascii="Calibri" w:hAnsi="Calibri" w:cs="Calibri"/>
          <w:w w:val="110"/>
        </w:rPr>
        <w:t>Application</w:t>
      </w:r>
      <w:r w:rsidRPr="00DD7BD1">
        <w:rPr>
          <w:rFonts w:ascii="Calibri" w:hAnsi="Calibri" w:cs="Calibri"/>
          <w:spacing w:val="-17"/>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batch</w:t>
      </w:r>
      <w:r w:rsidRPr="00DD7BD1">
        <w:rPr>
          <w:rFonts w:ascii="Calibri" w:hAnsi="Calibri" w:cs="Calibri"/>
          <w:spacing w:val="-13"/>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process,</w:t>
      </w:r>
      <w:r w:rsidRPr="00DD7BD1">
        <w:rPr>
          <w:rFonts w:ascii="Calibri" w:hAnsi="Calibri" w:cs="Calibri"/>
          <w:spacing w:val="-16"/>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by</w:t>
      </w:r>
      <w:r w:rsidRPr="00DD7BD1">
        <w:rPr>
          <w:rFonts w:ascii="Calibri" w:hAnsi="Calibri" w:cs="Calibri"/>
          <w:spacing w:val="-12"/>
          <w:w w:val="110"/>
        </w:rPr>
        <w:t xml:space="preserve"> </w:t>
      </w:r>
      <w:r w:rsidRPr="00DD7BD1">
        <w:rPr>
          <w:rFonts w:ascii="Calibri" w:hAnsi="Calibri" w:cs="Calibri"/>
          <w:w w:val="110"/>
        </w:rPr>
        <w:t>using</w:t>
      </w:r>
      <w:r w:rsidRPr="00DD7BD1">
        <w:rPr>
          <w:rFonts w:ascii="Calibri" w:hAnsi="Calibri" w:cs="Calibri"/>
          <w:spacing w:val="-13"/>
          <w:w w:val="110"/>
        </w:rPr>
        <w:t xml:space="preserve"> </w:t>
      </w:r>
      <w:r w:rsidRPr="00DD7BD1">
        <w:rPr>
          <w:rFonts w:ascii="Calibri" w:hAnsi="Calibri" w:cs="Calibri"/>
          <w:w w:val="110"/>
        </w:rPr>
        <w:t>the paper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0"/>
          <w:w w:val="110"/>
        </w:rPr>
        <w:t xml:space="preserve"> </w:t>
      </w:r>
      <w:r w:rsidRPr="00DD7BD1">
        <w:rPr>
          <w:rFonts w:ascii="Calibri" w:hAnsi="Calibri" w:cs="Calibri"/>
          <w:w w:val="110"/>
        </w:rPr>
        <w:t>by</w:t>
      </w:r>
      <w:r w:rsidRPr="00DD7BD1">
        <w:rPr>
          <w:rFonts w:ascii="Calibri" w:hAnsi="Calibri" w:cs="Calibri"/>
          <w:spacing w:val="-8"/>
          <w:w w:val="110"/>
        </w:rPr>
        <w:t xml:space="preserve"> </w:t>
      </w:r>
      <w:r w:rsidRPr="00DD7BD1">
        <w:rPr>
          <w:rFonts w:ascii="Calibri" w:hAnsi="Calibri" w:cs="Calibri"/>
          <w:w w:val="110"/>
        </w:rPr>
        <w:t>email</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U.S.</w:t>
      </w:r>
      <w:r w:rsidRPr="00DD7BD1">
        <w:rPr>
          <w:rFonts w:ascii="Calibri" w:hAnsi="Calibri" w:cs="Calibri"/>
          <w:spacing w:val="-9"/>
          <w:w w:val="110"/>
        </w:rPr>
        <w:t xml:space="preserve"> </w:t>
      </w:r>
      <w:r w:rsidRPr="00DD7BD1">
        <w:rPr>
          <w:rFonts w:ascii="Calibri" w:hAnsi="Calibri" w:cs="Calibri"/>
          <w:w w:val="110"/>
        </w:rPr>
        <w:t>mail.</w:t>
      </w:r>
      <w:r w:rsidRPr="00DD7BD1">
        <w:rPr>
          <w:rFonts w:ascii="Calibri" w:hAnsi="Calibri" w:cs="Calibri"/>
          <w:spacing w:val="-9"/>
          <w:w w:val="110"/>
        </w:rPr>
        <w:t xml:space="preserve"> </w:t>
      </w:r>
      <w:r w:rsidRPr="00DD7BD1">
        <w:rPr>
          <w:rFonts w:ascii="Calibri" w:hAnsi="Calibri" w:cs="Calibri"/>
          <w:w w:val="110"/>
        </w:rPr>
        <w:t>We</w:t>
      </w:r>
      <w:r w:rsidRPr="00DD7BD1">
        <w:rPr>
          <w:rFonts w:ascii="Calibri" w:hAnsi="Calibri" w:cs="Calibri"/>
          <w:spacing w:val="-8"/>
          <w:w w:val="110"/>
        </w:rPr>
        <w:t xml:space="preserve"> </w:t>
      </w:r>
      <w:r w:rsidRPr="00DD7BD1">
        <w:rPr>
          <w:rFonts w:ascii="Calibri" w:hAnsi="Calibri" w:cs="Calibri"/>
          <w:w w:val="110"/>
        </w:rPr>
        <w:t>recommend</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you</w:t>
      </w:r>
      <w:r w:rsidRPr="00DD7BD1">
        <w:rPr>
          <w:rFonts w:ascii="Calibri" w:hAnsi="Calibri" w:cs="Calibri"/>
          <w:spacing w:val="-8"/>
          <w:w w:val="110"/>
        </w:rPr>
        <w:t xml:space="preserve"> </w:t>
      </w:r>
      <w:r w:rsidRPr="00DD7BD1">
        <w:rPr>
          <w:rFonts w:ascii="Calibri" w:hAnsi="Calibri" w:cs="Calibri"/>
          <w:w w:val="110"/>
        </w:rPr>
        <w:t>file</w:t>
      </w:r>
      <w:r w:rsidRPr="00DD7BD1">
        <w:rPr>
          <w:rFonts w:ascii="Calibri" w:hAnsi="Calibri" w:cs="Calibri"/>
          <w:spacing w:val="-10"/>
          <w:w w:val="110"/>
        </w:rPr>
        <w:t xml:space="preserve"> </w:t>
      </w:r>
      <w:r w:rsidRPr="00DD7BD1">
        <w:rPr>
          <w:rFonts w:ascii="Calibri" w:hAnsi="Calibri" w:cs="Calibri"/>
          <w:w w:val="110"/>
        </w:rPr>
        <w:t>your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8"/>
          <w:w w:val="110"/>
        </w:rPr>
        <w:t xml:space="preserve"> </w:t>
      </w:r>
      <w:r w:rsidRPr="00DD7BD1">
        <w:rPr>
          <w:rFonts w:ascii="Calibri" w:hAnsi="Calibri" w:cs="Calibri"/>
          <w:w w:val="110"/>
        </w:rPr>
        <w:t>electronically.</w:t>
      </w:r>
    </w:p>
    <w:p w14:paraId="32A7C07F" w14:textId="77777777" w:rsidR="00E43496" w:rsidRPr="00DD7BD1" w:rsidRDefault="00E43496" w:rsidP="00E43496">
      <w:pPr>
        <w:pStyle w:val="BodyText"/>
        <w:spacing w:after="0" w:line="240" w:lineRule="auto"/>
        <w:ind w:right="-270"/>
        <w:rPr>
          <w:rFonts w:cs="Calibri"/>
          <w:b/>
          <w:bCs/>
          <w:color w:val="auto"/>
          <w:sz w:val="16"/>
          <w:szCs w:val="16"/>
        </w:rPr>
      </w:pPr>
    </w:p>
    <w:p w14:paraId="68908833" w14:textId="77777777" w:rsidR="00E43496" w:rsidRPr="00DD7BD1" w:rsidRDefault="00E43496" w:rsidP="00E43496">
      <w:pPr>
        <w:pStyle w:val="BodyText"/>
        <w:spacing w:after="0" w:line="240" w:lineRule="auto"/>
        <w:ind w:right="-270"/>
        <w:rPr>
          <w:rFonts w:cs="Calibri"/>
          <w:b/>
          <w:bCs/>
          <w:color w:val="auto"/>
          <w:szCs w:val="22"/>
        </w:rPr>
      </w:pPr>
      <w:r w:rsidRPr="00DD7BD1">
        <w:rPr>
          <w:rFonts w:cs="Calibri"/>
          <w:b/>
          <w:bCs/>
          <w:color w:val="auto"/>
          <w:szCs w:val="22"/>
        </w:rPr>
        <w:t>Filing Electronically</w:t>
      </w:r>
    </w:p>
    <w:p w14:paraId="0BC5F1FC" w14:textId="77777777" w:rsidR="00E43496" w:rsidRPr="00DD7BD1" w:rsidRDefault="00E43496" w:rsidP="00E43496">
      <w:pPr>
        <w:pStyle w:val="BodyText"/>
        <w:spacing w:after="0" w:line="240" w:lineRule="auto"/>
        <w:ind w:right="-270"/>
        <w:rPr>
          <w:rFonts w:cs="Calibri"/>
          <w:color w:val="auto"/>
          <w:szCs w:val="22"/>
        </w:rPr>
      </w:pPr>
      <w:hyperlink r:id="rId297">
        <w:r w:rsidRPr="00DD7BD1">
          <w:rPr>
            <w:rFonts w:cs="Calibri"/>
            <w:color w:val="1154CC"/>
            <w:szCs w:val="22"/>
          </w:rPr>
          <w:t>VETS-4212</w:t>
        </w:r>
        <w:r w:rsidRPr="00DD7BD1">
          <w:rPr>
            <w:rFonts w:cs="Calibri"/>
            <w:color w:val="1154CC"/>
            <w:spacing w:val="39"/>
            <w:szCs w:val="22"/>
          </w:rPr>
          <w:t xml:space="preserve"> </w:t>
        </w:r>
        <w:r w:rsidRPr="00DD7BD1">
          <w:rPr>
            <w:rFonts w:cs="Calibri"/>
            <w:color w:val="1154CC"/>
            <w:szCs w:val="22"/>
          </w:rPr>
          <w:t>Reporting</w:t>
        </w:r>
        <w:r w:rsidRPr="00DD7BD1">
          <w:rPr>
            <w:rFonts w:cs="Calibri"/>
            <w:color w:val="1154CC"/>
            <w:spacing w:val="44"/>
            <w:szCs w:val="22"/>
          </w:rPr>
          <w:t xml:space="preserve"> </w:t>
        </w:r>
        <w:r w:rsidRPr="00DD7BD1">
          <w:rPr>
            <w:rFonts w:cs="Calibri"/>
            <w:color w:val="1154CC"/>
            <w:szCs w:val="22"/>
          </w:rPr>
          <w:t>Application</w:t>
        </w:r>
      </w:hyperlink>
      <w:r w:rsidRPr="00DD7BD1">
        <w:rPr>
          <w:rFonts w:cs="Calibri"/>
          <w:color w:val="1154CC"/>
          <w:spacing w:val="49"/>
          <w:szCs w:val="22"/>
        </w:rPr>
        <w:t xml:space="preserve"> </w:t>
      </w:r>
      <w:r w:rsidRPr="00DD7BD1">
        <w:rPr>
          <w:rFonts w:cs="Calibri"/>
          <w:szCs w:val="22"/>
        </w:rPr>
        <w:t>–</w:t>
      </w:r>
      <w:r w:rsidRPr="00DD7BD1">
        <w:rPr>
          <w:rFonts w:cs="Calibri"/>
          <w:spacing w:val="38"/>
          <w:szCs w:val="22"/>
        </w:rPr>
        <w:t xml:space="preserve"> </w:t>
      </w:r>
      <w:r w:rsidRPr="00DD7BD1">
        <w:rPr>
          <w:rFonts w:cs="Calibri"/>
          <w:color w:val="auto"/>
          <w:szCs w:val="22"/>
        </w:rPr>
        <w:t>File</w:t>
      </w:r>
      <w:r w:rsidRPr="00DD7BD1">
        <w:rPr>
          <w:rFonts w:cs="Calibri"/>
          <w:color w:val="auto"/>
          <w:spacing w:val="44"/>
          <w:szCs w:val="22"/>
        </w:rPr>
        <w:t xml:space="preserve"> </w:t>
      </w:r>
      <w:r w:rsidRPr="00DD7BD1">
        <w:rPr>
          <w:rFonts w:cs="Calibri"/>
          <w:color w:val="auto"/>
          <w:szCs w:val="22"/>
        </w:rPr>
        <w:t>your</w:t>
      </w:r>
      <w:r w:rsidRPr="00DD7BD1">
        <w:rPr>
          <w:rFonts w:cs="Calibri"/>
          <w:color w:val="auto"/>
          <w:spacing w:val="36"/>
          <w:szCs w:val="22"/>
        </w:rPr>
        <w:t xml:space="preserve"> </w:t>
      </w:r>
      <w:r w:rsidRPr="00DD7BD1">
        <w:rPr>
          <w:rFonts w:cs="Calibri"/>
          <w:color w:val="auto"/>
          <w:szCs w:val="22"/>
        </w:rPr>
        <w:t>VETS-4212</w:t>
      </w:r>
      <w:r w:rsidRPr="00DD7BD1">
        <w:rPr>
          <w:rFonts w:cs="Calibri"/>
          <w:color w:val="auto"/>
          <w:spacing w:val="43"/>
          <w:szCs w:val="22"/>
        </w:rPr>
        <w:t xml:space="preserve"> </w:t>
      </w:r>
      <w:r w:rsidRPr="00DD7BD1">
        <w:rPr>
          <w:rFonts w:cs="Calibri"/>
          <w:color w:val="auto"/>
          <w:szCs w:val="22"/>
        </w:rPr>
        <w:t>report</w:t>
      </w:r>
      <w:r w:rsidRPr="00DD7BD1">
        <w:rPr>
          <w:rFonts w:cs="Calibri"/>
          <w:color w:val="auto"/>
          <w:spacing w:val="36"/>
          <w:szCs w:val="22"/>
        </w:rPr>
        <w:t xml:space="preserve"> </w:t>
      </w:r>
      <w:r w:rsidRPr="00DD7BD1">
        <w:rPr>
          <w:rFonts w:cs="Calibri"/>
          <w:color w:val="auto"/>
          <w:spacing w:val="-2"/>
          <w:szCs w:val="22"/>
        </w:rPr>
        <w:t>online.</w:t>
      </w:r>
    </w:p>
    <w:p w14:paraId="4E98DDD9"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192F7122" w14:textId="02A36734" w:rsidR="00E43496" w:rsidRPr="00DD7BD1" w:rsidRDefault="00E43496" w:rsidP="00601C66">
      <w:pPr>
        <w:spacing w:line="247" w:lineRule="auto"/>
        <w:ind w:left="432" w:right="792"/>
        <w:jc w:val="center"/>
        <w:rPr>
          <w:rFonts w:ascii="Calibri" w:hAnsi="Calibri" w:cs="Calibri"/>
          <w:b/>
          <w:sz w:val="24"/>
          <w:szCs w:val="24"/>
        </w:rPr>
      </w:pPr>
      <w:r w:rsidRPr="00DD7BD1">
        <w:rPr>
          <w:rFonts w:ascii="Calibri" w:hAnsi="Calibri" w:cs="Calibri"/>
          <w:b/>
          <w:color w:val="C00000"/>
          <w:spacing w:val="-8"/>
          <w:sz w:val="24"/>
          <w:szCs w:val="24"/>
        </w:rPr>
        <w:t xml:space="preserve">New! </w:t>
      </w:r>
      <w:r w:rsidRPr="00DD7BD1">
        <w:rPr>
          <w:rFonts w:ascii="Calibri" w:hAnsi="Calibri" w:cs="Calibri"/>
          <w:b/>
          <w:spacing w:val="-8"/>
          <w:sz w:val="24"/>
          <w:szCs w:val="24"/>
        </w:rPr>
        <w:t>Benefit Plans</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Starting </w:t>
      </w:r>
      <w:r w:rsidRPr="00DD7BD1">
        <w:rPr>
          <w:rFonts w:ascii="Calibri" w:hAnsi="Calibri" w:cs="Calibri"/>
          <w:b/>
          <w:color w:val="C00000"/>
          <w:spacing w:val="-8"/>
          <w:sz w:val="24"/>
          <w:szCs w:val="24"/>
        </w:rPr>
        <w:t>August 1</w:t>
      </w:r>
      <w:r w:rsidRPr="00DD7BD1">
        <w:rPr>
          <w:rFonts w:ascii="Calibri" w:hAnsi="Calibri" w:cs="Calibri"/>
          <w:b/>
          <w:color w:val="C00000"/>
          <w:spacing w:val="-27"/>
          <w:sz w:val="24"/>
          <w:szCs w:val="24"/>
        </w:rPr>
        <w:t xml:space="preserve"> </w:t>
      </w:r>
      <w:r w:rsidRPr="00DD7BD1">
        <w:rPr>
          <w:rFonts w:ascii="Calibri" w:hAnsi="Calibri" w:cs="Calibri"/>
          <w:b/>
          <w:spacing w:val="-8"/>
          <w:sz w:val="24"/>
          <w:szCs w:val="24"/>
        </w:rPr>
        <w:t>-</w:t>
      </w:r>
      <w:r w:rsidRPr="00DD7BD1">
        <w:rPr>
          <w:rFonts w:ascii="Calibri" w:hAnsi="Calibri" w:cs="Calibri"/>
          <w:b/>
          <w:spacing w:val="-9"/>
          <w:sz w:val="24"/>
          <w:szCs w:val="24"/>
        </w:rPr>
        <w:t xml:space="preserve"> </w:t>
      </w:r>
      <w:r w:rsidRPr="00DD7BD1">
        <w:rPr>
          <w:rFonts w:ascii="Calibri" w:hAnsi="Calibri" w:cs="Calibri"/>
          <w:b/>
          <w:spacing w:val="-8"/>
          <w:sz w:val="24"/>
          <w:szCs w:val="24"/>
        </w:rPr>
        <w:t>Employer’s CMS Part D Creditable</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Coverage </w:t>
      </w:r>
      <w:r w:rsidRPr="00DD7BD1">
        <w:rPr>
          <w:rFonts w:ascii="Calibri" w:hAnsi="Calibri" w:cs="Calibri"/>
          <w:b/>
          <w:sz w:val="24"/>
          <w:szCs w:val="24"/>
          <w:u w:val="single"/>
        </w:rPr>
        <w:t>Online</w:t>
      </w:r>
      <w:r w:rsidRPr="00DD7BD1">
        <w:rPr>
          <w:rFonts w:ascii="Calibri" w:hAnsi="Calibri" w:cs="Calibri"/>
          <w:b/>
          <w:spacing w:val="-4"/>
          <w:sz w:val="24"/>
          <w:szCs w:val="24"/>
          <w:u w:val="single"/>
        </w:rPr>
        <w:t xml:space="preserve"> </w:t>
      </w:r>
      <w:r w:rsidRPr="00DD7BD1">
        <w:rPr>
          <w:rFonts w:ascii="Calibri" w:hAnsi="Calibri" w:cs="Calibri"/>
          <w:b/>
          <w:sz w:val="24"/>
          <w:szCs w:val="24"/>
          <w:u w:val="single"/>
        </w:rPr>
        <w:t>Disclosure</w:t>
      </w:r>
      <w:r w:rsidRPr="00DD7BD1">
        <w:rPr>
          <w:rFonts w:ascii="Calibri" w:hAnsi="Calibri" w:cs="Calibri"/>
          <w:b/>
          <w:spacing w:val="-3"/>
          <w:sz w:val="24"/>
          <w:szCs w:val="24"/>
        </w:rPr>
        <w:t xml:space="preserve"> </w:t>
      </w:r>
      <w:r w:rsidRPr="00DD7BD1">
        <w:rPr>
          <w:rFonts w:ascii="Calibri" w:hAnsi="Calibri" w:cs="Calibri"/>
          <w:b/>
          <w:sz w:val="24"/>
          <w:szCs w:val="24"/>
        </w:rPr>
        <w:t>–</w:t>
      </w:r>
      <w:r w:rsidRPr="00DD7BD1">
        <w:rPr>
          <w:rFonts w:ascii="Calibri" w:hAnsi="Calibri" w:cs="Calibri"/>
          <w:b/>
          <w:spacing w:val="-6"/>
          <w:sz w:val="24"/>
          <w:szCs w:val="24"/>
        </w:rPr>
        <w:t xml:space="preserve"> </w:t>
      </w:r>
      <w:r w:rsidRPr="00DD7BD1">
        <w:rPr>
          <w:rFonts w:ascii="Calibri" w:hAnsi="Calibri" w:cs="Calibri"/>
          <w:b/>
          <w:color w:val="C00000"/>
          <w:sz w:val="24"/>
          <w:szCs w:val="24"/>
        </w:rPr>
        <w:t>September</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30,</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2025</w:t>
      </w:r>
    </w:p>
    <w:p w14:paraId="4C13EF15" w14:textId="77777777" w:rsidR="00E43496" w:rsidRPr="00DD7BD1" w:rsidRDefault="00E43496" w:rsidP="00E43496">
      <w:pPr>
        <w:pStyle w:val="Heading1"/>
        <w:shd w:val="clear" w:color="auto" w:fill="FFFFFF"/>
        <w:spacing w:before="0" w:beforeAutospacing="0" w:after="0" w:afterAutospacing="0"/>
        <w:jc w:val="center"/>
        <w:rPr>
          <w:rFonts w:ascii="Calibri" w:eastAsiaTheme="minorHAnsi" w:hAnsi="Calibri" w:cs="Calibri"/>
          <w:color w:val="C00000"/>
          <w:kern w:val="0"/>
          <w:sz w:val="24"/>
          <w:szCs w:val="24"/>
          <w:highlight w:val="magenta"/>
        </w:rPr>
      </w:pPr>
      <w:r w:rsidRPr="00DD7BD1">
        <w:rPr>
          <w:rFonts w:ascii="Calibri" w:eastAsiaTheme="minorHAnsi" w:hAnsi="Calibri" w:cs="Calibri"/>
          <w:color w:val="C00000"/>
          <w:kern w:val="0"/>
          <w:sz w:val="24"/>
          <w:szCs w:val="24"/>
        </w:rPr>
        <w:t xml:space="preserve">New! </w:t>
      </w:r>
      <w:bookmarkStart w:id="9" w:name="_Hlk212641955"/>
      <w:r w:rsidRPr="00DD7BD1">
        <w:rPr>
          <w:rFonts w:ascii="Calibri" w:hAnsi="Calibri" w:cs="Calibri"/>
          <w:spacing w:val="-8"/>
          <w:sz w:val="24"/>
          <w:szCs w:val="24"/>
        </w:rPr>
        <w:t>Benefit</w:t>
      </w:r>
      <w:r w:rsidRPr="00DD7BD1">
        <w:rPr>
          <w:rFonts w:ascii="Calibri" w:hAnsi="Calibri" w:cs="Calibri"/>
          <w:spacing w:val="-11"/>
          <w:sz w:val="24"/>
          <w:szCs w:val="24"/>
        </w:rPr>
        <w:t xml:space="preserve"> </w:t>
      </w:r>
      <w:r w:rsidRPr="00DD7BD1">
        <w:rPr>
          <w:rFonts w:ascii="Calibri" w:hAnsi="Calibri" w:cs="Calibri"/>
          <w:spacing w:val="-8"/>
          <w:sz w:val="24"/>
          <w:szCs w:val="24"/>
        </w:rPr>
        <w:t>Plans</w:t>
      </w:r>
      <w:r w:rsidRPr="00DD7BD1">
        <w:rPr>
          <w:rFonts w:ascii="Calibri" w:hAnsi="Calibri" w:cs="Calibri"/>
          <w:spacing w:val="-12"/>
          <w:sz w:val="24"/>
          <w:szCs w:val="24"/>
        </w:rPr>
        <w:t xml:space="preserve"> </w:t>
      </w:r>
      <w:r w:rsidRPr="00DD7BD1">
        <w:rPr>
          <w:rFonts w:ascii="Calibri" w:hAnsi="Calibri" w:cs="Calibri"/>
          <w:spacing w:val="-8"/>
          <w:sz w:val="24"/>
          <w:szCs w:val="24"/>
        </w:rPr>
        <w:t>Starting</w:t>
      </w:r>
      <w:r w:rsidRPr="00DD7BD1">
        <w:rPr>
          <w:rFonts w:ascii="Calibri" w:hAnsi="Calibri" w:cs="Calibri"/>
          <w:spacing w:val="-5"/>
          <w:sz w:val="24"/>
          <w:szCs w:val="24"/>
        </w:rPr>
        <w:t xml:space="preserve"> </w:t>
      </w:r>
      <w:r w:rsidRPr="00DD7BD1">
        <w:rPr>
          <w:rFonts w:ascii="Calibri" w:hAnsi="Calibri" w:cs="Calibri"/>
          <w:color w:val="C00000"/>
          <w:spacing w:val="-8"/>
          <w:sz w:val="24"/>
          <w:szCs w:val="24"/>
        </w:rPr>
        <w:t>September</w:t>
      </w:r>
      <w:r w:rsidRPr="00DD7BD1">
        <w:rPr>
          <w:rFonts w:ascii="Calibri" w:hAnsi="Calibri" w:cs="Calibri"/>
          <w:color w:val="C00000"/>
          <w:spacing w:val="-12"/>
          <w:sz w:val="24"/>
          <w:szCs w:val="24"/>
        </w:rPr>
        <w:t xml:space="preserve"> </w:t>
      </w:r>
      <w:r w:rsidRPr="00DD7BD1">
        <w:rPr>
          <w:rFonts w:ascii="Calibri" w:hAnsi="Calibri" w:cs="Calibri"/>
          <w:color w:val="C00000"/>
          <w:spacing w:val="-8"/>
          <w:sz w:val="24"/>
          <w:szCs w:val="24"/>
        </w:rPr>
        <w:t>1</w:t>
      </w:r>
      <w:r w:rsidRPr="00DD7BD1">
        <w:rPr>
          <w:rFonts w:ascii="Calibri" w:hAnsi="Calibri" w:cs="Calibri"/>
          <w:color w:val="C00000"/>
          <w:spacing w:val="-28"/>
          <w:sz w:val="24"/>
          <w:szCs w:val="24"/>
        </w:rPr>
        <w:t xml:space="preserve"> </w:t>
      </w:r>
      <w:r w:rsidRPr="00DD7BD1">
        <w:rPr>
          <w:rFonts w:ascii="Calibri" w:hAnsi="Calibri" w:cs="Calibri"/>
          <w:spacing w:val="-8"/>
          <w:sz w:val="24"/>
          <w:szCs w:val="24"/>
        </w:rPr>
        <w:t>-</w:t>
      </w:r>
      <w:r w:rsidRPr="00DD7BD1">
        <w:rPr>
          <w:rFonts w:ascii="Calibri" w:hAnsi="Calibri" w:cs="Calibri"/>
          <w:spacing w:val="-6"/>
          <w:sz w:val="24"/>
          <w:szCs w:val="24"/>
        </w:rPr>
        <w:t xml:space="preserve"> </w:t>
      </w:r>
      <w:r w:rsidRPr="00DD7BD1">
        <w:rPr>
          <w:rFonts w:ascii="Calibri" w:hAnsi="Calibri" w:cs="Calibri"/>
          <w:spacing w:val="-8"/>
          <w:sz w:val="24"/>
          <w:szCs w:val="24"/>
        </w:rPr>
        <w:t>Employer’s</w:t>
      </w:r>
      <w:r w:rsidRPr="00DD7BD1">
        <w:rPr>
          <w:rFonts w:ascii="Calibri" w:hAnsi="Calibri" w:cs="Calibri"/>
          <w:spacing w:val="-11"/>
          <w:sz w:val="24"/>
          <w:szCs w:val="24"/>
        </w:rPr>
        <w:t xml:space="preserve"> </w:t>
      </w:r>
      <w:r w:rsidRPr="00DD7BD1">
        <w:rPr>
          <w:rFonts w:ascii="Calibri" w:hAnsi="Calibri" w:cs="Calibri"/>
          <w:spacing w:val="-8"/>
          <w:sz w:val="24"/>
          <w:szCs w:val="24"/>
        </w:rPr>
        <w:t>CMS</w:t>
      </w:r>
      <w:r w:rsidRPr="00DD7BD1">
        <w:rPr>
          <w:rFonts w:ascii="Calibri" w:hAnsi="Calibri" w:cs="Calibri"/>
          <w:spacing w:val="-9"/>
          <w:sz w:val="24"/>
          <w:szCs w:val="24"/>
        </w:rPr>
        <w:t xml:space="preserve"> </w:t>
      </w:r>
      <w:r w:rsidRPr="00DD7BD1">
        <w:rPr>
          <w:rFonts w:ascii="Calibri" w:hAnsi="Calibri" w:cs="Calibri"/>
          <w:spacing w:val="-8"/>
          <w:sz w:val="24"/>
          <w:szCs w:val="24"/>
        </w:rPr>
        <w:t>Part</w:t>
      </w:r>
      <w:r w:rsidRPr="00DD7BD1">
        <w:rPr>
          <w:rFonts w:ascii="Calibri" w:hAnsi="Calibri" w:cs="Calibri"/>
          <w:spacing w:val="-9"/>
          <w:sz w:val="24"/>
          <w:szCs w:val="24"/>
        </w:rPr>
        <w:t xml:space="preserve"> </w:t>
      </w:r>
      <w:r w:rsidRPr="00DD7BD1">
        <w:rPr>
          <w:rFonts w:ascii="Calibri" w:hAnsi="Calibri" w:cs="Calibri"/>
          <w:spacing w:val="-8"/>
          <w:sz w:val="24"/>
          <w:szCs w:val="24"/>
        </w:rPr>
        <w:t>D</w:t>
      </w:r>
      <w:r w:rsidRPr="00DD7BD1">
        <w:rPr>
          <w:rFonts w:ascii="Calibri" w:hAnsi="Calibri" w:cs="Calibri"/>
          <w:spacing w:val="-12"/>
          <w:sz w:val="24"/>
          <w:szCs w:val="24"/>
        </w:rPr>
        <w:t xml:space="preserve"> </w:t>
      </w:r>
      <w:r w:rsidRPr="00DD7BD1">
        <w:rPr>
          <w:rFonts w:ascii="Calibri" w:hAnsi="Calibri" w:cs="Calibri"/>
          <w:spacing w:val="-8"/>
          <w:sz w:val="24"/>
          <w:szCs w:val="24"/>
        </w:rPr>
        <w:t>Creditable</w:t>
      </w:r>
      <w:r w:rsidRPr="00DD7BD1">
        <w:rPr>
          <w:rFonts w:ascii="Calibri" w:hAnsi="Calibri" w:cs="Calibri"/>
          <w:spacing w:val="-11"/>
          <w:sz w:val="24"/>
          <w:szCs w:val="24"/>
        </w:rPr>
        <w:t xml:space="preserve"> </w:t>
      </w:r>
      <w:r w:rsidRPr="00DD7BD1">
        <w:rPr>
          <w:rFonts w:ascii="Calibri" w:hAnsi="Calibri" w:cs="Calibri"/>
          <w:spacing w:val="-8"/>
          <w:sz w:val="24"/>
          <w:szCs w:val="24"/>
        </w:rPr>
        <w:t xml:space="preserve">Coverage </w:t>
      </w:r>
      <w:r w:rsidRPr="00DD7BD1">
        <w:rPr>
          <w:rFonts w:ascii="Calibri" w:hAnsi="Calibri" w:cs="Calibri"/>
          <w:sz w:val="24"/>
          <w:szCs w:val="24"/>
          <w:u w:val="single"/>
        </w:rPr>
        <w:t>Online</w:t>
      </w:r>
      <w:r w:rsidRPr="00DD7BD1">
        <w:rPr>
          <w:rFonts w:ascii="Calibri" w:hAnsi="Calibri" w:cs="Calibri"/>
          <w:spacing w:val="-6"/>
          <w:sz w:val="24"/>
          <w:szCs w:val="24"/>
          <w:u w:val="single"/>
        </w:rPr>
        <w:t xml:space="preserve"> </w:t>
      </w:r>
      <w:r w:rsidRPr="00DD7BD1">
        <w:rPr>
          <w:rFonts w:ascii="Calibri" w:hAnsi="Calibri" w:cs="Calibri"/>
          <w:sz w:val="24"/>
          <w:szCs w:val="24"/>
          <w:u w:val="single"/>
        </w:rPr>
        <w:t>Disclosure</w:t>
      </w:r>
      <w:r w:rsidRPr="00DD7BD1">
        <w:rPr>
          <w:rFonts w:ascii="Calibri" w:hAnsi="Calibri" w:cs="Calibri"/>
          <w:spacing w:val="-5"/>
          <w:sz w:val="24"/>
          <w:szCs w:val="24"/>
        </w:rPr>
        <w:t xml:space="preserve"> </w:t>
      </w:r>
      <w:r w:rsidRPr="00DD7BD1">
        <w:rPr>
          <w:rFonts w:ascii="Calibri" w:hAnsi="Calibri" w:cs="Calibri"/>
          <w:sz w:val="24"/>
          <w:szCs w:val="24"/>
        </w:rPr>
        <w:t>–</w:t>
      </w:r>
      <w:r w:rsidRPr="00DD7BD1">
        <w:rPr>
          <w:rFonts w:ascii="Calibri" w:hAnsi="Calibri" w:cs="Calibri"/>
          <w:spacing w:val="-8"/>
          <w:sz w:val="24"/>
          <w:szCs w:val="24"/>
        </w:rPr>
        <w:t xml:space="preserve"> </w:t>
      </w:r>
      <w:r w:rsidRPr="00DD7BD1">
        <w:rPr>
          <w:rFonts w:ascii="Calibri" w:hAnsi="Calibri" w:cs="Calibri"/>
          <w:color w:val="C00000"/>
          <w:sz w:val="24"/>
          <w:szCs w:val="24"/>
        </w:rPr>
        <w:t>October</w:t>
      </w:r>
      <w:r w:rsidRPr="00DD7BD1">
        <w:rPr>
          <w:rFonts w:ascii="Calibri" w:hAnsi="Calibri" w:cs="Calibri"/>
          <w:color w:val="C00000"/>
          <w:spacing w:val="-6"/>
          <w:sz w:val="24"/>
          <w:szCs w:val="24"/>
        </w:rPr>
        <w:t xml:space="preserve"> </w:t>
      </w:r>
      <w:r w:rsidRPr="00DD7BD1">
        <w:rPr>
          <w:rFonts w:ascii="Calibri" w:hAnsi="Calibri" w:cs="Calibri"/>
          <w:color w:val="C00000"/>
          <w:sz w:val="24"/>
          <w:szCs w:val="24"/>
        </w:rPr>
        <w:t>31,</w:t>
      </w:r>
      <w:r w:rsidRPr="00DD7BD1">
        <w:rPr>
          <w:rFonts w:ascii="Calibri" w:hAnsi="Calibri" w:cs="Calibri"/>
          <w:color w:val="C00000"/>
          <w:spacing w:val="-9"/>
          <w:sz w:val="24"/>
          <w:szCs w:val="24"/>
        </w:rPr>
        <w:t xml:space="preserve"> </w:t>
      </w:r>
      <w:r w:rsidRPr="00DD7BD1">
        <w:rPr>
          <w:rFonts w:ascii="Calibri" w:hAnsi="Calibri" w:cs="Calibri"/>
          <w:color w:val="C00000"/>
          <w:sz w:val="24"/>
          <w:szCs w:val="24"/>
        </w:rPr>
        <w:t>2025</w:t>
      </w:r>
      <w:bookmarkEnd w:id="9"/>
    </w:p>
    <w:p w14:paraId="33C7C847" w14:textId="77777777" w:rsidR="00E43496" w:rsidRPr="00DD7BD1" w:rsidRDefault="00E43496" w:rsidP="00E43496">
      <w:pPr>
        <w:spacing w:before="267"/>
        <w:ind w:right="364"/>
        <w:jc w:val="center"/>
        <w:rPr>
          <w:rFonts w:ascii="Calibri" w:hAnsi="Calibri" w:cs="Calibri"/>
          <w:b/>
          <w:sz w:val="24"/>
          <w:szCs w:val="24"/>
        </w:rPr>
      </w:pPr>
      <w:r w:rsidRPr="00DD7BD1">
        <w:rPr>
          <w:rFonts w:ascii="Calibri" w:hAnsi="Calibri" w:cs="Calibri"/>
          <w:b/>
          <w:bCs/>
          <w:color w:val="C00000"/>
          <w:sz w:val="24"/>
          <w:szCs w:val="24"/>
        </w:rPr>
        <w:t>New!</w:t>
      </w:r>
      <w:r w:rsidRPr="00DD7BD1">
        <w:rPr>
          <w:rFonts w:ascii="Calibri" w:hAnsi="Calibri" w:cs="Calibri"/>
          <w:b/>
          <w:color w:val="C00000"/>
          <w:spacing w:val="-11"/>
          <w:sz w:val="24"/>
          <w:szCs w:val="24"/>
        </w:rPr>
        <w:t xml:space="preserve"> </w:t>
      </w:r>
      <w:bookmarkStart w:id="10" w:name="_Hlk212641947"/>
      <w:r w:rsidRPr="00DD7BD1">
        <w:rPr>
          <w:rFonts w:ascii="Calibri" w:hAnsi="Calibri" w:cs="Calibri"/>
          <w:b/>
          <w:bCs/>
          <w:spacing w:val="-8"/>
          <w:kern w:val="36"/>
          <w:sz w:val="24"/>
          <w:szCs w:val="24"/>
        </w:rPr>
        <w:t>Treasury Dept Issues List of Jobs Qualifying for new Tip Income Deduction under “One Big Beautiful” Act</w:t>
      </w:r>
      <w:bookmarkEnd w:id="10"/>
    </w:p>
    <w:p w14:paraId="125B28DB" w14:textId="77777777" w:rsidR="00E43496" w:rsidRPr="00DD7BD1" w:rsidRDefault="00E43496" w:rsidP="00E43496">
      <w:pPr>
        <w:pStyle w:val="BodyText"/>
        <w:spacing w:after="0" w:line="240" w:lineRule="auto"/>
        <w:jc w:val="left"/>
        <w:rPr>
          <w:rFonts w:cs="Calibri"/>
          <w:color w:val="auto"/>
          <w:spacing w:val="-4"/>
          <w:w w:val="110"/>
          <w:szCs w:val="22"/>
        </w:rPr>
      </w:pPr>
      <w:r w:rsidRPr="00DD7BD1">
        <w:rPr>
          <w:rFonts w:cs="Calibri"/>
          <w:color w:val="auto"/>
          <w:w w:val="110"/>
          <w:szCs w:val="22"/>
        </w:rPr>
        <w:t>This</w:t>
      </w:r>
      <w:r w:rsidRPr="00DD7BD1">
        <w:rPr>
          <w:rFonts w:cs="Calibri"/>
          <w:color w:val="auto"/>
          <w:spacing w:val="-12"/>
          <w:w w:val="110"/>
          <w:szCs w:val="22"/>
        </w:rPr>
        <w:t xml:space="preserve"> </w:t>
      </w:r>
      <w:r w:rsidRPr="00DD7BD1">
        <w:rPr>
          <w:rFonts w:cs="Calibri"/>
          <w:color w:val="auto"/>
          <w:w w:val="110"/>
          <w:szCs w:val="22"/>
        </w:rPr>
        <w:t>summer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President</w:t>
      </w:r>
      <w:r w:rsidRPr="00DD7BD1">
        <w:rPr>
          <w:rFonts w:cs="Calibri"/>
          <w:color w:val="auto"/>
          <w:spacing w:val="-10"/>
          <w:w w:val="110"/>
          <w:szCs w:val="22"/>
        </w:rPr>
        <w:t xml:space="preserve"> </w:t>
      </w:r>
      <w:r w:rsidRPr="00DD7BD1">
        <w:rPr>
          <w:rFonts w:cs="Calibri"/>
          <w:color w:val="auto"/>
          <w:w w:val="110"/>
          <w:szCs w:val="22"/>
        </w:rPr>
        <w:t>signed</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2"/>
          <w:w w:val="110"/>
          <w:szCs w:val="22"/>
        </w:rPr>
        <w:t xml:space="preserve"> </w:t>
      </w:r>
      <w:r w:rsidRPr="00DD7BD1">
        <w:rPr>
          <w:rFonts w:cs="Calibri"/>
          <w:color w:val="auto"/>
          <w:w w:val="110"/>
          <w:szCs w:val="22"/>
        </w:rPr>
        <w:t>Big</w:t>
      </w:r>
      <w:r w:rsidRPr="00DD7BD1">
        <w:rPr>
          <w:rFonts w:cs="Calibri"/>
          <w:color w:val="auto"/>
          <w:spacing w:val="-10"/>
          <w:w w:val="110"/>
          <w:szCs w:val="22"/>
        </w:rPr>
        <w:t xml:space="preserve"> </w:t>
      </w:r>
      <w:r w:rsidRPr="00DD7BD1">
        <w:rPr>
          <w:rFonts w:cs="Calibri"/>
          <w:color w:val="auto"/>
          <w:w w:val="110"/>
          <w:szCs w:val="22"/>
        </w:rPr>
        <w:t>Beautiful</w:t>
      </w:r>
      <w:r w:rsidRPr="00DD7BD1">
        <w:rPr>
          <w:rFonts w:cs="Calibri"/>
          <w:color w:val="auto"/>
          <w:spacing w:val="-12"/>
          <w:w w:val="110"/>
          <w:szCs w:val="22"/>
        </w:rPr>
        <w:t xml:space="preserve"> </w:t>
      </w:r>
      <w:r w:rsidRPr="00DD7BD1">
        <w:rPr>
          <w:rFonts w:cs="Calibri"/>
          <w:color w:val="auto"/>
          <w:w w:val="110"/>
          <w:szCs w:val="22"/>
        </w:rPr>
        <w:t>Bill”</w:t>
      </w:r>
      <w:r w:rsidRPr="00DD7BD1">
        <w:rPr>
          <w:rFonts w:cs="Calibri"/>
          <w:color w:val="auto"/>
          <w:spacing w:val="-10"/>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(OBBBA)</w:t>
      </w:r>
      <w:r w:rsidRPr="00DD7BD1">
        <w:rPr>
          <w:rFonts w:cs="Calibri"/>
          <w:color w:val="auto"/>
          <w:spacing w:val="-11"/>
          <w:w w:val="110"/>
          <w:szCs w:val="22"/>
        </w:rPr>
        <w:t xml:space="preserve"> </w:t>
      </w:r>
      <w:r w:rsidRPr="00DD7BD1">
        <w:rPr>
          <w:rFonts w:cs="Calibri"/>
          <w:color w:val="auto"/>
          <w:w w:val="110"/>
          <w:szCs w:val="22"/>
        </w:rPr>
        <w:t>into</w:t>
      </w:r>
      <w:r w:rsidRPr="00DD7BD1">
        <w:rPr>
          <w:rFonts w:cs="Calibri"/>
          <w:color w:val="auto"/>
          <w:spacing w:val="-10"/>
          <w:w w:val="110"/>
          <w:szCs w:val="22"/>
        </w:rPr>
        <w:t xml:space="preserve"> </w:t>
      </w:r>
      <w:r w:rsidRPr="00DD7BD1">
        <w:rPr>
          <w:rFonts w:cs="Calibri"/>
          <w:color w:val="auto"/>
          <w:w w:val="110"/>
          <w:szCs w:val="22"/>
        </w:rPr>
        <w:t>law,</w:t>
      </w:r>
      <w:r w:rsidRPr="00DD7BD1">
        <w:rPr>
          <w:rFonts w:cs="Calibri"/>
          <w:color w:val="auto"/>
          <w:spacing w:val="-13"/>
          <w:w w:val="110"/>
          <w:szCs w:val="22"/>
        </w:rPr>
        <w:t xml:space="preserve"> </w:t>
      </w:r>
      <w:r w:rsidRPr="00DD7BD1">
        <w:rPr>
          <w:rFonts w:cs="Calibri"/>
          <w:color w:val="auto"/>
          <w:w w:val="110"/>
          <w:szCs w:val="22"/>
        </w:rPr>
        <w:t>which</w:t>
      </w:r>
      <w:r w:rsidRPr="00DD7BD1">
        <w:rPr>
          <w:rFonts w:cs="Calibri"/>
          <w:color w:val="auto"/>
          <w:spacing w:val="-13"/>
          <w:w w:val="110"/>
          <w:szCs w:val="22"/>
        </w:rPr>
        <w:t xml:space="preserve"> </w:t>
      </w:r>
      <w:r w:rsidRPr="00DD7BD1">
        <w:rPr>
          <w:rFonts w:cs="Calibri"/>
          <w:color w:val="auto"/>
          <w:w w:val="110"/>
          <w:szCs w:val="22"/>
        </w:rPr>
        <w:t>included</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provision establishing</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temporary</w:t>
      </w:r>
      <w:r w:rsidRPr="00DD7BD1">
        <w:rPr>
          <w:rFonts w:cs="Calibri"/>
          <w:color w:val="auto"/>
          <w:spacing w:val="-16"/>
          <w:w w:val="110"/>
          <w:szCs w:val="22"/>
        </w:rPr>
        <w:t xml:space="preserve"> </w:t>
      </w:r>
      <w:r w:rsidRPr="00DD7BD1">
        <w:rPr>
          <w:rFonts w:cs="Calibri"/>
          <w:color w:val="auto"/>
          <w:w w:val="110"/>
          <w:szCs w:val="22"/>
        </w:rPr>
        <w:t>above-the-line</w:t>
      </w:r>
      <w:r w:rsidRPr="00DD7BD1">
        <w:rPr>
          <w:rFonts w:cs="Calibri"/>
          <w:color w:val="auto"/>
          <w:spacing w:val="-14"/>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5"/>
          <w:w w:val="110"/>
          <w:szCs w:val="22"/>
        </w:rPr>
        <w:t xml:space="preserve"> </w:t>
      </w:r>
      <w:r w:rsidRPr="00DD7BD1">
        <w:rPr>
          <w:rFonts w:cs="Calibri"/>
          <w:color w:val="auto"/>
          <w:w w:val="110"/>
          <w:szCs w:val="22"/>
        </w:rPr>
        <w:t>tip</w:t>
      </w:r>
      <w:r w:rsidRPr="00DD7BD1">
        <w:rPr>
          <w:rFonts w:cs="Calibri"/>
          <w:color w:val="auto"/>
          <w:spacing w:val="-15"/>
          <w:w w:val="110"/>
          <w:szCs w:val="22"/>
        </w:rPr>
        <w:t xml:space="preserve"> </w:t>
      </w:r>
      <w:r w:rsidRPr="00DD7BD1">
        <w:rPr>
          <w:rFonts w:cs="Calibri"/>
          <w:color w:val="auto"/>
          <w:w w:val="110"/>
          <w:szCs w:val="22"/>
        </w:rPr>
        <w:t>income”</w:t>
      </w:r>
      <w:r w:rsidRPr="00DD7BD1">
        <w:rPr>
          <w:rFonts w:cs="Calibri"/>
          <w:color w:val="auto"/>
          <w:spacing w:val="-14"/>
          <w:w w:val="110"/>
          <w:szCs w:val="22"/>
        </w:rPr>
        <w:t xml:space="preserve"> </w:t>
      </w:r>
      <w:r w:rsidRPr="00DD7BD1">
        <w:rPr>
          <w:rFonts w:cs="Calibri"/>
          <w:color w:val="auto"/>
          <w:w w:val="110"/>
          <w:szCs w:val="22"/>
        </w:rPr>
        <w:t>through</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5"/>
          <w:w w:val="110"/>
          <w:szCs w:val="22"/>
        </w:rPr>
        <w:t xml:space="preserve"> </w:t>
      </w:r>
      <w:r w:rsidRPr="00DD7BD1">
        <w:rPr>
          <w:rFonts w:cs="Calibri"/>
          <w:color w:val="auto"/>
          <w:w w:val="110"/>
          <w:szCs w:val="22"/>
        </w:rPr>
        <w:t>least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2028</w:t>
      </w:r>
      <w:r w:rsidRPr="00DD7BD1">
        <w:rPr>
          <w:rFonts w:cs="Calibri"/>
          <w:color w:val="auto"/>
          <w:spacing w:val="-14"/>
          <w:w w:val="110"/>
          <w:szCs w:val="22"/>
        </w:rPr>
        <w:t xml:space="preserve"> </w:t>
      </w:r>
      <w:r w:rsidRPr="00DD7BD1">
        <w:rPr>
          <w:rFonts w:cs="Calibri"/>
          <w:color w:val="auto"/>
          <w:w w:val="110"/>
          <w:szCs w:val="22"/>
        </w:rPr>
        <w:t xml:space="preserve">tax </w:t>
      </w:r>
      <w:r w:rsidRPr="00DD7BD1">
        <w:rPr>
          <w:rFonts w:cs="Calibri"/>
          <w:color w:val="auto"/>
          <w:spacing w:val="-4"/>
          <w:w w:val="110"/>
          <w:szCs w:val="22"/>
        </w:rPr>
        <w:t>year.</w:t>
      </w:r>
    </w:p>
    <w:p w14:paraId="4E3B23F6" w14:textId="77777777" w:rsidR="00E43496" w:rsidRPr="00DD7BD1" w:rsidRDefault="00E43496" w:rsidP="00E43496">
      <w:pPr>
        <w:pStyle w:val="BodyText"/>
        <w:spacing w:after="0" w:line="240" w:lineRule="auto"/>
        <w:jc w:val="left"/>
        <w:rPr>
          <w:rFonts w:cs="Calibri"/>
          <w:color w:val="auto"/>
          <w:sz w:val="16"/>
          <w:szCs w:val="16"/>
        </w:rPr>
      </w:pPr>
    </w:p>
    <w:p w14:paraId="4DDF7C5E"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September</w:t>
      </w:r>
      <w:r w:rsidRPr="00DD7BD1">
        <w:rPr>
          <w:rFonts w:cs="Calibri"/>
          <w:color w:val="auto"/>
          <w:spacing w:val="-17"/>
          <w:w w:val="110"/>
          <w:szCs w:val="22"/>
        </w:rPr>
        <w:t xml:space="preserve"> </w:t>
      </w:r>
      <w:r w:rsidRPr="00DD7BD1">
        <w:rPr>
          <w:rFonts w:cs="Calibri"/>
          <w:color w:val="auto"/>
          <w:w w:val="110"/>
          <w:szCs w:val="22"/>
        </w:rPr>
        <w:t>2,</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w w:val="110"/>
          <w:szCs w:val="22"/>
        </w:rPr>
        <w:t>“</w:t>
      </w:r>
      <w:hyperlink r:id="rId298">
        <w:r w:rsidRPr="00DD7BD1">
          <w:rPr>
            <w:rFonts w:cs="Calibri"/>
            <w:color w:val="0000FF"/>
            <w:w w:val="110"/>
            <w:szCs w:val="22"/>
            <w:u w:val="single" w:color="0000FF"/>
          </w:rPr>
          <w:t>preliminary</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list</w:t>
        </w:r>
      </w:hyperlink>
      <w:r w:rsidRPr="00DD7BD1">
        <w:rPr>
          <w:rFonts w:cs="Calibri"/>
          <w:w w:val="110"/>
          <w:szCs w:val="22"/>
        </w:rPr>
        <w:t>”</w:t>
      </w:r>
      <w:r w:rsidRPr="00DD7BD1">
        <w:rPr>
          <w:rFonts w:cs="Calibri"/>
          <w:spacing w:val="-16"/>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jobs</w:t>
      </w:r>
      <w:r w:rsidRPr="00DD7BD1">
        <w:rPr>
          <w:rFonts w:cs="Calibri"/>
          <w:color w:val="auto"/>
          <w:spacing w:val="-17"/>
          <w:w w:val="110"/>
          <w:szCs w:val="22"/>
        </w:rPr>
        <w:t xml:space="preserve"> </w:t>
      </w:r>
      <w:r w:rsidRPr="00DD7BD1">
        <w:rPr>
          <w:rFonts w:cs="Calibri"/>
          <w:color w:val="auto"/>
          <w:w w:val="110"/>
          <w:szCs w:val="22"/>
        </w:rPr>
        <w:t>eligible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 on</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income”</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OBBBA.</w:t>
      </w:r>
      <w:r w:rsidRPr="00DD7BD1">
        <w:rPr>
          <w:rFonts w:cs="Calibri"/>
          <w:color w:val="auto"/>
          <w:spacing w:val="-15"/>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yet</w:t>
      </w:r>
      <w:r w:rsidRPr="00DD7BD1">
        <w:rPr>
          <w:rFonts w:cs="Calibri"/>
          <w:color w:val="auto"/>
          <w:spacing w:val="-14"/>
          <w:w w:val="110"/>
          <w:szCs w:val="22"/>
        </w:rPr>
        <w:t xml:space="preserve"> </w:t>
      </w:r>
      <w:r w:rsidRPr="00DD7BD1">
        <w:rPr>
          <w:rFonts w:cs="Calibri"/>
          <w:color w:val="auto"/>
          <w:w w:val="110"/>
          <w:szCs w:val="22"/>
        </w:rPr>
        <w:t>final,</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 Register,</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Treasury</w:t>
      </w:r>
      <w:r w:rsidRPr="00DD7BD1">
        <w:rPr>
          <w:rFonts w:cs="Calibri"/>
          <w:color w:val="auto"/>
          <w:spacing w:val="-1"/>
          <w:w w:val="110"/>
          <w:szCs w:val="22"/>
        </w:rPr>
        <w:t xml:space="preserve"> </w:t>
      </w:r>
      <w:r w:rsidRPr="00DD7BD1">
        <w:rPr>
          <w:rFonts w:cs="Calibri"/>
          <w:color w:val="auto"/>
          <w:w w:val="110"/>
          <w:szCs w:val="22"/>
        </w:rPr>
        <w:t>Department</w:t>
      </w:r>
      <w:r w:rsidRPr="00DD7BD1">
        <w:rPr>
          <w:rFonts w:cs="Calibri"/>
          <w:color w:val="auto"/>
          <w:spacing w:val="-5"/>
          <w:w w:val="110"/>
          <w:szCs w:val="22"/>
        </w:rPr>
        <w:t xml:space="preserve"> </w:t>
      </w:r>
      <w:r w:rsidRPr="00DD7BD1">
        <w:rPr>
          <w:rFonts w:cs="Calibri"/>
          <w:color w:val="auto"/>
          <w:w w:val="110"/>
          <w:szCs w:val="22"/>
        </w:rPr>
        <w:t>notes</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IRS</w:t>
      </w:r>
      <w:r w:rsidRPr="00DD7BD1">
        <w:rPr>
          <w:rFonts w:cs="Calibri"/>
          <w:color w:val="auto"/>
          <w:spacing w:val="-4"/>
          <w:w w:val="110"/>
          <w:szCs w:val="22"/>
        </w:rPr>
        <w:t xml:space="preserve"> </w:t>
      </w:r>
      <w:r w:rsidRPr="00DD7BD1">
        <w:rPr>
          <w:rFonts w:cs="Calibri"/>
          <w:color w:val="auto"/>
          <w:w w:val="110"/>
          <w:szCs w:val="22"/>
        </w:rPr>
        <w:t>expects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final</w:t>
      </w:r>
      <w:r w:rsidRPr="00DD7BD1">
        <w:rPr>
          <w:rFonts w:cs="Calibri"/>
          <w:color w:val="auto"/>
          <w:spacing w:val="-3"/>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“be</w:t>
      </w:r>
      <w:r w:rsidRPr="00DD7BD1">
        <w:rPr>
          <w:rFonts w:cs="Calibri"/>
          <w:color w:val="auto"/>
          <w:spacing w:val="-5"/>
          <w:w w:val="110"/>
          <w:szCs w:val="22"/>
        </w:rPr>
        <w:t xml:space="preserve"> </w:t>
      </w:r>
      <w:r w:rsidRPr="00DD7BD1">
        <w:rPr>
          <w:rFonts w:cs="Calibri"/>
          <w:color w:val="auto"/>
          <w:w w:val="110"/>
          <w:szCs w:val="22"/>
        </w:rPr>
        <w:t>substantially the</w:t>
      </w:r>
      <w:r w:rsidRPr="00DD7BD1">
        <w:rPr>
          <w:rFonts w:cs="Calibri"/>
          <w:color w:val="auto"/>
          <w:spacing w:val="-4"/>
          <w:w w:val="110"/>
          <w:szCs w:val="22"/>
        </w:rPr>
        <w:t xml:space="preserve"> </w:t>
      </w:r>
      <w:r w:rsidRPr="00DD7BD1">
        <w:rPr>
          <w:rFonts w:cs="Calibri"/>
          <w:color w:val="auto"/>
          <w:w w:val="110"/>
          <w:szCs w:val="22"/>
        </w:rPr>
        <w:t>same</w:t>
      </w:r>
      <w:r w:rsidRPr="00DD7BD1">
        <w:rPr>
          <w:rFonts w:cs="Calibri"/>
          <w:color w:val="auto"/>
          <w:spacing w:val="-1"/>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this preliminary</w:t>
      </w:r>
      <w:r w:rsidRPr="00DD7BD1">
        <w:rPr>
          <w:rFonts w:cs="Calibri"/>
          <w:color w:val="auto"/>
          <w:spacing w:val="-2"/>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OBBBA</w:t>
      </w:r>
      <w:r w:rsidRPr="00DD7BD1">
        <w:rPr>
          <w:rFonts w:cs="Calibri"/>
          <w:color w:val="auto"/>
          <w:spacing w:val="-3"/>
          <w:w w:val="110"/>
          <w:szCs w:val="22"/>
        </w:rPr>
        <w:t xml:space="preserve"> </w:t>
      </w:r>
      <w:r w:rsidRPr="00DD7BD1">
        <w:rPr>
          <w:rFonts w:cs="Calibri"/>
          <w:color w:val="auto"/>
          <w:w w:val="110"/>
          <w:szCs w:val="22"/>
        </w:rPr>
        <w:t>requires</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Treasury</w:t>
      </w:r>
      <w:r w:rsidRPr="00DD7BD1">
        <w:rPr>
          <w:rFonts w:cs="Calibri"/>
          <w:color w:val="auto"/>
          <w:spacing w:val="-4"/>
          <w:w w:val="110"/>
          <w:szCs w:val="22"/>
        </w:rPr>
        <w:t xml:space="preserve"> </w:t>
      </w:r>
      <w:r w:rsidRPr="00DD7BD1">
        <w:rPr>
          <w:rFonts w:cs="Calibri"/>
          <w:color w:val="auto"/>
          <w:w w:val="110"/>
          <w:szCs w:val="22"/>
        </w:rPr>
        <w:t>secretary</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publish</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official</w:t>
      </w:r>
      <w:r w:rsidRPr="00DD7BD1">
        <w:rPr>
          <w:rFonts w:cs="Calibri"/>
          <w:color w:val="auto"/>
          <w:spacing w:val="-4"/>
          <w:w w:val="110"/>
          <w:szCs w:val="22"/>
        </w:rPr>
        <w:t xml:space="preserve"> </w:t>
      </w:r>
      <w:r w:rsidRPr="00DD7BD1">
        <w:rPr>
          <w:rFonts w:cs="Calibri"/>
          <w:color w:val="auto"/>
          <w:w w:val="110"/>
          <w:szCs w:val="22"/>
        </w:rPr>
        <w:t>list of</w:t>
      </w:r>
      <w:r w:rsidRPr="00DD7BD1">
        <w:rPr>
          <w:rFonts w:cs="Calibri"/>
          <w:color w:val="auto"/>
          <w:spacing w:val="-5"/>
          <w:w w:val="110"/>
          <w:szCs w:val="22"/>
        </w:rPr>
        <w:t xml:space="preserve"> </w:t>
      </w:r>
      <w:r w:rsidRPr="00DD7BD1">
        <w:rPr>
          <w:rFonts w:cs="Calibri"/>
          <w:color w:val="auto"/>
          <w:w w:val="110"/>
          <w:szCs w:val="22"/>
        </w:rPr>
        <w:t>qualifying</w:t>
      </w:r>
      <w:r w:rsidRPr="00DD7BD1">
        <w:rPr>
          <w:rFonts w:cs="Calibri"/>
          <w:color w:val="auto"/>
          <w:spacing w:val="-4"/>
          <w:w w:val="110"/>
          <w:szCs w:val="22"/>
        </w:rPr>
        <w:t xml:space="preserve"> </w:t>
      </w:r>
      <w:r w:rsidRPr="00DD7BD1">
        <w:rPr>
          <w:rFonts w:cs="Calibri"/>
          <w:color w:val="auto"/>
          <w:w w:val="110"/>
          <w:szCs w:val="22"/>
        </w:rPr>
        <w:t>occupations by October 2, 2025.</w:t>
      </w:r>
    </w:p>
    <w:p w14:paraId="11B3007C" w14:textId="77777777" w:rsidR="00E43496" w:rsidRPr="00DD7BD1" w:rsidRDefault="00E43496" w:rsidP="00E43496">
      <w:pPr>
        <w:pStyle w:val="BodyText"/>
        <w:spacing w:after="0" w:line="240" w:lineRule="auto"/>
        <w:jc w:val="left"/>
        <w:rPr>
          <w:rFonts w:cs="Calibri"/>
          <w:color w:val="auto"/>
          <w:sz w:val="16"/>
          <w:szCs w:val="16"/>
        </w:rPr>
      </w:pPr>
    </w:p>
    <w:p w14:paraId="1B2662D3"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Notably,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Treasury</w:t>
      </w:r>
      <w:r w:rsidRPr="00DD7BD1">
        <w:rPr>
          <w:rFonts w:cs="Calibri"/>
          <w:color w:val="auto"/>
          <w:spacing w:val="-11"/>
          <w:w w:val="110"/>
          <w:szCs w:val="22"/>
        </w:rPr>
        <w:t xml:space="preserve"> </w:t>
      </w:r>
      <w:r w:rsidRPr="00DD7BD1">
        <w:rPr>
          <w:rFonts w:cs="Calibri"/>
          <w:color w:val="auto"/>
          <w:w w:val="110"/>
          <w:szCs w:val="22"/>
        </w:rPr>
        <w:t>Department’s</w:t>
      </w:r>
      <w:r w:rsidRPr="00DD7BD1">
        <w:rPr>
          <w:rFonts w:cs="Calibri"/>
          <w:color w:val="auto"/>
          <w:spacing w:val="-13"/>
          <w:w w:val="110"/>
          <w:szCs w:val="22"/>
        </w:rPr>
        <w:t xml:space="preserve"> </w:t>
      </w:r>
      <w:r w:rsidRPr="00DD7BD1">
        <w:rPr>
          <w:rFonts w:cs="Calibri"/>
          <w:color w:val="auto"/>
          <w:w w:val="110"/>
          <w:szCs w:val="22"/>
        </w:rPr>
        <w:t>preliminary</w:t>
      </w:r>
      <w:r w:rsidRPr="00DD7BD1">
        <w:rPr>
          <w:rFonts w:cs="Calibri"/>
          <w:color w:val="auto"/>
          <w:spacing w:val="-11"/>
          <w:w w:val="110"/>
          <w:szCs w:val="22"/>
        </w:rPr>
        <w:t xml:space="preserve"> </w:t>
      </w:r>
      <w:r w:rsidRPr="00DD7BD1">
        <w:rPr>
          <w:rFonts w:cs="Calibri"/>
          <w:color w:val="auto"/>
          <w:w w:val="110"/>
          <w:szCs w:val="22"/>
        </w:rPr>
        <w:t>list</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occupations</w:t>
      </w:r>
      <w:r w:rsidRPr="00DD7BD1">
        <w:rPr>
          <w:rFonts w:cs="Calibri"/>
          <w:color w:val="auto"/>
          <w:spacing w:val="-12"/>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“customarily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regularly</w:t>
      </w:r>
      <w:r w:rsidRPr="00DD7BD1">
        <w:rPr>
          <w:rFonts w:cs="Calibri"/>
          <w:color w:val="auto"/>
          <w:spacing w:val="-15"/>
          <w:w w:val="110"/>
          <w:szCs w:val="22"/>
        </w:rPr>
        <w:t xml:space="preserve"> </w:t>
      </w:r>
      <w:r w:rsidRPr="00DD7BD1">
        <w:rPr>
          <w:rFonts w:cs="Calibri"/>
          <w:color w:val="auto"/>
          <w:w w:val="110"/>
          <w:szCs w:val="22"/>
        </w:rPr>
        <w:t>received</w:t>
      </w:r>
      <w:r w:rsidRPr="00DD7BD1">
        <w:rPr>
          <w:rFonts w:cs="Calibri"/>
          <w:color w:val="auto"/>
          <w:spacing w:val="-11"/>
          <w:w w:val="110"/>
          <w:szCs w:val="22"/>
        </w:rPr>
        <w:t xml:space="preserve"> </w:t>
      </w:r>
      <w:r w:rsidRPr="00DD7BD1">
        <w:rPr>
          <w:rFonts w:cs="Calibri"/>
          <w:color w:val="auto"/>
          <w:w w:val="110"/>
          <w:szCs w:val="22"/>
        </w:rPr>
        <w:t>tips” includes</w:t>
      </w:r>
      <w:r w:rsidRPr="00DD7BD1">
        <w:rPr>
          <w:rFonts w:cs="Calibri"/>
          <w:color w:val="auto"/>
          <w:spacing w:val="-17"/>
          <w:w w:val="110"/>
          <w:szCs w:val="22"/>
        </w:rPr>
        <w:t xml:space="preserve"> </w:t>
      </w:r>
      <w:r w:rsidRPr="00DD7BD1">
        <w:rPr>
          <w:rFonts w:cs="Calibri"/>
          <w:color w:val="auto"/>
          <w:w w:val="110"/>
          <w:szCs w:val="22"/>
        </w:rPr>
        <w:t>many</w:t>
      </w:r>
      <w:r w:rsidRPr="00DD7BD1">
        <w:rPr>
          <w:rFonts w:cs="Calibri"/>
          <w:color w:val="auto"/>
          <w:spacing w:val="-17"/>
          <w:w w:val="110"/>
          <w:szCs w:val="22"/>
        </w:rPr>
        <w:t xml:space="preserve"> </w:t>
      </w:r>
      <w:r w:rsidRPr="00DD7BD1">
        <w:rPr>
          <w:rFonts w:cs="Calibri"/>
          <w:color w:val="auto"/>
          <w:w w:val="110"/>
          <w:szCs w:val="22"/>
        </w:rPr>
        <w:t>occupations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(DOL)</w:t>
      </w:r>
      <w:r w:rsidRPr="00DD7BD1">
        <w:rPr>
          <w:rFonts w:cs="Calibri"/>
          <w:color w:val="auto"/>
          <w:spacing w:val="-17"/>
          <w:w w:val="110"/>
          <w:szCs w:val="22"/>
        </w:rPr>
        <w:t xml:space="preserve"> </w:t>
      </w:r>
      <w:r w:rsidRPr="00DD7BD1">
        <w:rPr>
          <w:rFonts w:cs="Calibri"/>
          <w:color w:val="auto"/>
          <w:w w:val="110"/>
          <w:szCs w:val="22"/>
        </w:rPr>
        <w:t>has</w:t>
      </w:r>
      <w:r w:rsidRPr="00DD7BD1">
        <w:rPr>
          <w:rFonts w:cs="Calibri"/>
          <w:color w:val="auto"/>
          <w:spacing w:val="-16"/>
          <w:w w:val="110"/>
          <w:szCs w:val="22"/>
        </w:rPr>
        <w:t xml:space="preserve"> </w:t>
      </w:r>
      <w:r w:rsidRPr="00DD7BD1">
        <w:rPr>
          <w:rFonts w:cs="Calibri"/>
          <w:color w:val="auto"/>
          <w:w w:val="110"/>
          <w:szCs w:val="22"/>
        </w:rPr>
        <w:t>long</w:t>
      </w:r>
      <w:r w:rsidRPr="00DD7BD1">
        <w:rPr>
          <w:rFonts w:cs="Calibri"/>
          <w:color w:val="auto"/>
          <w:spacing w:val="-13"/>
          <w:w w:val="110"/>
          <w:szCs w:val="22"/>
        </w:rPr>
        <w:t xml:space="preserve"> </w:t>
      </w:r>
      <w:hyperlink r:id="rId299">
        <w:r w:rsidRPr="00DD7BD1">
          <w:rPr>
            <w:rFonts w:cs="Calibri"/>
            <w:color w:val="0000FF"/>
            <w:w w:val="110"/>
            <w:szCs w:val="22"/>
            <w:u w:val="single" w:color="0000FF"/>
          </w:rPr>
          <w:t>interpreted</w:t>
        </w:r>
      </w:hyperlink>
      <w:r w:rsidRPr="00DD7BD1">
        <w:rPr>
          <w:rFonts w:cs="Calibri"/>
          <w:color w:val="0000FF"/>
          <w:spacing w:val="-17"/>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5"/>
          <w:w w:val="110"/>
          <w:szCs w:val="22"/>
        </w:rPr>
        <w:t xml:space="preserve"> </w:t>
      </w:r>
      <w:r w:rsidRPr="00DD7BD1">
        <w:rPr>
          <w:rFonts w:cs="Calibri"/>
          <w:color w:val="auto"/>
          <w:w w:val="110"/>
          <w:szCs w:val="22"/>
        </w:rPr>
        <w:t>customarily</w:t>
      </w:r>
      <w:r w:rsidRPr="00DD7BD1">
        <w:rPr>
          <w:rFonts w:cs="Calibri"/>
          <w:color w:val="auto"/>
          <w:spacing w:val="-16"/>
          <w:w w:val="110"/>
          <w:szCs w:val="22"/>
        </w:rPr>
        <w:t xml:space="preserve"> </w:t>
      </w:r>
      <w:r w:rsidRPr="00DD7BD1">
        <w:rPr>
          <w:rFonts w:cs="Calibri"/>
          <w:color w:val="auto"/>
          <w:w w:val="110"/>
          <w:szCs w:val="22"/>
        </w:rPr>
        <w:t>and regularly receiving tips, such as dishwashers and cooks. This is an important difference. The DOL</w:t>
      </w:r>
      <w:r w:rsidRPr="00DD7BD1">
        <w:rPr>
          <w:rFonts w:cs="Calibri"/>
          <w:color w:val="auto"/>
          <w:spacing w:val="-1"/>
          <w:w w:val="110"/>
          <w:szCs w:val="22"/>
        </w:rPr>
        <w:t xml:space="preserve"> </w:t>
      </w:r>
      <w:r w:rsidRPr="00DD7BD1">
        <w:rPr>
          <w:rFonts w:cs="Calibri"/>
          <w:color w:val="auto"/>
          <w:w w:val="110"/>
          <w:szCs w:val="22"/>
        </w:rPr>
        <w:t>has construed the</w:t>
      </w:r>
      <w:r w:rsidRPr="00DD7BD1">
        <w:rPr>
          <w:rFonts w:cs="Calibri"/>
          <w:color w:val="auto"/>
          <w:spacing w:val="-5"/>
          <w:w w:val="110"/>
          <w:szCs w:val="22"/>
        </w:rPr>
        <w:t xml:space="preserve"> </w:t>
      </w:r>
      <w:r w:rsidRPr="00DD7BD1">
        <w:rPr>
          <w:rFonts w:cs="Calibri"/>
          <w:color w:val="auto"/>
          <w:w w:val="110"/>
          <w:szCs w:val="22"/>
        </w:rPr>
        <w:t>Fair</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Standards</w:t>
      </w:r>
      <w:r w:rsidRPr="00DD7BD1">
        <w:rPr>
          <w:rFonts w:cs="Calibri"/>
          <w:color w:val="auto"/>
          <w:spacing w:val="-7"/>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prohibit</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5"/>
          <w:w w:val="110"/>
          <w:szCs w:val="22"/>
        </w:rPr>
        <w:t xml:space="preserve"> </w:t>
      </w:r>
      <w:r w:rsidRPr="00DD7BD1">
        <w:rPr>
          <w:rFonts w:cs="Calibri"/>
          <w:color w:val="auto"/>
          <w:w w:val="110"/>
          <w:szCs w:val="22"/>
        </w:rPr>
        <w:t>applying</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“tip</w:t>
      </w:r>
      <w:r w:rsidRPr="00DD7BD1">
        <w:rPr>
          <w:rFonts w:cs="Calibri"/>
          <w:color w:val="auto"/>
          <w:spacing w:val="-7"/>
          <w:w w:val="110"/>
          <w:szCs w:val="22"/>
        </w:rPr>
        <w:t xml:space="preserve"> </w:t>
      </w:r>
      <w:r w:rsidRPr="00DD7BD1">
        <w:rPr>
          <w:rFonts w:cs="Calibri"/>
          <w:color w:val="auto"/>
          <w:w w:val="110"/>
          <w:szCs w:val="22"/>
        </w:rPr>
        <w:t>credit”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satisfy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minimum wage</w:t>
      </w:r>
      <w:r w:rsidRPr="00DD7BD1">
        <w:rPr>
          <w:rFonts w:cs="Calibri"/>
          <w:color w:val="auto"/>
          <w:spacing w:val="-5"/>
          <w:w w:val="110"/>
          <w:szCs w:val="22"/>
        </w:rPr>
        <w:t xml:space="preserve"> </w:t>
      </w:r>
      <w:r w:rsidRPr="00DD7BD1">
        <w:rPr>
          <w:rFonts w:cs="Calibri"/>
          <w:color w:val="auto"/>
          <w:w w:val="110"/>
          <w:szCs w:val="22"/>
        </w:rPr>
        <w:t>obligation</w:t>
      </w:r>
      <w:r w:rsidRPr="00DD7BD1">
        <w:rPr>
          <w:rFonts w:cs="Calibri"/>
          <w:color w:val="auto"/>
          <w:spacing w:val="-2"/>
          <w:w w:val="110"/>
          <w:szCs w:val="22"/>
        </w:rPr>
        <w:t xml:space="preserve"> </w:t>
      </w:r>
      <w:r w:rsidRPr="00DD7BD1">
        <w:rPr>
          <w:rFonts w:cs="Calibri"/>
          <w:color w:val="auto"/>
          <w:w w:val="110"/>
          <w:szCs w:val="22"/>
        </w:rPr>
        <w:t>for</w:t>
      </w:r>
      <w:r w:rsidRPr="00DD7BD1">
        <w:rPr>
          <w:rFonts w:cs="Calibri"/>
          <w:color w:val="auto"/>
          <w:spacing w:val="-4"/>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5"/>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engaged</w:t>
      </w:r>
      <w:r w:rsidRPr="00DD7BD1">
        <w:rPr>
          <w:rFonts w:cs="Calibri"/>
          <w:color w:val="auto"/>
          <w:spacing w:val="-2"/>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occupation</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customarily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regularly</w:t>
      </w:r>
      <w:r w:rsidRPr="00DD7BD1">
        <w:rPr>
          <w:rFonts w:cs="Calibri"/>
          <w:color w:val="auto"/>
          <w:spacing w:val="-2"/>
          <w:w w:val="110"/>
          <w:szCs w:val="22"/>
        </w:rPr>
        <w:t xml:space="preserve"> </w:t>
      </w:r>
      <w:r w:rsidRPr="00DD7BD1">
        <w:rPr>
          <w:rFonts w:cs="Calibri"/>
          <w:color w:val="auto"/>
          <w:w w:val="110"/>
          <w:szCs w:val="22"/>
        </w:rPr>
        <w:t>receives</w:t>
      </w:r>
      <w:r w:rsidRPr="00DD7BD1">
        <w:rPr>
          <w:rFonts w:cs="Calibri"/>
          <w:color w:val="auto"/>
          <w:spacing w:val="-2"/>
          <w:w w:val="110"/>
          <w:szCs w:val="22"/>
        </w:rPr>
        <w:t xml:space="preserve"> </w:t>
      </w:r>
      <w:r w:rsidRPr="00DD7BD1">
        <w:rPr>
          <w:rFonts w:cs="Calibri"/>
          <w:color w:val="auto"/>
          <w:w w:val="110"/>
          <w:szCs w:val="22"/>
        </w:rPr>
        <w:t>tips. Further,</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does</w:t>
      </w:r>
      <w:r w:rsidRPr="00DD7BD1">
        <w:rPr>
          <w:rFonts w:cs="Calibri"/>
          <w:color w:val="auto"/>
          <w:spacing w:val="-17"/>
          <w:w w:val="110"/>
          <w:szCs w:val="22"/>
        </w:rPr>
        <w:t xml:space="preserve"> </w:t>
      </w:r>
      <w:r w:rsidRPr="00DD7BD1">
        <w:rPr>
          <w:rFonts w:cs="Calibri"/>
          <w:color w:val="auto"/>
          <w:w w:val="110"/>
          <w:szCs w:val="22"/>
        </w:rPr>
        <w:t>take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credit,</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also</w:t>
      </w:r>
      <w:r w:rsidRPr="00DD7BD1">
        <w:rPr>
          <w:rFonts w:cs="Calibri"/>
          <w:color w:val="auto"/>
          <w:spacing w:val="-17"/>
          <w:w w:val="110"/>
          <w:szCs w:val="22"/>
        </w:rPr>
        <w:t xml:space="preserve"> </w:t>
      </w:r>
      <w:r w:rsidRPr="00DD7BD1">
        <w:rPr>
          <w:rFonts w:cs="Calibri"/>
          <w:color w:val="auto"/>
          <w:w w:val="110"/>
          <w:szCs w:val="22"/>
        </w:rPr>
        <w:t>“customarily</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regularly</w:t>
      </w:r>
      <w:r w:rsidRPr="00DD7BD1">
        <w:rPr>
          <w:rFonts w:cs="Calibri"/>
          <w:color w:val="auto"/>
          <w:spacing w:val="-16"/>
          <w:w w:val="110"/>
          <w:szCs w:val="22"/>
        </w:rPr>
        <w:t xml:space="preserve"> </w:t>
      </w:r>
      <w:r w:rsidRPr="00DD7BD1">
        <w:rPr>
          <w:rFonts w:cs="Calibri"/>
          <w:color w:val="auto"/>
          <w:w w:val="110"/>
          <w:szCs w:val="22"/>
        </w:rPr>
        <w:t>receive</w:t>
      </w:r>
      <w:r w:rsidRPr="00DD7BD1">
        <w:rPr>
          <w:rFonts w:cs="Calibri"/>
          <w:color w:val="auto"/>
          <w:spacing w:val="-15"/>
          <w:w w:val="110"/>
          <w:szCs w:val="22"/>
        </w:rPr>
        <w:t xml:space="preserve"> </w:t>
      </w:r>
      <w:r w:rsidRPr="00DD7BD1">
        <w:rPr>
          <w:rFonts w:cs="Calibri"/>
          <w:color w:val="auto"/>
          <w:w w:val="110"/>
          <w:szCs w:val="22"/>
        </w:rPr>
        <w:t>tips” can</w:t>
      </w:r>
      <w:r w:rsidRPr="00DD7BD1">
        <w:rPr>
          <w:rFonts w:cs="Calibri"/>
          <w:color w:val="auto"/>
          <w:spacing w:val="-1"/>
          <w:w w:val="110"/>
          <w:szCs w:val="22"/>
        </w:rPr>
        <w:t xml:space="preserve"> </w:t>
      </w:r>
      <w:r w:rsidRPr="00DD7BD1">
        <w:rPr>
          <w:rFonts w:cs="Calibri"/>
          <w:color w:val="auto"/>
          <w:w w:val="110"/>
          <w:szCs w:val="22"/>
        </w:rPr>
        <w:t>participate in</w:t>
      </w:r>
      <w:r w:rsidRPr="00DD7BD1">
        <w:rPr>
          <w:rFonts w:cs="Calibri"/>
          <w:color w:val="auto"/>
          <w:spacing w:val="-2"/>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mandatory tip</w:t>
      </w:r>
      <w:r w:rsidRPr="00DD7BD1">
        <w:rPr>
          <w:rFonts w:cs="Calibri"/>
          <w:color w:val="auto"/>
          <w:spacing w:val="-4"/>
          <w:w w:val="110"/>
          <w:szCs w:val="22"/>
        </w:rPr>
        <w:t xml:space="preserve"> </w:t>
      </w:r>
      <w:r w:rsidRPr="00DD7BD1">
        <w:rPr>
          <w:rFonts w:cs="Calibri"/>
          <w:color w:val="auto"/>
          <w:w w:val="110"/>
          <w:szCs w:val="22"/>
        </w:rPr>
        <w:t>pool.</w:t>
      </w:r>
      <w:r w:rsidRPr="00DD7BD1">
        <w:rPr>
          <w:rFonts w:cs="Calibri"/>
          <w:color w:val="auto"/>
          <w:spacing w:val="-2"/>
          <w:w w:val="110"/>
          <w:szCs w:val="22"/>
        </w:rPr>
        <w:t xml:space="preserve"> </w:t>
      </w:r>
      <w:r w:rsidRPr="00DD7BD1">
        <w:rPr>
          <w:rFonts w:cs="Calibri"/>
          <w:color w:val="auto"/>
          <w:w w:val="110"/>
          <w:szCs w:val="22"/>
        </w:rPr>
        <w:t>It</w:t>
      </w:r>
      <w:r w:rsidRPr="00DD7BD1">
        <w:rPr>
          <w:rFonts w:cs="Calibri"/>
          <w:color w:val="auto"/>
          <w:spacing w:val="-1"/>
          <w:w w:val="110"/>
          <w:szCs w:val="22"/>
        </w:rPr>
        <w:t xml:space="preserve"> </w:t>
      </w:r>
      <w:r w:rsidRPr="00DD7BD1">
        <w:rPr>
          <w:rFonts w:cs="Calibri"/>
          <w:color w:val="auto"/>
          <w:w w:val="110"/>
          <w:szCs w:val="22"/>
        </w:rPr>
        <w:t>had</w:t>
      </w:r>
      <w:r w:rsidRPr="00DD7BD1">
        <w:rPr>
          <w:rFonts w:cs="Calibri"/>
          <w:color w:val="auto"/>
          <w:spacing w:val="-4"/>
          <w:w w:val="110"/>
          <w:szCs w:val="22"/>
        </w:rPr>
        <w:t xml:space="preserve"> </w:t>
      </w:r>
      <w:r w:rsidRPr="00DD7BD1">
        <w:rPr>
          <w:rFonts w:cs="Calibri"/>
          <w:color w:val="auto"/>
          <w:w w:val="110"/>
          <w:szCs w:val="22"/>
        </w:rPr>
        <w:t>been assumed</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Treasury</w:t>
      </w:r>
      <w:r w:rsidRPr="00DD7BD1">
        <w:rPr>
          <w:rFonts w:cs="Calibri"/>
          <w:color w:val="auto"/>
          <w:spacing w:val="-2"/>
          <w:w w:val="110"/>
          <w:szCs w:val="22"/>
        </w:rPr>
        <w:t xml:space="preserve"> </w:t>
      </w:r>
      <w:r w:rsidRPr="00DD7BD1">
        <w:rPr>
          <w:rFonts w:cs="Calibri"/>
          <w:color w:val="auto"/>
          <w:w w:val="110"/>
          <w:szCs w:val="22"/>
        </w:rPr>
        <w:t>secretary</w:t>
      </w:r>
      <w:r w:rsidRPr="00DD7BD1">
        <w:rPr>
          <w:rFonts w:cs="Calibri"/>
          <w:color w:val="auto"/>
          <w:spacing w:val="-2"/>
          <w:w w:val="110"/>
          <w:szCs w:val="22"/>
        </w:rPr>
        <w:t xml:space="preserve"> </w:t>
      </w:r>
      <w:r w:rsidRPr="00DD7BD1">
        <w:rPr>
          <w:rFonts w:cs="Calibri"/>
          <w:color w:val="auto"/>
          <w:w w:val="110"/>
          <w:szCs w:val="22"/>
        </w:rPr>
        <w:t>would align its list</w:t>
      </w:r>
      <w:r w:rsidRPr="00DD7BD1">
        <w:rPr>
          <w:rFonts w:cs="Calibri"/>
          <w:color w:val="auto"/>
          <w:spacing w:val="-1"/>
          <w:w w:val="110"/>
          <w:szCs w:val="22"/>
        </w:rPr>
        <w:t xml:space="preserve"> </w:t>
      </w:r>
      <w:r w:rsidRPr="00DD7BD1">
        <w:rPr>
          <w:rFonts w:cs="Calibri"/>
          <w:color w:val="auto"/>
          <w:w w:val="110"/>
          <w:szCs w:val="22"/>
        </w:rPr>
        <w:t>with the</w:t>
      </w:r>
      <w:r w:rsidRPr="00DD7BD1">
        <w:rPr>
          <w:rFonts w:cs="Calibri"/>
          <w:color w:val="auto"/>
          <w:spacing w:val="-6"/>
          <w:w w:val="110"/>
          <w:szCs w:val="22"/>
        </w:rPr>
        <w:t xml:space="preserve"> </w:t>
      </w:r>
      <w:r w:rsidRPr="00DD7BD1">
        <w:rPr>
          <w:rFonts w:cs="Calibri"/>
          <w:color w:val="auto"/>
          <w:w w:val="110"/>
          <w:szCs w:val="22"/>
        </w:rPr>
        <w:t>DOL’s</w:t>
      </w:r>
      <w:r w:rsidRPr="00DD7BD1">
        <w:rPr>
          <w:rFonts w:cs="Calibri"/>
          <w:color w:val="auto"/>
          <w:spacing w:val="-6"/>
          <w:w w:val="110"/>
          <w:szCs w:val="22"/>
        </w:rPr>
        <w:t xml:space="preserve"> </w:t>
      </w:r>
      <w:r w:rsidRPr="00DD7BD1">
        <w:rPr>
          <w:rFonts w:cs="Calibri"/>
          <w:color w:val="auto"/>
          <w:w w:val="110"/>
          <w:szCs w:val="22"/>
        </w:rPr>
        <w:t>approach</w:t>
      </w:r>
      <w:r w:rsidRPr="00DD7BD1">
        <w:rPr>
          <w:rFonts w:cs="Calibri"/>
          <w:color w:val="auto"/>
          <w:spacing w:val="-6"/>
          <w:w w:val="110"/>
          <w:szCs w:val="22"/>
        </w:rPr>
        <w:t xml:space="preserve"> </w:t>
      </w:r>
      <w:r w:rsidRPr="00DD7BD1">
        <w:rPr>
          <w:rFonts w:cs="Calibri"/>
          <w:color w:val="auto"/>
          <w:w w:val="110"/>
          <w:szCs w:val="22"/>
        </w:rPr>
        <w:t>due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parallel</w:t>
      </w:r>
      <w:r w:rsidRPr="00DD7BD1">
        <w:rPr>
          <w:rFonts w:cs="Calibri"/>
          <w:color w:val="auto"/>
          <w:spacing w:val="-9"/>
          <w:w w:val="110"/>
          <w:szCs w:val="22"/>
        </w:rPr>
        <w:t xml:space="preserve"> </w:t>
      </w:r>
      <w:r w:rsidRPr="00DD7BD1">
        <w:rPr>
          <w:rFonts w:cs="Calibri"/>
          <w:color w:val="auto"/>
          <w:w w:val="110"/>
          <w:szCs w:val="22"/>
        </w:rPr>
        <w:t>“customarily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regularly”</w:t>
      </w:r>
      <w:r w:rsidRPr="00DD7BD1">
        <w:rPr>
          <w:rFonts w:cs="Calibri"/>
          <w:color w:val="auto"/>
          <w:spacing w:val="-6"/>
          <w:w w:val="110"/>
          <w:szCs w:val="22"/>
        </w:rPr>
        <w:t xml:space="preserve"> </w:t>
      </w:r>
      <w:r w:rsidRPr="00DD7BD1">
        <w:rPr>
          <w:rFonts w:cs="Calibri"/>
          <w:color w:val="auto"/>
          <w:w w:val="110"/>
          <w:szCs w:val="22"/>
        </w:rPr>
        <w:t>language</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7"/>
          <w:w w:val="110"/>
          <w:szCs w:val="22"/>
        </w:rPr>
        <w:t xml:space="preserve"> </w:t>
      </w:r>
      <w:r w:rsidRPr="00DD7BD1">
        <w:rPr>
          <w:rFonts w:cs="Calibri"/>
          <w:color w:val="auto"/>
          <w:w w:val="110"/>
          <w:szCs w:val="22"/>
        </w:rPr>
        <w:t>both</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the OBBBA.</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7"/>
          <w:w w:val="110"/>
          <w:szCs w:val="22"/>
        </w:rPr>
        <w:t xml:space="preserve"> </w:t>
      </w:r>
      <w:r w:rsidRPr="00DD7BD1">
        <w:rPr>
          <w:rFonts w:cs="Calibri"/>
          <w:color w:val="auto"/>
          <w:w w:val="110"/>
          <w:szCs w:val="22"/>
        </w:rPr>
        <w:t>remains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seen</w:t>
      </w:r>
      <w:r w:rsidRPr="00DD7BD1">
        <w:rPr>
          <w:rFonts w:cs="Calibri"/>
          <w:color w:val="auto"/>
          <w:spacing w:val="-15"/>
          <w:w w:val="110"/>
          <w:szCs w:val="22"/>
        </w:rPr>
        <w:t xml:space="preserve"> </w:t>
      </w:r>
      <w:r w:rsidRPr="00DD7BD1">
        <w:rPr>
          <w:rFonts w:cs="Calibri"/>
          <w:color w:val="auto"/>
          <w:w w:val="110"/>
          <w:szCs w:val="22"/>
        </w:rPr>
        <w:t>whether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secretary</w:t>
      </w:r>
      <w:r w:rsidRPr="00DD7BD1">
        <w:rPr>
          <w:rFonts w:cs="Calibri"/>
          <w:color w:val="auto"/>
          <w:spacing w:val="-15"/>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attempt</w:t>
      </w:r>
      <w:r w:rsidRPr="00DD7BD1">
        <w:rPr>
          <w:rFonts w:cs="Calibri"/>
          <w:color w:val="auto"/>
          <w:spacing w:val="-19"/>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reconcile</w:t>
      </w:r>
      <w:r w:rsidRPr="00DD7BD1">
        <w:rPr>
          <w:rFonts w:cs="Calibri"/>
          <w:color w:val="auto"/>
          <w:spacing w:val="-16"/>
          <w:w w:val="110"/>
          <w:szCs w:val="22"/>
        </w:rPr>
        <w:t xml:space="preserve"> </w:t>
      </w:r>
      <w:r w:rsidRPr="00DD7BD1">
        <w:rPr>
          <w:rFonts w:cs="Calibri"/>
          <w:color w:val="auto"/>
          <w:w w:val="110"/>
          <w:szCs w:val="22"/>
        </w:rPr>
        <w:t>its</w:t>
      </w:r>
      <w:r w:rsidRPr="00DD7BD1">
        <w:rPr>
          <w:rFonts w:cs="Calibri"/>
          <w:color w:val="auto"/>
          <w:spacing w:val="-15"/>
          <w:w w:val="110"/>
          <w:szCs w:val="22"/>
        </w:rPr>
        <w:t xml:space="preserve"> </w:t>
      </w:r>
      <w:r w:rsidRPr="00DD7BD1">
        <w:rPr>
          <w:rFonts w:cs="Calibri"/>
          <w:color w:val="auto"/>
          <w:w w:val="110"/>
          <w:szCs w:val="22"/>
        </w:rPr>
        <w:t>final</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 approach</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whether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broader</w:t>
      </w:r>
      <w:r w:rsidRPr="00DD7BD1">
        <w:rPr>
          <w:rFonts w:cs="Calibri"/>
          <w:color w:val="auto"/>
          <w:spacing w:val="-17"/>
          <w:w w:val="110"/>
          <w:szCs w:val="22"/>
        </w:rPr>
        <w:t xml:space="preserve"> </w:t>
      </w:r>
      <w:r w:rsidRPr="00DD7BD1">
        <w:rPr>
          <w:rFonts w:cs="Calibri"/>
          <w:color w:val="auto"/>
          <w:w w:val="110"/>
          <w:szCs w:val="22"/>
        </w:rPr>
        <w:t>interpretation</w:t>
      </w:r>
      <w:r w:rsidRPr="00DD7BD1">
        <w:rPr>
          <w:rFonts w:cs="Calibri"/>
          <w:color w:val="auto"/>
          <w:spacing w:val="-16"/>
          <w:w w:val="110"/>
          <w:szCs w:val="22"/>
        </w:rPr>
        <w:t xml:space="preserve"> </w:t>
      </w:r>
      <w:r w:rsidRPr="00DD7BD1">
        <w:rPr>
          <w:rFonts w:cs="Calibri"/>
          <w:color w:val="auto"/>
          <w:w w:val="110"/>
          <w:szCs w:val="22"/>
        </w:rPr>
        <w:t>suggested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Department’s</w:t>
      </w:r>
      <w:r w:rsidRPr="00DD7BD1">
        <w:rPr>
          <w:rFonts w:cs="Calibri"/>
          <w:color w:val="auto"/>
          <w:spacing w:val="-16"/>
          <w:w w:val="110"/>
          <w:szCs w:val="22"/>
        </w:rPr>
        <w:t xml:space="preserve"> </w:t>
      </w:r>
      <w:r w:rsidRPr="00DD7BD1">
        <w:rPr>
          <w:rFonts w:cs="Calibri"/>
          <w:color w:val="auto"/>
          <w:w w:val="110"/>
          <w:szCs w:val="22"/>
        </w:rPr>
        <w:t>preliminary</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may</w:t>
      </w:r>
      <w:r w:rsidRPr="00DD7BD1">
        <w:rPr>
          <w:rFonts w:cs="Calibri"/>
          <w:color w:val="auto"/>
          <w:spacing w:val="-17"/>
          <w:w w:val="110"/>
          <w:szCs w:val="22"/>
        </w:rPr>
        <w:t xml:space="preserve"> </w:t>
      </w:r>
      <w:r w:rsidRPr="00DD7BD1">
        <w:rPr>
          <w:rFonts w:cs="Calibri"/>
          <w:color w:val="auto"/>
          <w:w w:val="110"/>
          <w:szCs w:val="22"/>
        </w:rPr>
        <w:t>one day</w:t>
      </w:r>
      <w:r w:rsidRPr="00DD7BD1">
        <w:rPr>
          <w:rFonts w:cs="Calibri"/>
          <w:color w:val="auto"/>
          <w:spacing w:val="-16"/>
          <w:w w:val="110"/>
          <w:szCs w:val="22"/>
        </w:rPr>
        <w:t xml:space="preserve"> </w:t>
      </w:r>
      <w:r w:rsidRPr="00DD7BD1">
        <w:rPr>
          <w:rFonts w:cs="Calibri"/>
          <w:color w:val="auto"/>
          <w:w w:val="110"/>
          <w:szCs w:val="22"/>
        </w:rPr>
        <w:t>influence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w:t>
      </w:r>
      <w:r w:rsidRPr="00DD7BD1">
        <w:rPr>
          <w:rFonts w:cs="Calibri"/>
          <w:color w:val="auto"/>
          <w:spacing w:val="-17"/>
          <w:w w:val="110"/>
          <w:szCs w:val="22"/>
        </w:rPr>
        <w:t xml:space="preserve"> </w:t>
      </w:r>
      <w:r w:rsidRPr="00DD7BD1">
        <w:rPr>
          <w:rFonts w:cs="Calibri"/>
          <w:color w:val="auto"/>
          <w:w w:val="110"/>
          <w:szCs w:val="22"/>
        </w:rPr>
        <w:t>narrower</w:t>
      </w:r>
      <w:r w:rsidRPr="00DD7BD1">
        <w:rPr>
          <w:rFonts w:cs="Calibri"/>
          <w:color w:val="auto"/>
          <w:spacing w:val="-16"/>
          <w:w w:val="110"/>
          <w:szCs w:val="22"/>
        </w:rPr>
        <w:t xml:space="preserve"> </w:t>
      </w:r>
      <w:r w:rsidRPr="00DD7BD1">
        <w:rPr>
          <w:rFonts w:cs="Calibri"/>
          <w:color w:val="auto"/>
          <w:w w:val="110"/>
          <w:szCs w:val="22"/>
        </w:rPr>
        <w:t>interpretation).</w:t>
      </w:r>
    </w:p>
    <w:p w14:paraId="2AAA00F6" w14:textId="77777777" w:rsidR="00E43496" w:rsidRPr="00DD7BD1" w:rsidRDefault="00E43496" w:rsidP="00E43496">
      <w:pPr>
        <w:pStyle w:val="BodyText"/>
        <w:spacing w:after="0" w:line="240" w:lineRule="auto"/>
        <w:jc w:val="left"/>
        <w:rPr>
          <w:rFonts w:cs="Calibri"/>
          <w:color w:val="auto"/>
          <w:sz w:val="16"/>
          <w:szCs w:val="16"/>
        </w:rPr>
      </w:pPr>
    </w:p>
    <w:p w14:paraId="56F39BB5"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Another</w:t>
      </w:r>
      <w:r w:rsidRPr="00DD7BD1">
        <w:rPr>
          <w:rFonts w:cs="Calibri"/>
          <w:color w:val="auto"/>
          <w:spacing w:val="-10"/>
          <w:w w:val="110"/>
          <w:szCs w:val="22"/>
        </w:rPr>
        <w:t xml:space="preserve"> </w:t>
      </w:r>
      <w:r w:rsidRPr="00DD7BD1">
        <w:rPr>
          <w:rFonts w:cs="Calibri"/>
          <w:color w:val="auto"/>
          <w:w w:val="110"/>
          <w:szCs w:val="22"/>
        </w:rPr>
        <w:t>potential</w:t>
      </w:r>
      <w:r w:rsidRPr="00DD7BD1">
        <w:rPr>
          <w:rFonts w:cs="Calibri"/>
          <w:color w:val="auto"/>
          <w:spacing w:val="-9"/>
          <w:w w:val="110"/>
          <w:szCs w:val="22"/>
        </w:rPr>
        <w:t xml:space="preserve"> </w:t>
      </w:r>
      <w:r w:rsidRPr="00DD7BD1">
        <w:rPr>
          <w:rFonts w:cs="Calibri"/>
          <w:color w:val="auto"/>
          <w:w w:val="110"/>
          <w:szCs w:val="22"/>
        </w:rPr>
        <w:t>consequence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Treasury</w:t>
      </w:r>
      <w:r w:rsidRPr="00DD7BD1">
        <w:rPr>
          <w:rFonts w:cs="Calibri"/>
          <w:color w:val="auto"/>
          <w:spacing w:val="-6"/>
          <w:w w:val="110"/>
          <w:szCs w:val="22"/>
        </w:rPr>
        <w:t xml:space="preserve"> </w:t>
      </w:r>
      <w:r w:rsidRPr="00DD7BD1">
        <w:rPr>
          <w:rFonts w:cs="Calibri"/>
          <w:color w:val="auto"/>
          <w:w w:val="110"/>
          <w:szCs w:val="22"/>
        </w:rPr>
        <w:t>Department’s</w:t>
      </w:r>
      <w:r w:rsidRPr="00DD7BD1">
        <w:rPr>
          <w:rFonts w:cs="Calibri"/>
          <w:color w:val="auto"/>
          <w:spacing w:val="-6"/>
          <w:w w:val="110"/>
          <w:szCs w:val="22"/>
        </w:rPr>
        <w:t xml:space="preserve"> </w:t>
      </w:r>
      <w:r w:rsidRPr="00DD7BD1">
        <w:rPr>
          <w:rFonts w:cs="Calibri"/>
          <w:color w:val="auto"/>
          <w:w w:val="110"/>
          <w:szCs w:val="22"/>
        </w:rPr>
        <w:t>broad</w:t>
      </w:r>
      <w:r w:rsidRPr="00DD7BD1">
        <w:rPr>
          <w:rFonts w:cs="Calibri"/>
          <w:color w:val="auto"/>
          <w:spacing w:val="-6"/>
          <w:w w:val="110"/>
          <w:szCs w:val="22"/>
        </w:rPr>
        <w:t xml:space="preserve"> </w:t>
      </w:r>
      <w:r w:rsidRPr="00DD7BD1">
        <w:rPr>
          <w:rFonts w:cs="Calibri"/>
          <w:color w:val="auto"/>
          <w:w w:val="110"/>
          <w:szCs w:val="22"/>
        </w:rPr>
        <w:t>preliminary</w:t>
      </w:r>
      <w:r w:rsidRPr="00DD7BD1">
        <w:rPr>
          <w:rFonts w:cs="Calibri"/>
          <w:color w:val="auto"/>
          <w:spacing w:val="-9"/>
          <w:w w:val="110"/>
          <w:szCs w:val="22"/>
        </w:rPr>
        <w:t xml:space="preserve"> </w:t>
      </w:r>
      <w:r w:rsidRPr="00DD7BD1">
        <w:rPr>
          <w:rFonts w:cs="Calibri"/>
          <w:color w:val="auto"/>
          <w:w w:val="110"/>
          <w:szCs w:val="22"/>
        </w:rPr>
        <w:t>list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ease</w:t>
      </w:r>
      <w:r w:rsidRPr="00DD7BD1">
        <w:rPr>
          <w:rFonts w:cs="Calibri"/>
          <w:color w:val="auto"/>
          <w:spacing w:val="-6"/>
          <w:w w:val="110"/>
          <w:szCs w:val="22"/>
        </w:rPr>
        <w:t xml:space="preserve"> </w:t>
      </w:r>
      <w:r w:rsidRPr="00DD7BD1">
        <w:rPr>
          <w:rFonts w:cs="Calibri"/>
          <w:color w:val="auto"/>
          <w:w w:val="110"/>
          <w:szCs w:val="22"/>
        </w:rPr>
        <w:t>the reporting</w:t>
      </w:r>
      <w:r w:rsidRPr="00DD7BD1">
        <w:rPr>
          <w:rFonts w:cs="Calibri"/>
          <w:color w:val="auto"/>
          <w:spacing w:val="-17"/>
          <w:w w:val="110"/>
          <w:szCs w:val="22"/>
        </w:rPr>
        <w:t xml:space="preserve"> </w:t>
      </w:r>
      <w:r w:rsidRPr="00DD7BD1">
        <w:rPr>
          <w:rFonts w:cs="Calibri"/>
          <w:color w:val="auto"/>
          <w:w w:val="110"/>
          <w:szCs w:val="22"/>
        </w:rPr>
        <w:t>burden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were</w:t>
      </w:r>
      <w:r w:rsidRPr="00DD7BD1">
        <w:rPr>
          <w:rFonts w:cs="Calibri"/>
          <w:color w:val="auto"/>
          <w:spacing w:val="-16"/>
          <w:w w:val="110"/>
          <w:szCs w:val="22"/>
        </w:rPr>
        <w:t xml:space="preserve"> </w:t>
      </w:r>
      <w:r w:rsidRPr="00DD7BD1">
        <w:rPr>
          <w:rFonts w:cs="Calibri"/>
          <w:color w:val="auto"/>
          <w:w w:val="110"/>
          <w:szCs w:val="22"/>
        </w:rPr>
        <w:t>concerned</w:t>
      </w:r>
      <w:r w:rsidRPr="00DD7BD1">
        <w:rPr>
          <w:rFonts w:cs="Calibri"/>
          <w:color w:val="auto"/>
          <w:spacing w:val="-14"/>
          <w:w w:val="110"/>
          <w:szCs w:val="22"/>
        </w:rPr>
        <w:t xml:space="preserve"> </w:t>
      </w:r>
      <w:r w:rsidRPr="00DD7BD1">
        <w:rPr>
          <w:rFonts w:cs="Calibri"/>
          <w:color w:val="auto"/>
          <w:w w:val="110"/>
          <w:szCs w:val="22"/>
        </w:rPr>
        <w:t>that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OBBBA</w:t>
      </w:r>
      <w:r w:rsidRPr="00DD7BD1">
        <w:rPr>
          <w:rFonts w:cs="Calibri"/>
          <w:color w:val="auto"/>
          <w:spacing w:val="-17"/>
          <w:w w:val="110"/>
          <w:szCs w:val="22"/>
        </w:rPr>
        <w:t xml:space="preserve"> </w:t>
      </w:r>
      <w:r w:rsidRPr="00DD7BD1">
        <w:rPr>
          <w:rFonts w:cs="Calibri"/>
          <w:color w:val="auto"/>
          <w:w w:val="110"/>
          <w:szCs w:val="22"/>
        </w:rPr>
        <w:t>might</w:t>
      </w:r>
      <w:r w:rsidRPr="00DD7BD1">
        <w:rPr>
          <w:rFonts w:cs="Calibri"/>
          <w:color w:val="auto"/>
          <w:spacing w:val="-17"/>
          <w:w w:val="110"/>
          <w:szCs w:val="22"/>
        </w:rPr>
        <w:t xml:space="preserve"> </w:t>
      </w:r>
      <w:r w:rsidRPr="00DD7BD1">
        <w:rPr>
          <w:rFonts w:cs="Calibri"/>
          <w:color w:val="auto"/>
          <w:w w:val="110"/>
          <w:szCs w:val="22"/>
        </w:rPr>
        <w:t>require</w:t>
      </w:r>
      <w:r w:rsidRPr="00DD7BD1">
        <w:rPr>
          <w:rFonts w:cs="Calibri"/>
          <w:color w:val="auto"/>
          <w:spacing w:val="-15"/>
          <w:w w:val="110"/>
          <w:szCs w:val="22"/>
        </w:rPr>
        <w:t xml:space="preserve"> </w:t>
      </w:r>
      <w:r w:rsidRPr="00DD7BD1">
        <w:rPr>
          <w:rFonts w:cs="Calibri"/>
          <w:color w:val="auto"/>
          <w:w w:val="110"/>
          <w:szCs w:val="22"/>
        </w:rPr>
        <w:t>them</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separately</w:t>
      </w:r>
      <w:r w:rsidRPr="00DD7BD1">
        <w:rPr>
          <w:rFonts w:cs="Calibri"/>
          <w:color w:val="auto"/>
          <w:spacing w:val="-14"/>
          <w:w w:val="110"/>
          <w:szCs w:val="22"/>
        </w:rPr>
        <w:t xml:space="preserve"> </w:t>
      </w:r>
      <w:r w:rsidRPr="00DD7BD1">
        <w:rPr>
          <w:rFonts w:cs="Calibri"/>
          <w:color w:val="auto"/>
          <w:w w:val="110"/>
          <w:szCs w:val="22"/>
        </w:rPr>
        <w:t>track</w:t>
      </w:r>
      <w:r w:rsidRPr="00DD7BD1">
        <w:rPr>
          <w:rFonts w:cs="Calibri"/>
          <w:color w:val="auto"/>
          <w:spacing w:val="-14"/>
          <w:w w:val="110"/>
          <w:szCs w:val="22"/>
        </w:rPr>
        <w:t xml:space="preserve"> </w:t>
      </w:r>
      <w:r w:rsidRPr="00DD7BD1">
        <w:rPr>
          <w:rFonts w:cs="Calibri"/>
          <w:color w:val="auto"/>
          <w:w w:val="110"/>
          <w:szCs w:val="22"/>
        </w:rPr>
        <w:t>tips received</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dual</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while</w:t>
      </w:r>
      <w:r w:rsidRPr="00DD7BD1">
        <w:rPr>
          <w:rFonts w:cs="Calibri"/>
          <w:color w:val="auto"/>
          <w:spacing w:val="-13"/>
          <w:w w:val="110"/>
          <w:szCs w:val="22"/>
        </w:rPr>
        <w:t xml:space="preserve"> </w:t>
      </w:r>
      <w:r w:rsidRPr="00DD7BD1">
        <w:rPr>
          <w:rFonts w:cs="Calibri"/>
          <w:color w:val="auto"/>
          <w:w w:val="110"/>
          <w:szCs w:val="22"/>
        </w:rPr>
        <w:t>working</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traditional</w:t>
      </w:r>
      <w:r w:rsidRPr="00DD7BD1">
        <w:rPr>
          <w:rFonts w:cs="Calibri"/>
          <w:color w:val="auto"/>
          <w:spacing w:val="-12"/>
          <w:w w:val="110"/>
          <w:szCs w:val="22"/>
        </w:rPr>
        <w:t xml:space="preserve"> </w:t>
      </w:r>
      <w:r w:rsidRPr="00DD7BD1">
        <w:rPr>
          <w:rFonts w:cs="Calibri"/>
          <w:color w:val="auto"/>
          <w:w w:val="110"/>
          <w:szCs w:val="22"/>
        </w:rPr>
        <w:t>tipped</w:t>
      </w:r>
      <w:r w:rsidRPr="00DD7BD1">
        <w:rPr>
          <w:rFonts w:cs="Calibri"/>
          <w:color w:val="auto"/>
          <w:spacing w:val="-11"/>
          <w:w w:val="110"/>
          <w:szCs w:val="22"/>
        </w:rPr>
        <w:t xml:space="preserve"> </w:t>
      </w:r>
      <w:r w:rsidRPr="00DD7BD1">
        <w:rPr>
          <w:rFonts w:cs="Calibri"/>
          <w:color w:val="auto"/>
          <w:w w:val="110"/>
          <w:szCs w:val="22"/>
        </w:rPr>
        <w:t>occupations</w:t>
      </w:r>
      <w:r w:rsidRPr="00DD7BD1">
        <w:rPr>
          <w:rFonts w:cs="Calibri"/>
          <w:color w:val="auto"/>
          <w:spacing w:val="-13"/>
          <w:w w:val="110"/>
          <w:szCs w:val="22"/>
        </w:rPr>
        <w:t xml:space="preserve"> </w:t>
      </w:r>
      <w:r w:rsidRPr="00DD7BD1">
        <w:rPr>
          <w:rFonts w:cs="Calibri"/>
          <w:color w:val="auto"/>
          <w:w w:val="110"/>
          <w:szCs w:val="22"/>
        </w:rPr>
        <w:t>(like</w:t>
      </w:r>
      <w:r w:rsidRPr="00DD7BD1">
        <w:rPr>
          <w:rFonts w:cs="Calibri"/>
          <w:color w:val="auto"/>
          <w:spacing w:val="-11"/>
          <w:w w:val="110"/>
          <w:szCs w:val="22"/>
        </w:rPr>
        <w:t xml:space="preserve"> </w:t>
      </w:r>
      <w:r w:rsidRPr="00DD7BD1">
        <w:rPr>
          <w:rFonts w:cs="Calibri"/>
          <w:color w:val="auto"/>
          <w:w w:val="110"/>
          <w:szCs w:val="22"/>
        </w:rPr>
        <w:t>wait</w:t>
      </w:r>
      <w:r w:rsidRPr="00DD7BD1">
        <w:rPr>
          <w:rFonts w:cs="Calibri"/>
          <w:color w:val="auto"/>
          <w:spacing w:val="-12"/>
          <w:w w:val="110"/>
          <w:szCs w:val="22"/>
        </w:rPr>
        <w:t xml:space="preserve"> </w:t>
      </w:r>
      <w:r w:rsidRPr="00DD7BD1">
        <w:rPr>
          <w:rFonts w:cs="Calibri"/>
          <w:color w:val="auto"/>
          <w:w w:val="110"/>
          <w:szCs w:val="22"/>
        </w:rPr>
        <w:t>staff</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bartender)</w:t>
      </w:r>
      <w:r w:rsidRPr="00DD7BD1">
        <w:rPr>
          <w:rFonts w:cs="Calibri"/>
          <w:color w:val="auto"/>
          <w:spacing w:val="-12"/>
          <w:w w:val="110"/>
          <w:szCs w:val="22"/>
        </w:rPr>
        <w:t xml:space="preserve"> </w:t>
      </w:r>
      <w:r w:rsidRPr="00DD7BD1">
        <w:rPr>
          <w:rFonts w:cs="Calibri"/>
          <w:color w:val="auto"/>
          <w:w w:val="110"/>
          <w:szCs w:val="22"/>
        </w:rPr>
        <w:t>from tips</w:t>
      </w:r>
      <w:r w:rsidRPr="00DD7BD1">
        <w:rPr>
          <w:rFonts w:cs="Calibri"/>
          <w:color w:val="auto"/>
          <w:spacing w:val="-8"/>
          <w:w w:val="110"/>
          <w:szCs w:val="22"/>
        </w:rPr>
        <w:t xml:space="preserve"> </w:t>
      </w:r>
      <w:r w:rsidRPr="00DD7BD1">
        <w:rPr>
          <w:rFonts w:cs="Calibri"/>
          <w:color w:val="auto"/>
          <w:w w:val="110"/>
          <w:szCs w:val="22"/>
        </w:rPr>
        <w:t>received</w:t>
      </w:r>
      <w:r w:rsidRPr="00DD7BD1">
        <w:rPr>
          <w:rFonts w:cs="Calibri"/>
          <w:color w:val="auto"/>
          <w:spacing w:val="-8"/>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tip</w:t>
      </w:r>
      <w:r w:rsidRPr="00DD7BD1">
        <w:rPr>
          <w:rFonts w:cs="Calibri"/>
          <w:color w:val="auto"/>
          <w:spacing w:val="-11"/>
          <w:w w:val="110"/>
          <w:szCs w:val="22"/>
        </w:rPr>
        <w:t xml:space="preserve"> </w:t>
      </w:r>
      <w:r w:rsidRPr="00DD7BD1">
        <w:rPr>
          <w:rFonts w:cs="Calibri"/>
          <w:color w:val="auto"/>
          <w:w w:val="110"/>
          <w:szCs w:val="22"/>
        </w:rPr>
        <w:t>pool</w:t>
      </w:r>
      <w:r w:rsidRPr="00DD7BD1">
        <w:rPr>
          <w:rFonts w:cs="Calibri"/>
          <w:color w:val="auto"/>
          <w:spacing w:val="-12"/>
          <w:w w:val="110"/>
          <w:szCs w:val="22"/>
        </w:rPr>
        <w:t xml:space="preserve"> </w:t>
      </w:r>
      <w:r w:rsidRPr="00DD7BD1">
        <w:rPr>
          <w:rFonts w:cs="Calibri"/>
          <w:color w:val="auto"/>
          <w:w w:val="110"/>
          <w:szCs w:val="22"/>
        </w:rPr>
        <w:t>by</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same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8"/>
          <w:w w:val="110"/>
          <w:szCs w:val="22"/>
        </w:rPr>
        <w:t xml:space="preserve"> </w:t>
      </w:r>
      <w:r w:rsidRPr="00DD7BD1">
        <w:rPr>
          <w:rFonts w:cs="Calibri"/>
          <w:color w:val="auto"/>
          <w:w w:val="110"/>
          <w:szCs w:val="22"/>
        </w:rPr>
        <w:t>while</w:t>
      </w:r>
      <w:r w:rsidRPr="00DD7BD1">
        <w:rPr>
          <w:rFonts w:cs="Calibri"/>
          <w:color w:val="auto"/>
          <w:spacing w:val="-8"/>
          <w:w w:val="110"/>
          <w:szCs w:val="22"/>
        </w:rPr>
        <w:t xml:space="preserve"> </w:t>
      </w:r>
      <w:r w:rsidRPr="00DD7BD1">
        <w:rPr>
          <w:rFonts w:cs="Calibri"/>
          <w:color w:val="auto"/>
          <w:w w:val="110"/>
          <w:szCs w:val="22"/>
        </w:rPr>
        <w:t>working</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another</w:t>
      </w:r>
      <w:r w:rsidRPr="00DD7BD1">
        <w:rPr>
          <w:rFonts w:cs="Calibri"/>
          <w:color w:val="auto"/>
          <w:spacing w:val="-11"/>
          <w:w w:val="110"/>
          <w:szCs w:val="22"/>
        </w:rPr>
        <w:t xml:space="preserve"> </w:t>
      </w:r>
      <w:r w:rsidRPr="00DD7BD1">
        <w:rPr>
          <w:rFonts w:cs="Calibri"/>
          <w:color w:val="auto"/>
          <w:w w:val="110"/>
          <w:szCs w:val="22"/>
        </w:rPr>
        <w:t>position</w:t>
      </w:r>
      <w:r w:rsidRPr="00DD7BD1">
        <w:rPr>
          <w:rFonts w:cs="Calibri"/>
          <w:color w:val="auto"/>
          <w:spacing w:val="-8"/>
          <w:w w:val="110"/>
          <w:szCs w:val="22"/>
        </w:rPr>
        <w:t xml:space="preserve"> </w:t>
      </w:r>
      <w:r w:rsidRPr="00DD7BD1">
        <w:rPr>
          <w:rFonts w:cs="Calibri"/>
          <w:color w:val="auto"/>
          <w:w w:val="110"/>
          <w:szCs w:val="22"/>
        </w:rPr>
        <w:t>(like</w:t>
      </w:r>
      <w:r w:rsidRPr="00DD7BD1">
        <w:rPr>
          <w:rFonts w:cs="Calibri"/>
          <w:color w:val="auto"/>
          <w:spacing w:val="-8"/>
          <w:w w:val="110"/>
          <w:szCs w:val="22"/>
        </w:rPr>
        <w:t xml:space="preserve"> </w:t>
      </w:r>
      <w:r w:rsidRPr="00DD7BD1">
        <w:rPr>
          <w:rFonts w:cs="Calibri"/>
          <w:color w:val="auto"/>
          <w:w w:val="110"/>
          <w:szCs w:val="22"/>
        </w:rPr>
        <w:t>dishwasher</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cook), assuming that only the former category of tips would qualify for the deduction.</w:t>
      </w:r>
    </w:p>
    <w:p w14:paraId="5AA94D63" w14:textId="77777777" w:rsidR="00E43496" w:rsidRPr="00DD7BD1" w:rsidRDefault="00E43496" w:rsidP="00E43496">
      <w:pPr>
        <w:pStyle w:val="BodyText"/>
        <w:spacing w:after="0" w:line="240" w:lineRule="auto"/>
        <w:jc w:val="left"/>
        <w:rPr>
          <w:rFonts w:cs="Calibri"/>
          <w:color w:val="auto"/>
          <w:sz w:val="16"/>
          <w:szCs w:val="16"/>
        </w:rPr>
      </w:pPr>
    </w:p>
    <w:p w14:paraId="2C0AB89E" w14:textId="77777777" w:rsidR="00E43496" w:rsidRPr="00DD7BD1" w:rsidRDefault="00E43496" w:rsidP="00E43496">
      <w:pPr>
        <w:pStyle w:val="BodyText"/>
        <w:spacing w:after="0" w:line="240" w:lineRule="auto"/>
        <w:jc w:val="left"/>
        <w:rPr>
          <w:rFonts w:cs="Calibri"/>
          <w:szCs w:val="22"/>
        </w:rPr>
      </w:pPr>
      <w:r w:rsidRPr="00DD7BD1">
        <w:rPr>
          <w:rFonts w:cs="Calibri"/>
          <w:color w:val="auto"/>
          <w:w w:val="110"/>
          <w:szCs w:val="22"/>
        </w:rPr>
        <w:t>-Extracted</w:t>
      </w:r>
      <w:r w:rsidRPr="00DD7BD1">
        <w:rPr>
          <w:rFonts w:cs="Calibri"/>
          <w:color w:val="auto"/>
          <w:spacing w:val="-9"/>
          <w:w w:val="110"/>
          <w:szCs w:val="22"/>
        </w:rPr>
        <w:t xml:space="preserve"> </w:t>
      </w:r>
      <w:r w:rsidRPr="00DD7BD1">
        <w:rPr>
          <w:rFonts w:cs="Calibri"/>
          <w:color w:val="auto"/>
          <w:w w:val="110"/>
          <w:szCs w:val="22"/>
        </w:rPr>
        <w:t>from</w:t>
      </w:r>
      <w:r w:rsidRPr="00DD7BD1">
        <w:rPr>
          <w:rFonts w:cs="Calibri"/>
          <w:color w:val="auto"/>
          <w:spacing w:val="-9"/>
          <w:w w:val="110"/>
          <w:szCs w:val="22"/>
        </w:rPr>
        <w:t xml:space="preserve"> </w:t>
      </w:r>
      <w:r w:rsidRPr="00DD7BD1">
        <w:rPr>
          <w:rFonts w:cs="Calibri"/>
          <w:color w:val="auto"/>
          <w:w w:val="110"/>
          <w:szCs w:val="22"/>
        </w:rPr>
        <w:t>Littler</w:t>
      </w:r>
      <w:r w:rsidRPr="00DD7BD1">
        <w:rPr>
          <w:rFonts w:cs="Calibri"/>
          <w:color w:val="auto"/>
          <w:spacing w:val="-9"/>
          <w:w w:val="110"/>
          <w:szCs w:val="22"/>
        </w:rPr>
        <w:t xml:space="preserve"> </w:t>
      </w:r>
      <w:r w:rsidRPr="00DD7BD1">
        <w:rPr>
          <w:rFonts w:cs="Calibri"/>
          <w:color w:val="auto"/>
          <w:w w:val="110"/>
          <w:szCs w:val="22"/>
        </w:rPr>
        <w:t>Mendelson</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9"/>
          <w:w w:val="110"/>
          <w:szCs w:val="22"/>
        </w:rPr>
        <w:t xml:space="preserve"> </w:t>
      </w:r>
      <w:r w:rsidRPr="00DD7BD1">
        <w:rPr>
          <w:rFonts w:cs="Calibri"/>
          <w:color w:val="auto"/>
          <w:w w:val="110"/>
          <w:szCs w:val="22"/>
        </w:rPr>
        <w:t>released</w:t>
      </w:r>
      <w:r w:rsidRPr="00DD7BD1">
        <w:rPr>
          <w:rFonts w:cs="Calibri"/>
          <w:color w:val="auto"/>
          <w:spacing w:val="-10"/>
          <w:w w:val="110"/>
          <w:szCs w:val="22"/>
        </w:rPr>
        <w:t xml:space="preserve"> </w:t>
      </w:r>
      <w:r w:rsidRPr="00DD7BD1">
        <w:rPr>
          <w:rFonts w:cs="Calibri"/>
          <w:color w:val="auto"/>
          <w:w w:val="110"/>
          <w:szCs w:val="22"/>
        </w:rPr>
        <w:t>Sept</w:t>
      </w:r>
      <w:r w:rsidRPr="00DD7BD1">
        <w:rPr>
          <w:rFonts w:cs="Calibri"/>
          <w:color w:val="auto"/>
          <w:spacing w:val="-10"/>
          <w:w w:val="110"/>
          <w:szCs w:val="22"/>
        </w:rPr>
        <w:t xml:space="preserve"> </w:t>
      </w:r>
      <w:r w:rsidRPr="00DD7BD1">
        <w:rPr>
          <w:rFonts w:cs="Calibri"/>
          <w:color w:val="auto"/>
          <w:w w:val="110"/>
          <w:szCs w:val="22"/>
        </w:rPr>
        <w:t>3</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300">
        <w:r w:rsidRPr="00DD7BD1">
          <w:rPr>
            <w:rFonts w:cs="Calibri"/>
            <w:color w:val="0000FF"/>
            <w:spacing w:val="-4"/>
            <w:w w:val="110"/>
            <w:szCs w:val="22"/>
            <w:u w:val="single" w:color="0000FF"/>
          </w:rPr>
          <w:t>HERE</w:t>
        </w:r>
      </w:hyperlink>
    </w:p>
    <w:p w14:paraId="32593D39" w14:textId="77777777" w:rsidR="00E43496" w:rsidRPr="00DD7BD1" w:rsidRDefault="00E43496" w:rsidP="00E43496">
      <w:pPr>
        <w:pStyle w:val="BodyText"/>
        <w:spacing w:after="0" w:line="240" w:lineRule="auto"/>
        <w:jc w:val="left"/>
        <w:rPr>
          <w:rFonts w:cs="Calibri"/>
          <w:szCs w:val="22"/>
        </w:rPr>
      </w:pPr>
    </w:p>
    <w:p w14:paraId="248E738C" w14:textId="3B74EB7A" w:rsidR="00E43496" w:rsidRPr="00DD7BD1" w:rsidRDefault="00E43496" w:rsidP="00E43496">
      <w:pPr>
        <w:pStyle w:val="Heading1"/>
        <w:spacing w:before="0" w:beforeAutospacing="0" w:after="0" w:afterAutospacing="0"/>
        <w:ind w:right="361"/>
        <w:jc w:val="center"/>
        <w:rPr>
          <w:rFonts w:ascii="Calibri" w:hAnsi="Calibri" w:cs="Calibri"/>
          <w:spacing w:val="-8"/>
          <w:sz w:val="32"/>
          <w:szCs w:val="32"/>
        </w:rPr>
      </w:pPr>
      <w:r w:rsidRPr="00DD7BD1">
        <w:rPr>
          <w:rFonts w:ascii="Calibri" w:hAnsi="Calibri" w:cs="Calibri"/>
          <w:spacing w:val="-8"/>
          <w:sz w:val="32"/>
          <w:szCs w:val="32"/>
        </w:rPr>
        <w:t>IRS Raises ACA Affordability Threshold for 2026 Plan Year</w:t>
      </w:r>
    </w:p>
    <w:p w14:paraId="07F39269"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IRS</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hyperlink r:id="rId301">
        <w:r w:rsidRPr="00DD7BD1">
          <w:rPr>
            <w:rFonts w:cs="Calibri"/>
            <w:color w:val="0000FF"/>
            <w:w w:val="110"/>
            <w:szCs w:val="22"/>
            <w:u w:val="single" w:color="0000FF"/>
          </w:rPr>
          <w:t>Revenue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Procedure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2025-25</w:t>
        </w:r>
      </w:hyperlink>
      <w:r w:rsidRPr="00DD7BD1">
        <w:rPr>
          <w:rFonts w:cs="Calibri"/>
          <w:color w:val="0000FF"/>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18,</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6"/>
          <w:w w:val="110"/>
          <w:szCs w:val="22"/>
        </w:rPr>
        <w:t xml:space="preserve"> </w:t>
      </w:r>
      <w:r w:rsidRPr="00DD7BD1">
        <w:rPr>
          <w:rFonts w:cs="Calibri"/>
          <w:color w:val="auto"/>
          <w:w w:val="110"/>
          <w:szCs w:val="22"/>
        </w:rPr>
        <w:t>release,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Affordable</w:t>
      </w:r>
      <w:r w:rsidRPr="00DD7BD1">
        <w:rPr>
          <w:rFonts w:cs="Calibri"/>
          <w:color w:val="auto"/>
          <w:spacing w:val="-17"/>
          <w:w w:val="110"/>
          <w:szCs w:val="22"/>
        </w:rPr>
        <w:t xml:space="preserve"> </w:t>
      </w:r>
      <w:r w:rsidRPr="00DD7BD1">
        <w:rPr>
          <w:rFonts w:cs="Calibri"/>
          <w:color w:val="auto"/>
          <w:w w:val="110"/>
          <w:szCs w:val="22"/>
        </w:rPr>
        <w:t>Care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(ACA) affordability</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b/>
          <w:color w:val="auto"/>
          <w:w w:val="110"/>
          <w:szCs w:val="22"/>
        </w:rPr>
        <w:t>increase</w:t>
      </w:r>
      <w:r w:rsidRPr="00DD7BD1">
        <w:rPr>
          <w:rFonts w:cs="Calibri"/>
          <w:b/>
          <w:color w:val="auto"/>
          <w:spacing w:val="-11"/>
          <w:w w:val="110"/>
          <w:szCs w:val="22"/>
        </w:rPr>
        <w:t xml:space="preserve"> </w:t>
      </w:r>
      <w:r w:rsidRPr="00DD7BD1">
        <w:rPr>
          <w:rFonts w:cs="Calibri"/>
          <w:b/>
          <w:color w:val="auto"/>
          <w:w w:val="110"/>
          <w:szCs w:val="22"/>
        </w:rPr>
        <w:t>to</w:t>
      </w:r>
      <w:r w:rsidRPr="00DD7BD1">
        <w:rPr>
          <w:rFonts w:cs="Calibri"/>
          <w:b/>
          <w:color w:val="auto"/>
          <w:spacing w:val="-14"/>
          <w:w w:val="110"/>
          <w:szCs w:val="22"/>
        </w:rPr>
        <w:t xml:space="preserve"> </w:t>
      </w:r>
      <w:r w:rsidRPr="00DD7BD1">
        <w:rPr>
          <w:rFonts w:cs="Calibri"/>
          <w:b/>
          <w:color w:val="auto"/>
          <w:w w:val="110"/>
          <w:szCs w:val="22"/>
        </w:rPr>
        <w:t>9.96%</w:t>
      </w:r>
      <w:r w:rsidRPr="00DD7BD1">
        <w:rPr>
          <w:rFonts w:cs="Calibri"/>
          <w:b/>
          <w:color w:val="auto"/>
          <w:spacing w:val="-9"/>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1"/>
          <w:w w:val="110"/>
          <w:szCs w:val="22"/>
        </w:rPr>
        <w:t xml:space="preserve"> </w:t>
      </w:r>
      <w:r w:rsidRPr="00DD7BD1">
        <w:rPr>
          <w:rFonts w:cs="Calibri"/>
          <w:color w:val="auto"/>
          <w:w w:val="110"/>
          <w:szCs w:val="22"/>
        </w:rPr>
        <w:t>years</w:t>
      </w:r>
      <w:r w:rsidRPr="00DD7BD1">
        <w:rPr>
          <w:rFonts w:cs="Calibri"/>
          <w:color w:val="auto"/>
          <w:spacing w:val="-14"/>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b/>
          <w:color w:val="auto"/>
          <w:w w:val="110"/>
          <w:szCs w:val="22"/>
        </w:rPr>
        <w:t>2026</w:t>
      </w:r>
      <w:r w:rsidRPr="00DD7BD1">
        <w:rPr>
          <w:rFonts w:cs="Calibri"/>
          <w:color w:val="auto"/>
          <w:w w:val="110"/>
          <w:szCs w:val="22"/>
        </w:rPr>
        <w:t>.</w:t>
      </w:r>
    </w:p>
    <w:p w14:paraId="264483BD" w14:textId="77777777" w:rsidR="00E43496" w:rsidRPr="00DD7BD1" w:rsidRDefault="00E43496" w:rsidP="00E43496">
      <w:pPr>
        <w:pStyle w:val="BodyText"/>
        <w:spacing w:after="0" w:line="240" w:lineRule="auto"/>
        <w:jc w:val="left"/>
        <w:rPr>
          <w:rFonts w:cs="Calibri"/>
          <w:color w:val="auto"/>
          <w:sz w:val="16"/>
          <w:szCs w:val="16"/>
        </w:rPr>
      </w:pPr>
    </w:p>
    <w:p w14:paraId="2D7EA8FA" w14:textId="77777777" w:rsidR="00E43496" w:rsidRPr="00DD7BD1" w:rsidRDefault="00E43496" w:rsidP="00E43496">
      <w:pPr>
        <w:pStyle w:val="BodyText"/>
        <w:spacing w:after="0" w:line="240" w:lineRule="auto"/>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threshold,</w:t>
      </w:r>
      <w:r w:rsidRPr="00DD7BD1">
        <w:rPr>
          <w:rFonts w:cs="Calibri"/>
          <w:color w:val="auto"/>
          <w:spacing w:val="-12"/>
          <w:w w:val="110"/>
          <w:szCs w:val="22"/>
        </w:rPr>
        <w:t xml:space="preserve"> </w:t>
      </w:r>
      <w:r w:rsidRPr="00DD7BD1">
        <w:rPr>
          <w:rFonts w:cs="Calibri"/>
          <w:color w:val="auto"/>
          <w:w w:val="110"/>
          <w:szCs w:val="22"/>
        </w:rPr>
        <w:t>applicable</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large</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subject</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ACA’s</w:t>
      </w:r>
      <w:r w:rsidRPr="00DD7BD1">
        <w:rPr>
          <w:rFonts w:cs="Calibri"/>
          <w:color w:val="auto"/>
          <w:spacing w:val="-11"/>
          <w:w w:val="110"/>
          <w:szCs w:val="22"/>
        </w:rPr>
        <w:t xml:space="preserve"> </w:t>
      </w:r>
      <w:r w:rsidRPr="00DD7BD1">
        <w:rPr>
          <w:rFonts w:cs="Calibri"/>
          <w:color w:val="auto"/>
          <w:w w:val="110"/>
          <w:szCs w:val="22"/>
        </w:rPr>
        <w:t>“play</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provision,</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maximum percentage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W-2</w:t>
      </w:r>
      <w:r w:rsidRPr="00DD7BD1">
        <w:rPr>
          <w:rFonts w:cs="Calibri"/>
          <w:color w:val="auto"/>
          <w:spacing w:val="-16"/>
          <w:w w:val="110"/>
          <w:szCs w:val="22"/>
        </w:rPr>
        <w:t xml:space="preserve"> </w:t>
      </w:r>
      <w:r w:rsidRPr="00DD7BD1">
        <w:rPr>
          <w:rFonts w:cs="Calibri"/>
          <w:color w:val="auto"/>
          <w:w w:val="110"/>
          <w:szCs w:val="22"/>
        </w:rPr>
        <w:t>wages</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rate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pay,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7"/>
          <w:w w:val="110"/>
          <w:szCs w:val="22"/>
        </w:rPr>
        <w:t xml:space="preserve"> </w:t>
      </w:r>
      <w:r w:rsidRPr="00DD7BD1">
        <w:rPr>
          <w:rFonts w:cs="Calibri"/>
          <w:color w:val="auto"/>
          <w:w w:val="110"/>
          <w:szCs w:val="22"/>
        </w:rPr>
        <w:t>poverty</w:t>
      </w:r>
      <w:r w:rsidRPr="00DD7BD1">
        <w:rPr>
          <w:rFonts w:cs="Calibri"/>
          <w:color w:val="auto"/>
          <w:spacing w:val="-15"/>
          <w:w w:val="110"/>
          <w:szCs w:val="22"/>
        </w:rPr>
        <w:t xml:space="preserve"> </w:t>
      </w:r>
      <w:r w:rsidRPr="00DD7BD1">
        <w:rPr>
          <w:rFonts w:cs="Calibri"/>
          <w:color w:val="auto"/>
          <w:w w:val="110"/>
          <w:szCs w:val="22"/>
        </w:rPr>
        <w:t>line,</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6"/>
          <w:w w:val="110"/>
          <w:szCs w:val="22"/>
        </w:rPr>
        <w:t xml:space="preserve"> </w:t>
      </w:r>
      <w:r w:rsidRPr="00DD7BD1">
        <w:rPr>
          <w:rFonts w:cs="Calibri"/>
          <w:color w:val="auto"/>
          <w:w w:val="110"/>
          <w:szCs w:val="22"/>
        </w:rPr>
        <w:t>asked</w:t>
      </w:r>
      <w:r w:rsidRPr="00DD7BD1">
        <w:rPr>
          <w:rFonts w:cs="Calibri"/>
          <w:color w:val="auto"/>
          <w:spacing w:val="-15"/>
          <w:w w:val="110"/>
          <w:szCs w:val="22"/>
        </w:rPr>
        <w:t xml:space="preserve"> </w:t>
      </w:r>
      <w:r w:rsidRPr="00DD7BD1">
        <w:rPr>
          <w:rFonts w:cs="Calibri"/>
          <w:color w:val="auto"/>
          <w:w w:val="110"/>
          <w:szCs w:val="22"/>
        </w:rPr>
        <w:t>to contribute toward their</w:t>
      </w:r>
      <w:r w:rsidRPr="00DD7BD1">
        <w:rPr>
          <w:rFonts w:cs="Calibri"/>
          <w:color w:val="auto"/>
          <w:spacing w:val="-1"/>
          <w:w w:val="110"/>
          <w:szCs w:val="22"/>
        </w:rPr>
        <w:t xml:space="preserve"> </w:t>
      </w:r>
      <w:r w:rsidRPr="00DD7BD1">
        <w:rPr>
          <w:rFonts w:cs="Calibri"/>
          <w:color w:val="auto"/>
          <w:w w:val="110"/>
          <w:szCs w:val="22"/>
        </w:rPr>
        <w:t>employee-only</w:t>
      </w:r>
      <w:r w:rsidRPr="00DD7BD1">
        <w:rPr>
          <w:rFonts w:cs="Calibri"/>
          <w:color w:val="auto"/>
          <w:spacing w:val="-2"/>
          <w:w w:val="110"/>
          <w:szCs w:val="22"/>
        </w:rPr>
        <w:t xml:space="preserve"> </w:t>
      </w:r>
      <w:r w:rsidRPr="00DD7BD1">
        <w:rPr>
          <w:rFonts w:cs="Calibri"/>
          <w:color w:val="auto"/>
          <w:w w:val="110"/>
          <w:szCs w:val="22"/>
        </w:rPr>
        <w:t>health insurance coverage.</w:t>
      </w:r>
    </w:p>
    <w:p w14:paraId="6F2544F3" w14:textId="77777777" w:rsidR="00E43496" w:rsidRPr="00DD7BD1" w:rsidRDefault="00E43496" w:rsidP="00E43496">
      <w:pPr>
        <w:pStyle w:val="Heading1"/>
        <w:spacing w:before="0" w:beforeAutospacing="0" w:after="0" w:afterAutospacing="0"/>
        <w:ind w:right="342"/>
        <w:rPr>
          <w:rFonts w:ascii="Calibri" w:hAnsi="Calibri" w:cs="Calibri"/>
          <w:color w:val="C00000"/>
          <w:spacing w:val="-8"/>
          <w:sz w:val="22"/>
          <w:szCs w:val="22"/>
        </w:rPr>
      </w:pPr>
    </w:p>
    <w:p w14:paraId="03D31F15" w14:textId="4F5068D2"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1" w:name="_Hlk212641923"/>
      <w:r w:rsidRPr="00DD7BD1">
        <w:rPr>
          <w:rFonts w:ascii="Calibri" w:hAnsi="Calibri" w:cs="Calibri"/>
          <w:spacing w:val="-8"/>
          <w:sz w:val="32"/>
          <w:szCs w:val="32"/>
        </w:rPr>
        <w:t>DOJ Defines “Illegal DEI,” Warns Recipients of Federal Funds to Take Notice</w:t>
      </w:r>
      <w:bookmarkEnd w:id="11"/>
    </w:p>
    <w:p w14:paraId="555C2565" w14:textId="77777777" w:rsidR="00E43496" w:rsidRPr="00DD7BD1" w:rsidRDefault="00E43496" w:rsidP="00E43496">
      <w:pPr>
        <w:pStyle w:val="BodyText"/>
        <w:spacing w:after="0" w:line="240" w:lineRule="auto"/>
        <w:jc w:val="left"/>
        <w:rPr>
          <w:rFonts w:cs="Calibri"/>
        </w:rPr>
      </w:pPr>
      <w:r w:rsidRPr="00DD7BD1">
        <w:rPr>
          <w:rFonts w:cs="Calibri"/>
          <w:color w:val="auto"/>
          <w:w w:val="110"/>
        </w:rPr>
        <w:t>On</w:t>
      </w:r>
      <w:r w:rsidRPr="00DD7BD1">
        <w:rPr>
          <w:rFonts w:cs="Calibri"/>
          <w:color w:val="auto"/>
          <w:spacing w:val="-1"/>
          <w:w w:val="110"/>
        </w:rPr>
        <w:t xml:space="preserve"> </w:t>
      </w:r>
      <w:r w:rsidRPr="00DD7BD1">
        <w:rPr>
          <w:rFonts w:cs="Calibri"/>
          <w:color w:val="auto"/>
          <w:w w:val="110"/>
        </w:rPr>
        <w:t>July</w:t>
      </w:r>
      <w:r w:rsidRPr="00DD7BD1">
        <w:rPr>
          <w:rFonts w:cs="Calibri"/>
          <w:color w:val="auto"/>
          <w:spacing w:val="-3"/>
          <w:w w:val="110"/>
        </w:rPr>
        <w:t xml:space="preserve"> </w:t>
      </w:r>
      <w:r w:rsidRPr="00DD7BD1">
        <w:rPr>
          <w:rFonts w:cs="Calibri"/>
          <w:color w:val="auto"/>
          <w:w w:val="110"/>
        </w:rPr>
        <w:t>29,</w:t>
      </w:r>
      <w:r w:rsidRPr="00DD7BD1">
        <w:rPr>
          <w:rFonts w:cs="Calibri"/>
          <w:color w:val="auto"/>
          <w:spacing w:val="-5"/>
          <w:w w:val="110"/>
        </w:rPr>
        <w:t xml:space="preserve"> </w:t>
      </w:r>
      <w:r w:rsidRPr="00DD7BD1">
        <w:rPr>
          <w:rFonts w:cs="Calibri"/>
          <w:color w:val="auto"/>
          <w:w w:val="110"/>
        </w:rPr>
        <w:t>2025,</w:t>
      </w:r>
      <w:r w:rsidRPr="00DD7BD1">
        <w:rPr>
          <w:rFonts w:cs="Calibri"/>
          <w:color w:val="auto"/>
          <w:spacing w:val="-5"/>
          <w:w w:val="110"/>
        </w:rPr>
        <w:t xml:space="preserve"> </w:t>
      </w:r>
      <w:r w:rsidRPr="00DD7BD1">
        <w:rPr>
          <w:rFonts w:cs="Calibri"/>
          <w:color w:val="auto"/>
          <w:w w:val="110"/>
        </w:rPr>
        <w:t>U.S.</w:t>
      </w:r>
      <w:r w:rsidRPr="00DD7BD1">
        <w:rPr>
          <w:rFonts w:cs="Calibri"/>
          <w:color w:val="auto"/>
          <w:spacing w:val="-5"/>
          <w:w w:val="110"/>
        </w:rPr>
        <w:t xml:space="preserve"> </w:t>
      </w:r>
      <w:r w:rsidRPr="00DD7BD1">
        <w:rPr>
          <w:rFonts w:cs="Calibri"/>
          <w:color w:val="auto"/>
          <w:w w:val="110"/>
        </w:rPr>
        <w:t>Attorney</w:t>
      </w:r>
      <w:r w:rsidRPr="00DD7BD1">
        <w:rPr>
          <w:rFonts w:cs="Calibri"/>
          <w:color w:val="auto"/>
          <w:spacing w:val="-3"/>
          <w:w w:val="110"/>
        </w:rPr>
        <w:t xml:space="preserve"> </w:t>
      </w:r>
      <w:r w:rsidRPr="00DD7BD1">
        <w:rPr>
          <w:rFonts w:cs="Calibri"/>
          <w:color w:val="auto"/>
          <w:w w:val="110"/>
        </w:rPr>
        <w:t>General</w:t>
      </w:r>
      <w:r w:rsidRPr="00DD7BD1">
        <w:rPr>
          <w:rFonts w:cs="Calibri"/>
          <w:color w:val="auto"/>
          <w:spacing w:val="-3"/>
          <w:w w:val="110"/>
        </w:rPr>
        <w:t xml:space="preserve"> </w:t>
      </w:r>
      <w:r w:rsidRPr="00DD7BD1">
        <w:rPr>
          <w:rFonts w:cs="Calibri"/>
          <w:color w:val="auto"/>
          <w:w w:val="110"/>
        </w:rPr>
        <w:t>Pam</w:t>
      </w:r>
      <w:r w:rsidRPr="00DD7BD1">
        <w:rPr>
          <w:rFonts w:cs="Calibri"/>
          <w:color w:val="auto"/>
          <w:spacing w:val="-1"/>
          <w:w w:val="110"/>
        </w:rPr>
        <w:t xml:space="preserve"> </w:t>
      </w:r>
      <w:r w:rsidRPr="00DD7BD1">
        <w:rPr>
          <w:rFonts w:cs="Calibri"/>
          <w:color w:val="auto"/>
          <w:w w:val="110"/>
        </w:rPr>
        <w:t>Bondi</w:t>
      </w:r>
      <w:r w:rsidRPr="00DD7BD1">
        <w:rPr>
          <w:rFonts w:cs="Calibri"/>
          <w:color w:val="auto"/>
          <w:spacing w:val="-3"/>
          <w:w w:val="110"/>
        </w:rPr>
        <w:t xml:space="preserve"> </w:t>
      </w:r>
      <w:r w:rsidRPr="00DD7BD1">
        <w:rPr>
          <w:rFonts w:cs="Calibri"/>
          <w:color w:val="auto"/>
          <w:w w:val="110"/>
        </w:rPr>
        <w:t xml:space="preserve">issued </w:t>
      </w:r>
      <w:hyperlink r:id="rId302">
        <w:r w:rsidRPr="00DD7BD1">
          <w:rPr>
            <w:rFonts w:cs="Calibri"/>
            <w:color w:val="0000FF"/>
            <w:w w:val="110"/>
            <w:u w:val="single" w:color="0000FF"/>
          </w:rPr>
          <w:t>Guidance</w:t>
        </w:r>
        <w:r w:rsidRPr="00DD7BD1">
          <w:rPr>
            <w:rFonts w:cs="Calibri"/>
            <w:color w:val="0000FF"/>
            <w:spacing w:val="-5"/>
            <w:w w:val="110"/>
            <w:u w:val="single" w:color="0000FF"/>
          </w:rPr>
          <w:t xml:space="preserve"> </w:t>
        </w:r>
        <w:r w:rsidRPr="00DD7BD1">
          <w:rPr>
            <w:rFonts w:cs="Calibri"/>
            <w:color w:val="0000FF"/>
            <w:w w:val="110"/>
            <w:u w:val="single" w:color="0000FF"/>
          </w:rPr>
          <w:t>for</w:t>
        </w:r>
        <w:r w:rsidRPr="00DD7BD1">
          <w:rPr>
            <w:rFonts w:cs="Calibri"/>
            <w:color w:val="0000FF"/>
            <w:spacing w:val="-2"/>
            <w:w w:val="110"/>
            <w:u w:val="single" w:color="0000FF"/>
          </w:rPr>
          <w:t xml:space="preserve"> </w:t>
        </w:r>
        <w:r w:rsidRPr="00DD7BD1">
          <w:rPr>
            <w:rFonts w:cs="Calibri"/>
            <w:color w:val="0000FF"/>
            <w:w w:val="110"/>
            <w:u w:val="single" w:color="0000FF"/>
          </w:rPr>
          <w:t>Recipients</w:t>
        </w:r>
        <w:r w:rsidRPr="00DD7BD1">
          <w:rPr>
            <w:rFonts w:cs="Calibri"/>
            <w:color w:val="0000FF"/>
            <w:spacing w:val="-3"/>
            <w:w w:val="110"/>
            <w:u w:val="single" w:color="0000FF"/>
          </w:rPr>
          <w:t xml:space="preserve"> </w:t>
        </w:r>
        <w:r w:rsidRPr="00DD7BD1">
          <w:rPr>
            <w:rFonts w:cs="Calibri"/>
            <w:color w:val="0000FF"/>
            <w:w w:val="110"/>
            <w:u w:val="single" w:color="0000FF"/>
          </w:rPr>
          <w:t>of</w:t>
        </w:r>
        <w:r w:rsidRPr="00DD7BD1">
          <w:rPr>
            <w:rFonts w:cs="Calibri"/>
            <w:color w:val="0000FF"/>
            <w:spacing w:val="-2"/>
            <w:w w:val="110"/>
            <w:u w:val="single" w:color="0000FF"/>
          </w:rPr>
          <w:t xml:space="preserve"> </w:t>
        </w:r>
        <w:r w:rsidRPr="00DD7BD1">
          <w:rPr>
            <w:rFonts w:cs="Calibri"/>
            <w:color w:val="0000FF"/>
            <w:w w:val="110"/>
            <w:u w:val="single" w:color="0000FF"/>
          </w:rPr>
          <w:t>Federal</w:t>
        </w:r>
        <w:r w:rsidRPr="00DD7BD1">
          <w:rPr>
            <w:rFonts w:cs="Calibri"/>
            <w:color w:val="0000FF"/>
            <w:spacing w:val="-6"/>
            <w:w w:val="110"/>
            <w:u w:val="single" w:color="0000FF"/>
          </w:rPr>
          <w:t xml:space="preserve"> </w:t>
        </w:r>
        <w:r w:rsidRPr="00DD7BD1">
          <w:rPr>
            <w:rFonts w:cs="Calibri"/>
            <w:color w:val="0000FF"/>
            <w:w w:val="110"/>
            <w:u w:val="single" w:color="0000FF"/>
          </w:rPr>
          <w:t>Funding</w:t>
        </w:r>
      </w:hyperlink>
      <w:r w:rsidRPr="00DD7BD1">
        <w:rPr>
          <w:rFonts w:cs="Calibri"/>
          <w:color w:val="0000FF"/>
          <w:w w:val="110"/>
        </w:rPr>
        <w:t xml:space="preserve"> </w:t>
      </w:r>
      <w:hyperlink r:id="rId303">
        <w:r w:rsidRPr="00DD7BD1">
          <w:rPr>
            <w:rFonts w:cs="Calibri"/>
            <w:color w:val="0000FF"/>
            <w:spacing w:val="-2"/>
            <w:w w:val="110"/>
            <w:u w:val="single" w:color="0000FF"/>
          </w:rPr>
          <w:t>Regarding</w:t>
        </w:r>
        <w:r w:rsidRPr="00DD7BD1">
          <w:rPr>
            <w:rFonts w:cs="Calibri"/>
            <w:color w:val="0000FF"/>
            <w:spacing w:val="-7"/>
            <w:w w:val="110"/>
            <w:u w:val="single" w:color="0000FF"/>
          </w:rPr>
          <w:t xml:space="preserve"> </w:t>
        </w:r>
        <w:r w:rsidRPr="00DD7BD1">
          <w:rPr>
            <w:rFonts w:cs="Calibri"/>
            <w:color w:val="0000FF"/>
            <w:spacing w:val="-2"/>
            <w:w w:val="110"/>
            <w:u w:val="single" w:color="0000FF"/>
          </w:rPr>
          <w:t>Unlawful</w:t>
        </w:r>
        <w:r w:rsidRPr="00DD7BD1">
          <w:rPr>
            <w:rFonts w:cs="Calibri"/>
            <w:color w:val="0000FF"/>
            <w:spacing w:val="-7"/>
            <w:w w:val="110"/>
            <w:u w:val="single" w:color="0000FF"/>
          </w:rPr>
          <w:t xml:space="preserve"> </w:t>
        </w:r>
        <w:r w:rsidRPr="00DD7BD1">
          <w:rPr>
            <w:rFonts w:cs="Calibri"/>
            <w:color w:val="0000FF"/>
            <w:spacing w:val="-2"/>
            <w:w w:val="110"/>
            <w:u w:val="single" w:color="0000FF"/>
          </w:rPr>
          <w:t>Discrimination</w:t>
        </w:r>
      </w:hyperlink>
      <w:r w:rsidRPr="00DD7BD1">
        <w:rPr>
          <w:rFonts w:cs="Calibri"/>
          <w:color w:val="0000FF"/>
          <w:spacing w:val="-5"/>
          <w:w w:val="110"/>
        </w:rPr>
        <w:t xml:space="preserve"> </w:t>
      </w:r>
      <w:r w:rsidRPr="00DD7BD1">
        <w:rPr>
          <w:rFonts w:cs="Calibri"/>
          <w:color w:val="auto"/>
          <w:spacing w:val="-2"/>
          <w:w w:val="110"/>
        </w:rPr>
        <w:t>(the</w:t>
      </w:r>
      <w:r w:rsidRPr="00DD7BD1">
        <w:rPr>
          <w:rFonts w:cs="Calibri"/>
          <w:color w:val="auto"/>
          <w:spacing w:val="-7"/>
          <w:w w:val="110"/>
        </w:rPr>
        <w:t xml:space="preserve"> </w:t>
      </w:r>
      <w:r w:rsidRPr="00DD7BD1">
        <w:rPr>
          <w:rFonts w:cs="Calibri"/>
          <w:color w:val="auto"/>
          <w:spacing w:val="-2"/>
          <w:w w:val="110"/>
        </w:rPr>
        <w:t>“Guidance”).</w:t>
      </w:r>
      <w:r w:rsidRPr="00DD7BD1">
        <w:rPr>
          <w:rFonts w:cs="Calibri"/>
          <w:color w:val="auto"/>
          <w:spacing w:val="-6"/>
          <w:w w:val="110"/>
        </w:rPr>
        <w:t xml:space="preserve"> </w:t>
      </w:r>
      <w:r w:rsidRPr="00DD7BD1">
        <w:rPr>
          <w:rFonts w:cs="Calibri"/>
          <w:color w:val="auto"/>
          <w:spacing w:val="-2"/>
          <w:w w:val="110"/>
        </w:rPr>
        <w:t>Following</w:t>
      </w:r>
      <w:r w:rsidRPr="00DD7BD1">
        <w:rPr>
          <w:rFonts w:cs="Calibri"/>
          <w:color w:val="auto"/>
          <w:spacing w:val="-5"/>
          <w:w w:val="110"/>
        </w:rPr>
        <w:t xml:space="preserve"> </w:t>
      </w:r>
      <w:r w:rsidRPr="00DD7BD1">
        <w:rPr>
          <w:rFonts w:cs="Calibri"/>
          <w:color w:val="auto"/>
          <w:spacing w:val="-2"/>
          <w:w w:val="110"/>
        </w:rPr>
        <w:t>the</w:t>
      </w:r>
      <w:r w:rsidRPr="00DD7BD1">
        <w:rPr>
          <w:rFonts w:cs="Calibri"/>
          <w:color w:val="auto"/>
          <w:spacing w:val="-5"/>
          <w:w w:val="110"/>
        </w:rPr>
        <w:t xml:space="preserve"> </w:t>
      </w:r>
      <w:r w:rsidRPr="00DD7BD1">
        <w:rPr>
          <w:rFonts w:cs="Calibri"/>
          <w:color w:val="auto"/>
          <w:spacing w:val="-2"/>
          <w:w w:val="110"/>
        </w:rPr>
        <w:t>creation</w:t>
      </w:r>
      <w:r w:rsidRPr="00DD7BD1">
        <w:rPr>
          <w:rFonts w:cs="Calibri"/>
          <w:color w:val="auto"/>
          <w:spacing w:val="-5"/>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 xml:space="preserve">the </w:t>
      </w:r>
      <w:hyperlink r:id="rId304">
        <w:r w:rsidRPr="00DD7BD1">
          <w:rPr>
            <w:rFonts w:cs="Calibri"/>
            <w:color w:val="0000FF"/>
            <w:spacing w:val="-2"/>
            <w:w w:val="110"/>
            <w:u w:val="single" w:color="0000FF"/>
          </w:rPr>
          <w:t>Civil</w:t>
        </w:r>
        <w:r w:rsidRPr="00DD7BD1">
          <w:rPr>
            <w:rFonts w:cs="Calibri"/>
            <w:color w:val="0000FF"/>
            <w:spacing w:val="-7"/>
            <w:w w:val="110"/>
            <w:u w:val="single" w:color="0000FF"/>
          </w:rPr>
          <w:t xml:space="preserve"> </w:t>
        </w:r>
        <w:r w:rsidRPr="00DD7BD1">
          <w:rPr>
            <w:rFonts w:cs="Calibri"/>
            <w:color w:val="0000FF"/>
            <w:spacing w:val="-2"/>
            <w:w w:val="110"/>
            <w:u w:val="single" w:color="0000FF"/>
          </w:rPr>
          <w:t>Rights</w:t>
        </w:r>
        <w:r w:rsidRPr="00DD7BD1">
          <w:rPr>
            <w:rFonts w:cs="Calibri"/>
            <w:color w:val="0000FF"/>
            <w:spacing w:val="-7"/>
            <w:w w:val="110"/>
            <w:u w:val="single" w:color="0000FF"/>
          </w:rPr>
          <w:t xml:space="preserve"> </w:t>
        </w:r>
        <w:r w:rsidRPr="00DD7BD1">
          <w:rPr>
            <w:rFonts w:cs="Calibri"/>
            <w:color w:val="0000FF"/>
            <w:spacing w:val="-2"/>
            <w:w w:val="110"/>
            <w:u w:val="single" w:color="0000FF"/>
          </w:rPr>
          <w:t>Fraud</w:t>
        </w:r>
        <w:r w:rsidRPr="00DD7BD1">
          <w:rPr>
            <w:rFonts w:cs="Calibri"/>
            <w:color w:val="0000FF"/>
            <w:spacing w:val="-5"/>
            <w:w w:val="110"/>
            <w:u w:val="single" w:color="0000FF"/>
          </w:rPr>
          <w:t xml:space="preserve"> </w:t>
        </w:r>
        <w:r w:rsidRPr="00DD7BD1">
          <w:rPr>
            <w:rFonts w:cs="Calibri"/>
            <w:color w:val="0000FF"/>
            <w:spacing w:val="-2"/>
            <w:w w:val="110"/>
            <w:u w:val="single" w:color="0000FF"/>
          </w:rPr>
          <w:t>Initiative</w:t>
        </w:r>
      </w:hyperlink>
      <w:r w:rsidRPr="00DD7BD1">
        <w:rPr>
          <w:rFonts w:cs="Calibri"/>
          <w:color w:val="0000FF"/>
          <w:spacing w:val="-4"/>
          <w:w w:val="110"/>
        </w:rPr>
        <w:t xml:space="preserve"> </w:t>
      </w:r>
      <w:r w:rsidRPr="00DD7BD1">
        <w:rPr>
          <w:rFonts w:cs="Calibri"/>
          <w:color w:val="auto"/>
          <w:spacing w:val="-2"/>
          <w:w w:val="110"/>
        </w:rPr>
        <w:t xml:space="preserve">by </w:t>
      </w:r>
      <w:r w:rsidRPr="00DD7BD1">
        <w:rPr>
          <w:rFonts w:cs="Calibri"/>
          <w:color w:val="auto"/>
          <w:w w:val="110"/>
        </w:rPr>
        <w:t>the Department</w:t>
      </w:r>
      <w:r w:rsidRPr="00DD7BD1">
        <w:rPr>
          <w:rFonts w:cs="Calibri"/>
          <w:color w:val="auto"/>
          <w:spacing w:val="-5"/>
          <w:w w:val="110"/>
        </w:rPr>
        <w:t xml:space="preserve"> </w:t>
      </w:r>
      <w:r w:rsidRPr="00DD7BD1">
        <w:rPr>
          <w:rFonts w:cs="Calibri"/>
          <w:color w:val="auto"/>
          <w:w w:val="110"/>
        </w:rPr>
        <w:t>of</w:t>
      </w:r>
      <w:r w:rsidRPr="00DD7BD1">
        <w:rPr>
          <w:rFonts w:cs="Calibri"/>
          <w:color w:val="auto"/>
          <w:spacing w:val="-4"/>
          <w:w w:val="110"/>
        </w:rPr>
        <w:t xml:space="preserve"> </w:t>
      </w:r>
      <w:r w:rsidRPr="00DD7BD1">
        <w:rPr>
          <w:rFonts w:cs="Calibri"/>
          <w:color w:val="auto"/>
          <w:w w:val="110"/>
        </w:rPr>
        <w:t>Justice (“DOJ”),</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4"/>
          <w:w w:val="110"/>
        </w:rPr>
        <w:t xml:space="preserve"> </w:t>
      </w:r>
      <w:r w:rsidRPr="00DD7BD1">
        <w:rPr>
          <w:rFonts w:cs="Calibri"/>
          <w:color w:val="auto"/>
          <w:w w:val="110"/>
        </w:rPr>
        <w:t>joint guidance issued</w:t>
      </w:r>
      <w:r w:rsidRPr="00DD7BD1">
        <w:rPr>
          <w:rFonts w:cs="Calibri"/>
          <w:color w:val="auto"/>
          <w:spacing w:val="-3"/>
          <w:w w:val="110"/>
        </w:rPr>
        <w:t xml:space="preserve"> </w:t>
      </w:r>
      <w:r w:rsidRPr="00DD7BD1">
        <w:rPr>
          <w:rFonts w:cs="Calibri"/>
          <w:color w:val="auto"/>
          <w:w w:val="110"/>
        </w:rPr>
        <w:t>by DOJ</w:t>
      </w:r>
      <w:r w:rsidRPr="00DD7BD1">
        <w:rPr>
          <w:rFonts w:cs="Calibri"/>
          <w:color w:val="auto"/>
          <w:spacing w:val="-3"/>
          <w:w w:val="110"/>
        </w:rPr>
        <w:t xml:space="preserve"> </w:t>
      </w:r>
      <w:r w:rsidRPr="00DD7BD1">
        <w:rPr>
          <w:rFonts w:cs="Calibri"/>
          <w:color w:val="auto"/>
          <w:w w:val="110"/>
        </w:rPr>
        <w:t>and the</w:t>
      </w:r>
      <w:r w:rsidRPr="00DD7BD1">
        <w:rPr>
          <w:rFonts w:cs="Calibri"/>
          <w:color w:val="auto"/>
          <w:spacing w:val="-3"/>
          <w:w w:val="110"/>
        </w:rPr>
        <w:t xml:space="preserve"> </w:t>
      </w:r>
      <w:r w:rsidRPr="00DD7BD1">
        <w:rPr>
          <w:rFonts w:cs="Calibri"/>
          <w:color w:val="auto"/>
          <w:w w:val="110"/>
        </w:rPr>
        <w:t>U.S.</w:t>
      </w:r>
      <w:r w:rsidRPr="00DD7BD1">
        <w:rPr>
          <w:rFonts w:cs="Calibri"/>
          <w:color w:val="auto"/>
          <w:spacing w:val="-1"/>
          <w:w w:val="110"/>
        </w:rPr>
        <w:t xml:space="preserve"> </w:t>
      </w:r>
      <w:r w:rsidRPr="00DD7BD1">
        <w:rPr>
          <w:rFonts w:cs="Calibri"/>
          <w:color w:val="auto"/>
          <w:w w:val="110"/>
        </w:rPr>
        <w:t>Equal</w:t>
      </w:r>
      <w:r w:rsidRPr="00DD7BD1">
        <w:rPr>
          <w:rFonts w:cs="Calibri"/>
          <w:color w:val="auto"/>
          <w:spacing w:val="-3"/>
          <w:w w:val="110"/>
        </w:rPr>
        <w:t xml:space="preserve"> </w:t>
      </w:r>
      <w:r w:rsidRPr="00DD7BD1">
        <w:rPr>
          <w:rFonts w:cs="Calibri"/>
          <w:color w:val="auto"/>
          <w:w w:val="110"/>
        </w:rPr>
        <w:t xml:space="preserve">Employment </w:t>
      </w:r>
      <w:r w:rsidRPr="00DD7BD1">
        <w:rPr>
          <w:rFonts w:cs="Calibri"/>
          <w:color w:val="auto"/>
          <w:spacing w:val="-2"/>
          <w:w w:val="110"/>
        </w:rPr>
        <w:t>Opportunity</w:t>
      </w:r>
      <w:r w:rsidRPr="00DD7BD1">
        <w:rPr>
          <w:rFonts w:cs="Calibri"/>
          <w:color w:val="auto"/>
          <w:spacing w:val="-6"/>
          <w:w w:val="110"/>
        </w:rPr>
        <w:t xml:space="preserve"> </w:t>
      </w:r>
      <w:r w:rsidRPr="00DD7BD1">
        <w:rPr>
          <w:rFonts w:cs="Calibri"/>
          <w:color w:val="auto"/>
          <w:spacing w:val="-2"/>
          <w:w w:val="110"/>
        </w:rPr>
        <w:t>Commission</w:t>
      </w:r>
      <w:r w:rsidRPr="00DD7BD1">
        <w:rPr>
          <w:rFonts w:cs="Calibri"/>
          <w:color w:val="auto"/>
          <w:spacing w:val="-10"/>
          <w:w w:val="110"/>
        </w:rPr>
        <w:t xml:space="preserve"> </w:t>
      </w:r>
      <w:r w:rsidRPr="00DD7BD1">
        <w:rPr>
          <w:rFonts w:cs="Calibri"/>
          <w:color w:val="auto"/>
          <w:spacing w:val="-2"/>
          <w:w w:val="110"/>
        </w:rPr>
        <w:t>(“EEOC”)</w:t>
      </w:r>
      <w:r w:rsidRPr="00DD7BD1">
        <w:rPr>
          <w:rFonts w:cs="Calibri"/>
          <w:color w:val="auto"/>
          <w:spacing w:val="-9"/>
          <w:w w:val="110"/>
        </w:rPr>
        <w:t xml:space="preserve"> </w:t>
      </w:r>
      <w:r w:rsidRPr="00DD7BD1">
        <w:rPr>
          <w:rFonts w:cs="Calibri"/>
          <w:color w:val="auto"/>
          <w:spacing w:val="-2"/>
          <w:w w:val="110"/>
        </w:rPr>
        <w:t>on</w:t>
      </w:r>
      <w:r w:rsidRPr="00DD7BD1">
        <w:rPr>
          <w:rFonts w:cs="Calibri"/>
          <w:color w:val="auto"/>
          <w:spacing w:val="-9"/>
          <w:w w:val="110"/>
        </w:rPr>
        <w:t xml:space="preserve"> </w:t>
      </w:r>
      <w:r w:rsidRPr="00DD7BD1">
        <w:rPr>
          <w:rFonts w:cs="Calibri"/>
          <w:spacing w:val="-2"/>
          <w:w w:val="110"/>
        </w:rPr>
        <w:t>“</w:t>
      </w:r>
      <w:hyperlink r:id="rId305">
        <w:r w:rsidRPr="00DD7BD1">
          <w:rPr>
            <w:rFonts w:cs="Calibri"/>
            <w:color w:val="0000FF"/>
            <w:spacing w:val="-2"/>
            <w:w w:val="110"/>
            <w:u w:val="single" w:color="0000FF"/>
          </w:rPr>
          <w:t>unlawful</w:t>
        </w:r>
        <w:r w:rsidRPr="00DD7BD1">
          <w:rPr>
            <w:rFonts w:cs="Calibri"/>
            <w:color w:val="0000FF"/>
            <w:spacing w:val="-9"/>
            <w:w w:val="110"/>
            <w:u w:val="single" w:color="0000FF"/>
          </w:rPr>
          <w:t xml:space="preserve"> </w:t>
        </w:r>
        <w:r w:rsidRPr="00DD7BD1">
          <w:rPr>
            <w:rFonts w:cs="Calibri"/>
            <w:color w:val="0000FF"/>
            <w:spacing w:val="-2"/>
            <w:w w:val="110"/>
            <w:u w:val="single" w:color="0000FF"/>
          </w:rPr>
          <w:t>DEI-related</w:t>
        </w:r>
        <w:r w:rsidRPr="00DD7BD1">
          <w:rPr>
            <w:rFonts w:cs="Calibri"/>
            <w:color w:val="0000FF"/>
            <w:spacing w:val="-6"/>
            <w:w w:val="110"/>
            <w:u w:val="single" w:color="0000FF"/>
          </w:rPr>
          <w:t xml:space="preserve"> </w:t>
        </w:r>
        <w:r w:rsidRPr="00DD7BD1">
          <w:rPr>
            <w:rFonts w:cs="Calibri"/>
            <w:color w:val="0000FF"/>
            <w:spacing w:val="-2"/>
            <w:w w:val="110"/>
            <w:u w:val="single" w:color="0000FF"/>
          </w:rPr>
          <w:t>discrimination</w:t>
        </w:r>
      </w:hyperlink>
      <w:r w:rsidRPr="00DD7BD1">
        <w:rPr>
          <w:rFonts w:cs="Calibri"/>
          <w:spacing w:val="-2"/>
          <w:w w:val="110"/>
        </w:rPr>
        <w:t>”</w:t>
      </w:r>
      <w:r w:rsidRPr="00DD7BD1">
        <w:rPr>
          <w:rFonts w:cs="Calibri"/>
          <w:color w:val="auto"/>
          <w:spacing w:val="-2"/>
          <w:w w:val="110"/>
        </w:rPr>
        <w:t>,</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Guidance</w:t>
      </w:r>
      <w:r w:rsidRPr="00DD7BD1">
        <w:rPr>
          <w:rFonts w:cs="Calibri"/>
          <w:color w:val="auto"/>
          <w:spacing w:val="-10"/>
          <w:w w:val="110"/>
        </w:rPr>
        <w:t xml:space="preserve"> </w:t>
      </w:r>
      <w:r w:rsidRPr="00DD7BD1">
        <w:rPr>
          <w:rFonts w:cs="Calibri"/>
          <w:color w:val="auto"/>
          <w:spacing w:val="-2"/>
          <w:w w:val="110"/>
        </w:rPr>
        <w:t>is</w:t>
      </w:r>
      <w:r w:rsidRPr="00DD7BD1">
        <w:rPr>
          <w:rFonts w:cs="Calibri"/>
          <w:color w:val="auto"/>
          <w:spacing w:val="-6"/>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most</w:t>
      </w:r>
      <w:r w:rsidRPr="00DD7BD1">
        <w:rPr>
          <w:rFonts w:cs="Calibri"/>
          <w:color w:val="auto"/>
          <w:spacing w:val="-8"/>
          <w:w w:val="110"/>
        </w:rPr>
        <w:t xml:space="preserve"> </w:t>
      </w:r>
      <w:r w:rsidRPr="00DD7BD1">
        <w:rPr>
          <w:rFonts w:cs="Calibri"/>
          <w:color w:val="auto"/>
          <w:spacing w:val="-2"/>
          <w:w w:val="110"/>
        </w:rPr>
        <w:t>tangible g</w:t>
      </w:r>
      <w:r w:rsidRPr="00DD7BD1">
        <w:rPr>
          <w:rFonts w:cs="Calibri"/>
          <w:color w:val="auto"/>
          <w:w w:val="110"/>
        </w:rPr>
        <w:t>uidance</w:t>
      </w:r>
      <w:r w:rsidRPr="00DD7BD1">
        <w:rPr>
          <w:rFonts w:cs="Calibri"/>
          <w:color w:val="auto"/>
          <w:spacing w:val="-7"/>
          <w:w w:val="110"/>
        </w:rPr>
        <w:t xml:space="preserve"> </w:t>
      </w:r>
      <w:r w:rsidRPr="00DD7BD1">
        <w:rPr>
          <w:rFonts w:cs="Calibri"/>
          <w:color w:val="auto"/>
          <w:w w:val="110"/>
        </w:rPr>
        <w:t>released</w:t>
      </w:r>
      <w:r w:rsidRPr="00DD7BD1">
        <w:rPr>
          <w:rFonts w:cs="Calibri"/>
          <w:color w:val="auto"/>
          <w:spacing w:val="-7"/>
          <w:w w:val="110"/>
        </w:rPr>
        <w:t xml:space="preserve"> </w:t>
      </w:r>
      <w:r w:rsidRPr="00DD7BD1">
        <w:rPr>
          <w:rFonts w:cs="Calibri"/>
          <w:color w:val="auto"/>
          <w:w w:val="110"/>
        </w:rPr>
        <w:t>to</w:t>
      </w:r>
      <w:r w:rsidRPr="00DD7BD1">
        <w:rPr>
          <w:rFonts w:cs="Calibri"/>
          <w:color w:val="auto"/>
          <w:spacing w:val="-9"/>
          <w:w w:val="110"/>
        </w:rPr>
        <w:t xml:space="preserve"> </w:t>
      </w:r>
      <w:r w:rsidRPr="00DD7BD1">
        <w:rPr>
          <w:rFonts w:cs="Calibri"/>
          <w:color w:val="auto"/>
          <w:w w:val="110"/>
        </w:rPr>
        <w:t>date</w:t>
      </w:r>
      <w:r w:rsidRPr="00DD7BD1">
        <w:rPr>
          <w:rFonts w:cs="Calibri"/>
          <w:color w:val="auto"/>
          <w:spacing w:val="-7"/>
          <w:w w:val="110"/>
        </w:rPr>
        <w:t xml:space="preserve"> </w:t>
      </w:r>
      <w:r w:rsidRPr="00DD7BD1">
        <w:rPr>
          <w:rFonts w:cs="Calibri"/>
          <w:color w:val="auto"/>
          <w:w w:val="110"/>
        </w:rPr>
        <w:t>on</w:t>
      </w:r>
      <w:r w:rsidRPr="00DD7BD1">
        <w:rPr>
          <w:rFonts w:cs="Calibri"/>
          <w:color w:val="auto"/>
          <w:spacing w:val="-7"/>
          <w:w w:val="110"/>
        </w:rPr>
        <w:t xml:space="preserve"> </w:t>
      </w:r>
      <w:r w:rsidRPr="00DD7BD1">
        <w:rPr>
          <w:rFonts w:cs="Calibri"/>
          <w:color w:val="auto"/>
          <w:w w:val="110"/>
        </w:rPr>
        <w:t>what</w:t>
      </w:r>
      <w:r w:rsidRPr="00DD7BD1">
        <w:rPr>
          <w:rFonts w:cs="Calibri"/>
          <w:color w:val="auto"/>
          <w:spacing w:val="-8"/>
          <w:w w:val="110"/>
        </w:rPr>
        <w:t xml:space="preserve"> </w:t>
      </w:r>
      <w:r w:rsidRPr="00DD7BD1">
        <w:rPr>
          <w:rFonts w:cs="Calibri"/>
          <w:color w:val="auto"/>
          <w:w w:val="110"/>
        </w:rPr>
        <w:t>the</w:t>
      </w:r>
      <w:r w:rsidRPr="00DD7BD1">
        <w:rPr>
          <w:rFonts w:cs="Calibri"/>
          <w:color w:val="auto"/>
          <w:spacing w:val="-7"/>
          <w:w w:val="110"/>
        </w:rPr>
        <w:t xml:space="preserve"> </w:t>
      </w:r>
      <w:r w:rsidRPr="00DD7BD1">
        <w:rPr>
          <w:rFonts w:cs="Calibri"/>
          <w:color w:val="auto"/>
          <w:w w:val="110"/>
        </w:rPr>
        <w:t>administration</w:t>
      </w:r>
      <w:r w:rsidRPr="00DD7BD1">
        <w:rPr>
          <w:rFonts w:cs="Calibri"/>
          <w:color w:val="auto"/>
          <w:spacing w:val="-9"/>
          <w:w w:val="110"/>
        </w:rPr>
        <w:t xml:space="preserve"> </w:t>
      </w:r>
      <w:r w:rsidRPr="00DD7BD1">
        <w:rPr>
          <w:rFonts w:cs="Calibri"/>
          <w:color w:val="auto"/>
          <w:w w:val="110"/>
        </w:rPr>
        <w:t>views</w:t>
      </w:r>
      <w:r w:rsidRPr="00DD7BD1">
        <w:rPr>
          <w:rFonts w:cs="Calibri"/>
          <w:color w:val="auto"/>
          <w:spacing w:val="-7"/>
          <w:w w:val="110"/>
        </w:rPr>
        <w:t xml:space="preserve"> </w:t>
      </w:r>
      <w:r w:rsidRPr="00DD7BD1">
        <w:rPr>
          <w:rFonts w:cs="Calibri"/>
          <w:color w:val="auto"/>
          <w:w w:val="110"/>
        </w:rPr>
        <w:t>as</w:t>
      </w:r>
      <w:r w:rsidRPr="00DD7BD1">
        <w:rPr>
          <w:rFonts w:cs="Calibri"/>
          <w:color w:val="auto"/>
          <w:spacing w:val="-7"/>
          <w:w w:val="110"/>
        </w:rPr>
        <w:t xml:space="preserve"> </w:t>
      </w:r>
      <w:r w:rsidRPr="00DD7BD1">
        <w:rPr>
          <w:rFonts w:cs="Calibri"/>
          <w:color w:val="auto"/>
          <w:w w:val="110"/>
        </w:rPr>
        <w:t>“illegal</w:t>
      </w:r>
      <w:r w:rsidRPr="00DD7BD1">
        <w:rPr>
          <w:rFonts w:cs="Calibri"/>
          <w:color w:val="auto"/>
          <w:spacing w:val="-9"/>
          <w:w w:val="110"/>
        </w:rPr>
        <w:t xml:space="preserve"> </w:t>
      </w:r>
      <w:r w:rsidRPr="00DD7BD1">
        <w:rPr>
          <w:rFonts w:cs="Calibri"/>
          <w:color w:val="auto"/>
          <w:w w:val="110"/>
        </w:rPr>
        <w:t>DEI”</w:t>
      </w:r>
      <w:r w:rsidRPr="00DD7BD1">
        <w:rPr>
          <w:rFonts w:cs="Calibri"/>
          <w:color w:val="auto"/>
          <w:spacing w:val="-10"/>
          <w:w w:val="110"/>
        </w:rPr>
        <w:t xml:space="preserve"> </w:t>
      </w:r>
      <w:r w:rsidRPr="00DD7BD1">
        <w:rPr>
          <w:rFonts w:cs="Calibri"/>
          <w:color w:val="auto"/>
          <w:w w:val="110"/>
        </w:rPr>
        <w:t>and</w:t>
      </w:r>
      <w:r w:rsidRPr="00DD7BD1">
        <w:rPr>
          <w:rFonts w:cs="Calibri"/>
          <w:color w:val="auto"/>
          <w:spacing w:val="-7"/>
          <w:w w:val="110"/>
        </w:rPr>
        <w:t xml:space="preserve"> </w:t>
      </w:r>
      <w:r w:rsidRPr="00DD7BD1">
        <w:rPr>
          <w:rFonts w:cs="Calibri"/>
          <w:color w:val="auto"/>
          <w:w w:val="110"/>
        </w:rPr>
        <w:t>a</w:t>
      </w:r>
      <w:r w:rsidRPr="00DD7BD1">
        <w:rPr>
          <w:rFonts w:cs="Calibri"/>
          <w:color w:val="auto"/>
          <w:spacing w:val="-10"/>
          <w:w w:val="110"/>
        </w:rPr>
        <w:t xml:space="preserve"> </w:t>
      </w:r>
      <w:r w:rsidRPr="00DD7BD1">
        <w:rPr>
          <w:rFonts w:cs="Calibri"/>
          <w:color w:val="auto"/>
          <w:w w:val="110"/>
        </w:rPr>
        <w:t>likely</w:t>
      </w:r>
      <w:r w:rsidRPr="00DD7BD1">
        <w:rPr>
          <w:rFonts w:cs="Calibri"/>
          <w:color w:val="auto"/>
          <w:spacing w:val="-9"/>
          <w:w w:val="110"/>
        </w:rPr>
        <w:t xml:space="preserve"> </w:t>
      </w:r>
      <w:r w:rsidRPr="00DD7BD1">
        <w:rPr>
          <w:rFonts w:cs="Calibri"/>
          <w:color w:val="auto"/>
          <w:w w:val="110"/>
        </w:rPr>
        <w:t>roadmap</w:t>
      </w:r>
      <w:r w:rsidRPr="00DD7BD1">
        <w:rPr>
          <w:rFonts w:cs="Calibri"/>
          <w:color w:val="auto"/>
          <w:spacing w:val="-7"/>
          <w:w w:val="110"/>
        </w:rPr>
        <w:t xml:space="preserve"> </w:t>
      </w:r>
      <w:r w:rsidRPr="00DD7BD1">
        <w:rPr>
          <w:rFonts w:cs="Calibri"/>
          <w:color w:val="auto"/>
          <w:w w:val="110"/>
        </w:rPr>
        <w:t>for</w:t>
      </w:r>
      <w:r w:rsidRPr="00DD7BD1">
        <w:rPr>
          <w:rFonts w:cs="Calibri"/>
          <w:color w:val="auto"/>
          <w:spacing w:val="-12"/>
          <w:w w:val="110"/>
        </w:rPr>
        <w:t xml:space="preserve"> </w:t>
      </w:r>
      <w:r w:rsidRPr="00DD7BD1">
        <w:rPr>
          <w:rFonts w:cs="Calibri"/>
          <w:color w:val="auto"/>
          <w:w w:val="110"/>
        </w:rPr>
        <w:t>DOJ’s</w:t>
      </w:r>
      <w:r w:rsidRPr="00DD7BD1">
        <w:rPr>
          <w:rFonts w:cs="Calibri"/>
          <w:color w:val="auto"/>
          <w:spacing w:val="-7"/>
          <w:w w:val="110"/>
        </w:rPr>
        <w:t xml:space="preserve"> </w:t>
      </w:r>
      <w:r w:rsidRPr="00DD7BD1">
        <w:rPr>
          <w:rFonts w:cs="Calibri"/>
          <w:color w:val="auto"/>
          <w:w w:val="110"/>
        </w:rPr>
        <w:t>False Claims</w:t>
      </w:r>
      <w:r w:rsidRPr="00DD7BD1">
        <w:rPr>
          <w:rFonts w:cs="Calibri"/>
          <w:color w:val="auto"/>
          <w:spacing w:val="-11"/>
          <w:w w:val="110"/>
        </w:rPr>
        <w:t xml:space="preserve"> </w:t>
      </w:r>
      <w:r w:rsidRPr="00DD7BD1">
        <w:rPr>
          <w:rFonts w:cs="Calibri"/>
          <w:color w:val="auto"/>
          <w:w w:val="110"/>
        </w:rPr>
        <w:t>Act</w:t>
      </w:r>
      <w:r w:rsidRPr="00DD7BD1">
        <w:rPr>
          <w:rFonts w:cs="Calibri"/>
          <w:color w:val="auto"/>
          <w:spacing w:val="-12"/>
          <w:w w:val="110"/>
        </w:rPr>
        <w:t xml:space="preserve"> </w:t>
      </w:r>
      <w:r w:rsidRPr="00DD7BD1">
        <w:rPr>
          <w:rFonts w:cs="Calibri"/>
          <w:color w:val="auto"/>
          <w:w w:val="110"/>
        </w:rPr>
        <w:t>(“FCA”)</w:t>
      </w:r>
      <w:r w:rsidRPr="00DD7BD1">
        <w:rPr>
          <w:rFonts w:cs="Calibri"/>
          <w:color w:val="auto"/>
          <w:spacing w:val="-12"/>
          <w:w w:val="110"/>
        </w:rPr>
        <w:t xml:space="preserve"> </w:t>
      </w:r>
      <w:r w:rsidRPr="00DD7BD1">
        <w:rPr>
          <w:rFonts w:cs="Calibri"/>
          <w:color w:val="auto"/>
          <w:w w:val="110"/>
        </w:rPr>
        <w:t>investigations</w:t>
      </w:r>
      <w:r w:rsidRPr="00DD7BD1">
        <w:rPr>
          <w:rFonts w:cs="Calibri"/>
          <w:color w:val="auto"/>
          <w:spacing w:val="-11"/>
          <w:w w:val="110"/>
        </w:rPr>
        <w:t xml:space="preserve"> </w:t>
      </w:r>
      <w:r w:rsidRPr="00DD7BD1">
        <w:rPr>
          <w:rFonts w:cs="Calibri"/>
          <w:color w:val="auto"/>
          <w:w w:val="110"/>
        </w:rPr>
        <w:t>under</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Civil</w:t>
      </w:r>
      <w:r w:rsidRPr="00DD7BD1">
        <w:rPr>
          <w:rFonts w:cs="Calibri"/>
          <w:color w:val="auto"/>
          <w:spacing w:val="-11"/>
          <w:w w:val="110"/>
        </w:rPr>
        <w:t xml:space="preserve"> </w:t>
      </w:r>
      <w:r w:rsidRPr="00DD7BD1">
        <w:rPr>
          <w:rFonts w:cs="Calibri"/>
          <w:color w:val="auto"/>
          <w:w w:val="110"/>
        </w:rPr>
        <w:t>Rights</w:t>
      </w:r>
      <w:r w:rsidRPr="00DD7BD1">
        <w:rPr>
          <w:rFonts w:cs="Calibri"/>
          <w:color w:val="auto"/>
          <w:spacing w:val="-11"/>
          <w:w w:val="110"/>
        </w:rPr>
        <w:t xml:space="preserve"> </w:t>
      </w:r>
      <w:r w:rsidRPr="00DD7BD1">
        <w:rPr>
          <w:rFonts w:cs="Calibri"/>
          <w:color w:val="auto"/>
          <w:w w:val="110"/>
        </w:rPr>
        <w:t>Fraud</w:t>
      </w:r>
      <w:r w:rsidRPr="00DD7BD1">
        <w:rPr>
          <w:rFonts w:cs="Calibri"/>
          <w:color w:val="auto"/>
          <w:spacing w:val="-12"/>
          <w:w w:val="110"/>
        </w:rPr>
        <w:t xml:space="preserve"> </w:t>
      </w:r>
      <w:r w:rsidRPr="00DD7BD1">
        <w:rPr>
          <w:rFonts w:cs="Calibri"/>
          <w:color w:val="auto"/>
          <w:w w:val="110"/>
        </w:rPr>
        <w:t>Initiative.</w:t>
      </w:r>
      <w:r w:rsidRPr="00DD7BD1">
        <w:rPr>
          <w:rFonts w:cs="Calibri"/>
          <w:color w:val="auto"/>
          <w:spacing w:val="40"/>
          <w:w w:val="110"/>
        </w:rPr>
        <w:t xml:space="preserve"> </w:t>
      </w:r>
      <w:r w:rsidRPr="00DD7BD1">
        <w:rPr>
          <w:rFonts w:cs="Calibri"/>
          <w:color w:val="auto"/>
          <w:w w:val="110"/>
        </w:rPr>
        <w:t>Read</w:t>
      </w:r>
      <w:r w:rsidRPr="00DD7BD1">
        <w:rPr>
          <w:rFonts w:cs="Calibri"/>
          <w:color w:val="auto"/>
          <w:spacing w:val="-11"/>
          <w:w w:val="110"/>
        </w:rPr>
        <w:t xml:space="preserve"> </w:t>
      </w:r>
      <w:r w:rsidRPr="00DD7BD1">
        <w:rPr>
          <w:rFonts w:cs="Calibri"/>
          <w:color w:val="auto"/>
          <w:w w:val="110"/>
        </w:rPr>
        <w:t>more</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1"/>
          <w:w w:val="110"/>
        </w:rPr>
        <w:t xml:space="preserve"> </w:t>
      </w:r>
      <w:r w:rsidRPr="00DD7BD1">
        <w:rPr>
          <w:rFonts w:cs="Calibri"/>
          <w:color w:val="auto"/>
          <w:w w:val="110"/>
        </w:rPr>
        <w:t>August</w:t>
      </w:r>
      <w:r w:rsidRPr="00DD7BD1">
        <w:rPr>
          <w:rFonts w:cs="Calibri"/>
          <w:color w:val="auto"/>
          <w:spacing w:val="-12"/>
          <w:w w:val="110"/>
        </w:rPr>
        <w:t xml:space="preserve"> </w:t>
      </w:r>
      <w:r w:rsidRPr="00DD7BD1">
        <w:rPr>
          <w:rFonts w:cs="Calibri"/>
          <w:color w:val="auto"/>
          <w:w w:val="110"/>
        </w:rPr>
        <w:t>6</w:t>
      </w:r>
      <w:r w:rsidRPr="00DD7BD1">
        <w:rPr>
          <w:rFonts w:cs="Calibri"/>
          <w:color w:val="auto"/>
          <w:w w:val="110"/>
          <w:vertAlign w:val="superscript"/>
        </w:rPr>
        <w:t>th</w:t>
      </w:r>
      <w:r w:rsidRPr="00DD7BD1">
        <w:rPr>
          <w:rFonts w:cs="Calibri"/>
          <w:color w:val="auto"/>
          <w:spacing w:val="-9"/>
          <w:w w:val="110"/>
        </w:rPr>
        <w:t xml:space="preserve"> </w:t>
      </w:r>
      <w:r w:rsidRPr="00DD7BD1">
        <w:rPr>
          <w:rFonts w:cs="Calibri"/>
          <w:color w:val="auto"/>
          <w:w w:val="110"/>
        </w:rPr>
        <w:t xml:space="preserve">online article released by Mayer Brown </w:t>
      </w:r>
      <w:hyperlink r:id="rId306">
        <w:r w:rsidRPr="00DD7BD1">
          <w:rPr>
            <w:rFonts w:cs="Calibri"/>
            <w:color w:val="0000FF"/>
            <w:w w:val="110"/>
            <w:u w:val="single" w:color="0000FF"/>
          </w:rPr>
          <w:t>HERE</w:t>
        </w:r>
      </w:hyperlink>
    </w:p>
    <w:p w14:paraId="4B137972" w14:textId="77777777" w:rsidR="00E43496" w:rsidRPr="00DD7BD1" w:rsidRDefault="00E43496" w:rsidP="00E43496">
      <w:pPr>
        <w:pStyle w:val="BodyText"/>
        <w:spacing w:after="0" w:line="240" w:lineRule="auto"/>
        <w:ind w:left="501" w:right="894"/>
        <w:rPr>
          <w:rFonts w:cs="Calibri"/>
          <w:szCs w:val="22"/>
        </w:rPr>
      </w:pPr>
    </w:p>
    <w:p w14:paraId="4526D784" w14:textId="0DA06E88"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2" w:name="_Hlk212641914"/>
      <w:r w:rsidRPr="00DD7BD1">
        <w:rPr>
          <w:rFonts w:ascii="Calibri" w:hAnsi="Calibri" w:cs="Calibri"/>
          <w:spacing w:val="-8"/>
          <w:sz w:val="32"/>
          <w:szCs w:val="32"/>
        </w:rPr>
        <w:t>DOL Ceases Enforcement of Liquidated Damages in FLSA Investigations</w:t>
      </w:r>
      <w:bookmarkEnd w:id="12"/>
    </w:p>
    <w:p w14:paraId="7E26B944"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The</w:t>
      </w:r>
      <w:r w:rsidRPr="00DD7BD1">
        <w:rPr>
          <w:rFonts w:cs="Calibri"/>
          <w:spacing w:val="-3"/>
          <w:w w:val="110"/>
          <w:szCs w:val="22"/>
        </w:rPr>
        <w:t xml:space="preserve"> </w:t>
      </w:r>
      <w:hyperlink r:id="rId307">
        <w:r w:rsidRPr="00DD7BD1">
          <w:rPr>
            <w:rFonts w:cs="Calibri"/>
            <w:color w:val="0000FF"/>
            <w:w w:val="110"/>
            <w:szCs w:val="22"/>
            <w:u w:val="single" w:color="0000FF"/>
          </w:rPr>
          <w:t>Federal</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Fair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Labor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Standards</w:t>
        </w:r>
        <w:r w:rsidRPr="00DD7BD1">
          <w:rPr>
            <w:rFonts w:cs="Calibri"/>
            <w:color w:val="0000FF"/>
            <w:spacing w:val="-1"/>
            <w:w w:val="110"/>
            <w:szCs w:val="22"/>
            <w:u w:val="single" w:color="0000FF"/>
          </w:rPr>
          <w:t xml:space="preserve"> </w:t>
        </w:r>
        <w:r w:rsidRPr="00DD7BD1">
          <w:rPr>
            <w:rFonts w:cs="Calibri"/>
            <w:color w:val="0000FF"/>
            <w:w w:val="110"/>
            <w:szCs w:val="22"/>
            <w:u w:val="single" w:color="0000FF"/>
          </w:rPr>
          <w:t>Act</w:t>
        </w:r>
      </w:hyperlink>
      <w:r w:rsidRPr="00DD7BD1">
        <w:rPr>
          <w:rFonts w:cs="Calibri"/>
          <w:color w:val="0000FF"/>
          <w:spacing w:val="-1"/>
          <w:w w:val="110"/>
          <w:szCs w:val="22"/>
        </w:rPr>
        <w:t xml:space="preserve"> </w:t>
      </w:r>
      <w:r w:rsidRPr="00DD7BD1">
        <w:rPr>
          <w:rFonts w:cs="Calibri"/>
          <w:color w:val="auto"/>
          <w:w w:val="110"/>
          <w:szCs w:val="22"/>
        </w:rPr>
        <w:t>(“FLSA”)</w:t>
      </w:r>
      <w:r w:rsidRPr="00DD7BD1">
        <w:rPr>
          <w:rFonts w:cs="Calibri"/>
          <w:color w:val="auto"/>
          <w:spacing w:val="-1"/>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federal</w:t>
      </w:r>
      <w:r w:rsidRPr="00DD7BD1">
        <w:rPr>
          <w:rFonts w:cs="Calibri"/>
          <w:color w:val="auto"/>
          <w:spacing w:val="-3"/>
          <w:w w:val="110"/>
          <w:szCs w:val="22"/>
        </w:rPr>
        <w:t xml:space="preserve"> </w:t>
      </w:r>
      <w:r w:rsidRPr="00DD7BD1">
        <w:rPr>
          <w:rFonts w:cs="Calibri"/>
          <w:color w:val="auto"/>
          <w:w w:val="110"/>
          <w:szCs w:val="22"/>
        </w:rPr>
        <w:t>law</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establishes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standard</w:t>
      </w:r>
      <w:r w:rsidRPr="00DD7BD1">
        <w:rPr>
          <w:rFonts w:cs="Calibri"/>
          <w:color w:val="auto"/>
          <w:spacing w:val="-4"/>
          <w:w w:val="110"/>
          <w:szCs w:val="22"/>
        </w:rPr>
        <w:t xml:space="preserve"> </w:t>
      </w:r>
      <w:r w:rsidRPr="00DD7BD1">
        <w:rPr>
          <w:rFonts w:cs="Calibri"/>
          <w:color w:val="auto"/>
          <w:w w:val="110"/>
          <w:szCs w:val="22"/>
        </w:rPr>
        <w:t>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4"/>
          <w:w w:val="110"/>
          <w:szCs w:val="22"/>
        </w:rPr>
        <w:t xml:space="preserve"> </w:t>
      </w:r>
      <w:r w:rsidRPr="00DD7BD1">
        <w:rPr>
          <w:rFonts w:cs="Calibri"/>
          <w:color w:val="auto"/>
          <w:w w:val="110"/>
          <w:szCs w:val="22"/>
        </w:rPr>
        <w:t>and overtime</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eligible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4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FLSA</w:t>
      </w:r>
      <w:r w:rsidRPr="00DD7BD1">
        <w:rPr>
          <w:rFonts w:cs="Calibri"/>
          <w:color w:val="auto"/>
          <w:spacing w:val="-8"/>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violate</w:t>
      </w:r>
      <w:r w:rsidRPr="00DD7BD1">
        <w:rPr>
          <w:rFonts w:cs="Calibri"/>
          <w:color w:val="auto"/>
          <w:spacing w:val="-7"/>
          <w:w w:val="110"/>
          <w:szCs w:val="22"/>
        </w:rPr>
        <w:t xml:space="preserve"> </w:t>
      </w:r>
      <w:r w:rsidRPr="00DD7BD1">
        <w:rPr>
          <w:rFonts w:cs="Calibri"/>
          <w:color w:val="auto"/>
          <w:w w:val="110"/>
          <w:szCs w:val="22"/>
        </w:rPr>
        <w:t>its</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can be</w:t>
      </w:r>
      <w:r w:rsidRPr="00DD7BD1">
        <w:rPr>
          <w:rFonts w:cs="Calibri"/>
          <w:color w:val="auto"/>
          <w:spacing w:val="-2"/>
          <w:w w:val="110"/>
          <w:szCs w:val="22"/>
        </w:rPr>
        <w:t xml:space="preserve"> </w:t>
      </w:r>
      <w:r w:rsidRPr="00DD7BD1">
        <w:rPr>
          <w:rFonts w:cs="Calibri"/>
          <w:color w:val="auto"/>
          <w:w w:val="110"/>
          <w:szCs w:val="22"/>
        </w:rPr>
        <w:t>held</w:t>
      </w:r>
      <w:r w:rsidRPr="00DD7BD1">
        <w:rPr>
          <w:rFonts w:cs="Calibri"/>
          <w:color w:val="auto"/>
          <w:spacing w:val="-1"/>
          <w:w w:val="110"/>
          <w:szCs w:val="22"/>
        </w:rPr>
        <w:t xml:space="preserve"> </w:t>
      </w:r>
      <w:r w:rsidRPr="00DD7BD1">
        <w:rPr>
          <w:rFonts w:cs="Calibri"/>
          <w:color w:val="auto"/>
          <w:w w:val="110"/>
          <w:szCs w:val="22"/>
        </w:rPr>
        <w:t>liable for</w:t>
      </w:r>
      <w:r w:rsidRPr="00DD7BD1">
        <w:rPr>
          <w:rFonts w:cs="Calibri"/>
          <w:color w:val="auto"/>
          <w:spacing w:val="-1"/>
          <w:w w:val="110"/>
          <w:szCs w:val="22"/>
        </w:rPr>
        <w:t xml:space="preserve"> </w:t>
      </w:r>
      <w:r w:rsidRPr="00DD7BD1">
        <w:rPr>
          <w:rFonts w:cs="Calibri"/>
          <w:color w:val="auto"/>
          <w:w w:val="110"/>
          <w:szCs w:val="22"/>
        </w:rPr>
        <w:t>liquidated</w:t>
      </w:r>
      <w:r w:rsidRPr="00DD7BD1">
        <w:rPr>
          <w:rFonts w:cs="Calibri"/>
          <w:color w:val="auto"/>
          <w:spacing w:val="-2"/>
          <w:w w:val="110"/>
          <w:szCs w:val="22"/>
        </w:rPr>
        <w:t xml:space="preserve"> </w:t>
      </w:r>
      <w:r w:rsidRPr="00DD7BD1">
        <w:rPr>
          <w:rFonts w:cs="Calibri"/>
          <w:color w:val="auto"/>
          <w:w w:val="110"/>
          <w:szCs w:val="22"/>
        </w:rPr>
        <w:t>(double) damages.</w:t>
      </w:r>
      <w:r w:rsidRPr="00DD7BD1">
        <w:rPr>
          <w:rFonts w:cs="Calibri"/>
          <w:color w:val="auto"/>
          <w:spacing w:val="-1"/>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1"/>
          <w:w w:val="110"/>
          <w:szCs w:val="22"/>
        </w:rPr>
        <w:t xml:space="preserve"> </w:t>
      </w:r>
      <w:r w:rsidRPr="00DD7BD1">
        <w:rPr>
          <w:rFonts w:cs="Calibri"/>
          <w:color w:val="auto"/>
          <w:w w:val="110"/>
          <w:szCs w:val="22"/>
        </w:rPr>
        <w:t>words,</w:t>
      </w:r>
      <w:r w:rsidRPr="00DD7BD1">
        <w:rPr>
          <w:rFonts w:cs="Calibri"/>
          <w:color w:val="auto"/>
          <w:spacing w:val="-1"/>
          <w:w w:val="110"/>
          <w:szCs w:val="22"/>
        </w:rPr>
        <w:t xml:space="preserve"> </w:t>
      </w:r>
      <w:r w:rsidRPr="00DD7BD1">
        <w:rPr>
          <w:rFonts w:cs="Calibri"/>
          <w:color w:val="auto"/>
          <w:w w:val="110"/>
          <w:szCs w:val="22"/>
        </w:rPr>
        <w:t>if</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employer</w:t>
      </w:r>
      <w:r w:rsidRPr="00DD7BD1">
        <w:rPr>
          <w:rFonts w:cs="Calibri"/>
          <w:color w:val="auto"/>
          <w:spacing w:val="-4"/>
          <w:w w:val="110"/>
          <w:szCs w:val="22"/>
        </w:rPr>
        <w:t xml:space="preserve"> </w:t>
      </w:r>
      <w:r w:rsidRPr="00DD7BD1">
        <w:rPr>
          <w:rFonts w:cs="Calibri"/>
          <w:color w:val="auto"/>
          <w:w w:val="110"/>
          <w:szCs w:val="22"/>
        </w:rPr>
        <w:t>shorts an employee</w:t>
      </w:r>
      <w:r w:rsidRPr="00DD7BD1">
        <w:rPr>
          <w:rFonts w:cs="Calibri"/>
          <w:color w:val="auto"/>
          <w:spacing w:val="-2"/>
          <w:w w:val="110"/>
          <w:szCs w:val="22"/>
        </w:rPr>
        <w:t xml:space="preserve"> </w:t>
      </w:r>
      <w:r w:rsidRPr="00DD7BD1">
        <w:rPr>
          <w:rFonts w:cs="Calibri"/>
          <w:color w:val="auto"/>
          <w:w w:val="110"/>
          <w:szCs w:val="22"/>
        </w:rPr>
        <w:t>$100</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w w:val="115"/>
          <w:szCs w:val="22"/>
        </w:rPr>
        <w:t>overtime</w:t>
      </w:r>
      <w:r w:rsidRPr="00DD7BD1">
        <w:rPr>
          <w:rFonts w:cs="Calibri"/>
          <w:color w:val="auto"/>
          <w:spacing w:val="-16"/>
          <w:w w:val="115"/>
          <w:szCs w:val="22"/>
        </w:rPr>
        <w:t xml:space="preserve"> </w:t>
      </w:r>
      <w:r w:rsidRPr="00DD7BD1">
        <w:rPr>
          <w:rFonts w:cs="Calibri"/>
          <w:color w:val="auto"/>
          <w:w w:val="115"/>
          <w:szCs w:val="22"/>
        </w:rPr>
        <w:t>pay,</w:t>
      </w:r>
      <w:r w:rsidRPr="00DD7BD1">
        <w:rPr>
          <w:rFonts w:cs="Calibri"/>
          <w:color w:val="auto"/>
          <w:spacing w:val="-14"/>
          <w:w w:val="115"/>
          <w:szCs w:val="22"/>
        </w:rPr>
        <w:t xml:space="preserve"> </w:t>
      </w:r>
      <w:r w:rsidRPr="00DD7BD1">
        <w:rPr>
          <w:rFonts w:cs="Calibri"/>
          <w:color w:val="auto"/>
          <w:w w:val="115"/>
          <w:szCs w:val="22"/>
        </w:rPr>
        <w:t>it</w:t>
      </w:r>
      <w:r w:rsidRPr="00DD7BD1">
        <w:rPr>
          <w:rFonts w:cs="Calibri"/>
          <w:color w:val="auto"/>
          <w:spacing w:val="-14"/>
          <w:w w:val="115"/>
          <w:szCs w:val="22"/>
        </w:rPr>
        <w:t xml:space="preserve"> </w:t>
      </w:r>
      <w:r w:rsidRPr="00DD7BD1">
        <w:rPr>
          <w:rFonts w:cs="Calibri"/>
          <w:color w:val="auto"/>
          <w:w w:val="115"/>
          <w:szCs w:val="22"/>
        </w:rPr>
        <w:t>faces</w:t>
      </w:r>
      <w:r w:rsidRPr="00DD7BD1">
        <w:rPr>
          <w:rFonts w:cs="Calibri"/>
          <w:color w:val="auto"/>
          <w:spacing w:val="-14"/>
          <w:w w:val="115"/>
          <w:szCs w:val="22"/>
        </w:rPr>
        <w:t xml:space="preserve"> </w:t>
      </w:r>
      <w:r w:rsidRPr="00DD7BD1">
        <w:rPr>
          <w:rFonts w:cs="Calibri"/>
          <w:color w:val="auto"/>
          <w:w w:val="115"/>
          <w:szCs w:val="22"/>
        </w:rPr>
        <w:t>a</w:t>
      </w:r>
      <w:r w:rsidRPr="00DD7BD1">
        <w:rPr>
          <w:rFonts w:cs="Calibri"/>
          <w:color w:val="auto"/>
          <w:spacing w:val="-16"/>
          <w:w w:val="115"/>
          <w:szCs w:val="22"/>
        </w:rPr>
        <w:t xml:space="preserve"> </w:t>
      </w:r>
      <w:r w:rsidRPr="00DD7BD1">
        <w:rPr>
          <w:rFonts w:cs="Calibri"/>
          <w:color w:val="auto"/>
          <w:w w:val="115"/>
          <w:szCs w:val="22"/>
        </w:rPr>
        <w:t>potential</w:t>
      </w:r>
      <w:r w:rsidRPr="00DD7BD1">
        <w:rPr>
          <w:rFonts w:cs="Calibri"/>
          <w:color w:val="auto"/>
          <w:spacing w:val="-17"/>
          <w:w w:val="115"/>
          <w:szCs w:val="22"/>
        </w:rPr>
        <w:t xml:space="preserve"> </w:t>
      </w:r>
      <w:r w:rsidRPr="00DD7BD1">
        <w:rPr>
          <w:rFonts w:cs="Calibri"/>
          <w:color w:val="auto"/>
          <w:w w:val="115"/>
          <w:szCs w:val="22"/>
        </w:rPr>
        <w:t>$200</w:t>
      </w:r>
      <w:r w:rsidRPr="00DD7BD1">
        <w:rPr>
          <w:rFonts w:cs="Calibri"/>
          <w:color w:val="auto"/>
          <w:spacing w:val="-13"/>
          <w:w w:val="115"/>
          <w:szCs w:val="22"/>
        </w:rPr>
        <w:t xml:space="preserve"> </w:t>
      </w:r>
      <w:r w:rsidRPr="00DD7BD1">
        <w:rPr>
          <w:rFonts w:cs="Calibri"/>
          <w:color w:val="auto"/>
          <w:w w:val="115"/>
          <w:szCs w:val="22"/>
        </w:rPr>
        <w:t>liability.</w:t>
      </w:r>
    </w:p>
    <w:p w14:paraId="2E9E6F7F" w14:textId="77777777" w:rsidR="00E43496" w:rsidRPr="00DD7BD1" w:rsidRDefault="00E43496" w:rsidP="00E43496">
      <w:pPr>
        <w:pStyle w:val="BodyText"/>
        <w:spacing w:after="0" w:line="240" w:lineRule="auto"/>
        <w:ind w:right="-90"/>
        <w:jc w:val="left"/>
        <w:rPr>
          <w:rFonts w:cs="Calibri"/>
          <w:color w:val="auto"/>
          <w:sz w:val="16"/>
          <w:szCs w:val="16"/>
        </w:rPr>
      </w:pPr>
    </w:p>
    <w:p w14:paraId="0F28367A"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past,</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DOL</w:t>
      </w:r>
      <w:r w:rsidRPr="00DD7BD1">
        <w:rPr>
          <w:rFonts w:cs="Calibri"/>
          <w:color w:val="auto"/>
          <w:spacing w:val="-12"/>
          <w:w w:val="110"/>
          <w:szCs w:val="22"/>
        </w:rPr>
        <w:t xml:space="preserve"> </w:t>
      </w:r>
      <w:r w:rsidRPr="00DD7BD1">
        <w:rPr>
          <w:rFonts w:cs="Calibri"/>
          <w:color w:val="auto"/>
          <w:w w:val="110"/>
          <w:szCs w:val="22"/>
        </w:rPr>
        <w:t>determined</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business</w:t>
      </w:r>
      <w:r w:rsidRPr="00DD7BD1">
        <w:rPr>
          <w:rFonts w:cs="Calibri"/>
          <w:color w:val="auto"/>
          <w:spacing w:val="-12"/>
          <w:w w:val="110"/>
          <w:szCs w:val="22"/>
        </w:rPr>
        <w:t xml:space="preserve"> </w:t>
      </w:r>
      <w:r w:rsidRPr="00DD7BD1">
        <w:rPr>
          <w:rFonts w:cs="Calibri"/>
          <w:color w:val="auto"/>
          <w:w w:val="110"/>
          <w:szCs w:val="22"/>
        </w:rPr>
        <w:t>owed</w:t>
      </w:r>
      <w:r w:rsidRPr="00DD7BD1">
        <w:rPr>
          <w:rFonts w:cs="Calibri"/>
          <w:color w:val="auto"/>
          <w:spacing w:val="-10"/>
          <w:w w:val="110"/>
          <w:szCs w:val="22"/>
        </w:rPr>
        <w:t xml:space="preserve"> </w:t>
      </w:r>
      <w:r w:rsidRPr="00DD7BD1">
        <w:rPr>
          <w:rFonts w:cs="Calibri"/>
          <w:color w:val="auto"/>
          <w:w w:val="110"/>
          <w:szCs w:val="22"/>
        </w:rPr>
        <w:t>workers</w:t>
      </w:r>
      <w:r w:rsidRPr="00DD7BD1">
        <w:rPr>
          <w:rFonts w:cs="Calibri"/>
          <w:color w:val="auto"/>
          <w:spacing w:val="-12"/>
          <w:w w:val="110"/>
          <w:szCs w:val="22"/>
        </w:rPr>
        <w:t xml:space="preserve"> </w:t>
      </w:r>
      <w:r w:rsidRPr="00DD7BD1">
        <w:rPr>
          <w:rFonts w:cs="Calibri"/>
          <w:color w:val="auto"/>
          <w:w w:val="110"/>
          <w:szCs w:val="22"/>
        </w:rPr>
        <w:t>unpaid</w:t>
      </w:r>
      <w:r w:rsidRPr="00DD7BD1">
        <w:rPr>
          <w:rFonts w:cs="Calibri"/>
          <w:color w:val="auto"/>
          <w:spacing w:val="-10"/>
          <w:w w:val="110"/>
          <w:szCs w:val="22"/>
        </w:rPr>
        <w:t xml:space="preserve"> </w:t>
      </w:r>
      <w:r w:rsidRPr="00DD7BD1">
        <w:rPr>
          <w:rFonts w:cs="Calibri"/>
          <w:color w:val="auto"/>
          <w:w w:val="110"/>
          <w:szCs w:val="22"/>
        </w:rPr>
        <w:t>wages,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DOL</w:t>
      </w:r>
      <w:r w:rsidRPr="00DD7BD1">
        <w:rPr>
          <w:rFonts w:cs="Calibri"/>
          <w:color w:val="auto"/>
          <w:spacing w:val="-10"/>
          <w:w w:val="110"/>
          <w:szCs w:val="22"/>
        </w:rPr>
        <w:t xml:space="preserve"> </w:t>
      </w:r>
      <w:r w:rsidRPr="00DD7BD1">
        <w:rPr>
          <w:rFonts w:cs="Calibri"/>
          <w:color w:val="auto"/>
          <w:w w:val="110"/>
          <w:szCs w:val="22"/>
        </w:rPr>
        <w:t>sought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0"/>
          <w:w w:val="110"/>
          <w:szCs w:val="22"/>
        </w:rPr>
        <w:t xml:space="preserve"> </w:t>
      </w:r>
      <w:r w:rsidRPr="00DD7BD1">
        <w:rPr>
          <w:rFonts w:cs="Calibri"/>
          <w:color w:val="auto"/>
          <w:w w:val="110"/>
          <w:szCs w:val="22"/>
        </w:rPr>
        <w:t xml:space="preserve">the </w:t>
      </w:r>
      <w:r w:rsidRPr="00DD7BD1">
        <w:rPr>
          <w:rFonts w:cs="Calibri"/>
          <w:color w:val="auto"/>
          <w:w w:val="115"/>
          <w:szCs w:val="22"/>
        </w:rPr>
        <w:t>offending</w:t>
      </w:r>
      <w:r w:rsidRPr="00DD7BD1">
        <w:rPr>
          <w:rFonts w:cs="Calibri"/>
          <w:color w:val="auto"/>
          <w:spacing w:val="-17"/>
          <w:w w:val="115"/>
          <w:szCs w:val="22"/>
        </w:rPr>
        <w:t xml:space="preserve"> </w:t>
      </w:r>
      <w:r w:rsidRPr="00DD7BD1">
        <w:rPr>
          <w:rFonts w:cs="Calibri"/>
          <w:color w:val="auto"/>
          <w:w w:val="115"/>
          <w:szCs w:val="22"/>
        </w:rPr>
        <w:t>business</w:t>
      </w:r>
      <w:r w:rsidRPr="00DD7BD1">
        <w:rPr>
          <w:rFonts w:cs="Calibri"/>
          <w:color w:val="auto"/>
          <w:spacing w:val="-18"/>
          <w:w w:val="115"/>
          <w:szCs w:val="22"/>
        </w:rPr>
        <w:t xml:space="preserve"> </w:t>
      </w:r>
      <w:r w:rsidRPr="00DD7BD1">
        <w:rPr>
          <w:rFonts w:cs="Calibri"/>
          <w:color w:val="auto"/>
          <w:w w:val="115"/>
          <w:szCs w:val="22"/>
        </w:rPr>
        <w:t>pay</w:t>
      </w:r>
      <w:r w:rsidRPr="00DD7BD1">
        <w:rPr>
          <w:rFonts w:cs="Calibri"/>
          <w:color w:val="auto"/>
          <w:spacing w:val="-18"/>
          <w:w w:val="115"/>
          <w:szCs w:val="22"/>
        </w:rPr>
        <w:t xml:space="preserve"> </w:t>
      </w:r>
      <w:r w:rsidRPr="00DD7BD1">
        <w:rPr>
          <w:rFonts w:cs="Calibri"/>
          <w:color w:val="auto"/>
          <w:w w:val="115"/>
          <w:szCs w:val="22"/>
        </w:rPr>
        <w:t>out</w:t>
      </w:r>
      <w:r w:rsidRPr="00DD7BD1">
        <w:rPr>
          <w:rFonts w:cs="Calibri"/>
          <w:color w:val="auto"/>
          <w:spacing w:val="-16"/>
          <w:w w:val="115"/>
          <w:szCs w:val="22"/>
        </w:rPr>
        <w:t xml:space="preserve"> </w:t>
      </w:r>
      <w:r w:rsidRPr="00DD7BD1">
        <w:rPr>
          <w:rFonts w:cs="Calibri"/>
          <w:color w:val="auto"/>
          <w:w w:val="115"/>
          <w:szCs w:val="22"/>
        </w:rPr>
        <w:t>those</w:t>
      </w:r>
      <w:r w:rsidRPr="00DD7BD1">
        <w:rPr>
          <w:rFonts w:cs="Calibri"/>
          <w:color w:val="auto"/>
          <w:spacing w:val="-16"/>
          <w:w w:val="115"/>
          <w:szCs w:val="22"/>
        </w:rPr>
        <w:t xml:space="preserve"> </w:t>
      </w:r>
      <w:r w:rsidRPr="00DD7BD1">
        <w:rPr>
          <w:rFonts w:cs="Calibri"/>
          <w:color w:val="auto"/>
          <w:w w:val="115"/>
          <w:szCs w:val="22"/>
        </w:rPr>
        <w:t>wages,</w:t>
      </w:r>
      <w:r w:rsidRPr="00DD7BD1">
        <w:rPr>
          <w:rFonts w:cs="Calibri"/>
          <w:color w:val="auto"/>
          <w:spacing w:val="-19"/>
          <w:w w:val="115"/>
          <w:szCs w:val="22"/>
        </w:rPr>
        <w:t xml:space="preserve"> </w:t>
      </w:r>
      <w:r w:rsidRPr="00DD7BD1">
        <w:rPr>
          <w:rFonts w:cs="Calibri"/>
          <w:color w:val="auto"/>
          <w:w w:val="115"/>
          <w:szCs w:val="22"/>
        </w:rPr>
        <w:t>plus</w:t>
      </w:r>
      <w:r w:rsidRPr="00DD7BD1">
        <w:rPr>
          <w:rFonts w:cs="Calibri"/>
          <w:color w:val="auto"/>
          <w:spacing w:val="-15"/>
          <w:w w:val="115"/>
          <w:szCs w:val="22"/>
        </w:rPr>
        <w:t xml:space="preserve"> </w:t>
      </w:r>
      <w:r w:rsidRPr="00DD7BD1">
        <w:rPr>
          <w:rFonts w:cs="Calibri"/>
          <w:color w:val="auto"/>
          <w:w w:val="115"/>
          <w:szCs w:val="22"/>
        </w:rPr>
        <w:t>an</w:t>
      </w:r>
      <w:r w:rsidRPr="00DD7BD1">
        <w:rPr>
          <w:rFonts w:cs="Calibri"/>
          <w:color w:val="auto"/>
          <w:spacing w:val="-18"/>
          <w:w w:val="115"/>
          <w:szCs w:val="22"/>
        </w:rPr>
        <w:t xml:space="preserve"> </w:t>
      </w:r>
      <w:r w:rsidRPr="00DD7BD1">
        <w:rPr>
          <w:rFonts w:cs="Calibri"/>
          <w:color w:val="auto"/>
          <w:w w:val="115"/>
          <w:szCs w:val="22"/>
        </w:rPr>
        <w:t>equal</w:t>
      </w:r>
      <w:r w:rsidRPr="00DD7BD1">
        <w:rPr>
          <w:rFonts w:cs="Calibri"/>
          <w:color w:val="auto"/>
          <w:spacing w:val="-18"/>
          <w:w w:val="115"/>
          <w:szCs w:val="22"/>
        </w:rPr>
        <w:t xml:space="preserve"> </w:t>
      </w:r>
      <w:r w:rsidRPr="00DD7BD1">
        <w:rPr>
          <w:rFonts w:cs="Calibri"/>
          <w:color w:val="auto"/>
          <w:w w:val="115"/>
          <w:szCs w:val="22"/>
        </w:rPr>
        <w:t>amount</w:t>
      </w:r>
      <w:r w:rsidRPr="00DD7BD1">
        <w:rPr>
          <w:rFonts w:cs="Calibri"/>
          <w:color w:val="auto"/>
          <w:spacing w:val="-17"/>
          <w:w w:val="115"/>
          <w:szCs w:val="22"/>
        </w:rPr>
        <w:t xml:space="preserve"> </w:t>
      </w:r>
      <w:r w:rsidRPr="00DD7BD1">
        <w:rPr>
          <w:rFonts w:cs="Calibri"/>
          <w:color w:val="auto"/>
          <w:w w:val="115"/>
          <w:szCs w:val="22"/>
        </w:rPr>
        <w:t>as</w:t>
      </w:r>
      <w:r w:rsidRPr="00DD7BD1">
        <w:rPr>
          <w:rFonts w:cs="Calibri"/>
          <w:color w:val="auto"/>
          <w:spacing w:val="-16"/>
          <w:w w:val="115"/>
          <w:szCs w:val="22"/>
        </w:rPr>
        <w:t xml:space="preserve"> </w:t>
      </w:r>
      <w:r w:rsidRPr="00DD7BD1">
        <w:rPr>
          <w:rFonts w:cs="Calibri"/>
          <w:color w:val="auto"/>
          <w:w w:val="115"/>
          <w:szCs w:val="22"/>
        </w:rPr>
        <w:t>liquidated</w:t>
      </w:r>
      <w:r w:rsidRPr="00DD7BD1">
        <w:rPr>
          <w:rFonts w:cs="Calibri"/>
          <w:color w:val="auto"/>
          <w:spacing w:val="-16"/>
          <w:w w:val="115"/>
          <w:szCs w:val="22"/>
        </w:rPr>
        <w:t xml:space="preserve"> </w:t>
      </w:r>
      <w:r w:rsidRPr="00DD7BD1">
        <w:rPr>
          <w:rFonts w:cs="Calibri"/>
          <w:color w:val="auto"/>
          <w:w w:val="115"/>
          <w:szCs w:val="22"/>
        </w:rPr>
        <w:t>damages.</w:t>
      </w:r>
      <w:r w:rsidRPr="00DD7BD1">
        <w:rPr>
          <w:rFonts w:cs="Calibri"/>
          <w:color w:val="auto"/>
          <w:spacing w:val="40"/>
          <w:w w:val="115"/>
          <w:szCs w:val="22"/>
        </w:rPr>
        <w:t xml:space="preserve"> </w:t>
      </w:r>
      <w:r w:rsidRPr="00DD7BD1">
        <w:rPr>
          <w:rFonts w:cs="Calibri"/>
          <w:color w:val="auto"/>
          <w:w w:val="115"/>
          <w:szCs w:val="22"/>
        </w:rPr>
        <w:t>As</w:t>
      </w:r>
      <w:r w:rsidRPr="00DD7BD1">
        <w:rPr>
          <w:rFonts w:cs="Calibri"/>
          <w:color w:val="auto"/>
          <w:spacing w:val="-18"/>
          <w:w w:val="115"/>
          <w:szCs w:val="22"/>
        </w:rPr>
        <w:t xml:space="preserve"> </w:t>
      </w:r>
      <w:r w:rsidRPr="00DD7BD1">
        <w:rPr>
          <w:rFonts w:cs="Calibri"/>
          <w:color w:val="auto"/>
          <w:w w:val="115"/>
          <w:szCs w:val="22"/>
        </w:rPr>
        <w:t>of</w:t>
      </w:r>
      <w:r w:rsidRPr="00DD7BD1">
        <w:rPr>
          <w:rFonts w:cs="Calibri"/>
          <w:color w:val="auto"/>
          <w:spacing w:val="-18"/>
          <w:w w:val="115"/>
          <w:szCs w:val="22"/>
        </w:rPr>
        <w:t xml:space="preserve"> </w:t>
      </w:r>
      <w:r w:rsidRPr="00DD7BD1">
        <w:rPr>
          <w:rFonts w:cs="Calibri"/>
          <w:color w:val="auto"/>
          <w:w w:val="115"/>
          <w:szCs w:val="22"/>
        </w:rPr>
        <w:t>June</w:t>
      </w:r>
      <w:r w:rsidRPr="00DD7BD1">
        <w:rPr>
          <w:rFonts w:cs="Calibri"/>
          <w:color w:val="auto"/>
          <w:spacing w:val="-18"/>
          <w:w w:val="115"/>
          <w:szCs w:val="22"/>
        </w:rPr>
        <w:t xml:space="preserve"> </w:t>
      </w:r>
      <w:r w:rsidRPr="00DD7BD1">
        <w:rPr>
          <w:rFonts w:cs="Calibri"/>
          <w:color w:val="auto"/>
          <w:w w:val="115"/>
          <w:szCs w:val="22"/>
        </w:rPr>
        <w:t>27,</w:t>
      </w:r>
      <w:r w:rsidRPr="00DD7BD1">
        <w:rPr>
          <w:rFonts w:cs="Calibri"/>
          <w:color w:val="auto"/>
          <w:spacing w:val="-18"/>
          <w:w w:val="115"/>
          <w:szCs w:val="22"/>
        </w:rPr>
        <w:t xml:space="preserve"> </w:t>
      </w:r>
      <w:r w:rsidRPr="00DD7BD1">
        <w:rPr>
          <w:rFonts w:cs="Calibri"/>
          <w:color w:val="auto"/>
          <w:w w:val="115"/>
          <w:szCs w:val="22"/>
        </w:rPr>
        <w:t xml:space="preserve">2025, </w:t>
      </w:r>
      <w:r w:rsidRPr="00DD7BD1">
        <w:rPr>
          <w:rFonts w:cs="Calibri"/>
          <w:color w:val="auto"/>
          <w:spacing w:val="-2"/>
          <w:w w:val="115"/>
          <w:szCs w:val="22"/>
        </w:rPr>
        <w:t>that</w:t>
      </w:r>
      <w:r w:rsidRPr="00DD7BD1">
        <w:rPr>
          <w:rFonts w:cs="Calibri"/>
          <w:color w:val="auto"/>
          <w:spacing w:val="-13"/>
          <w:w w:val="115"/>
          <w:szCs w:val="22"/>
        </w:rPr>
        <w:t xml:space="preserve"> </w:t>
      </w:r>
      <w:r w:rsidRPr="00DD7BD1">
        <w:rPr>
          <w:rFonts w:cs="Calibri"/>
          <w:color w:val="auto"/>
          <w:spacing w:val="-2"/>
          <w:w w:val="115"/>
          <w:szCs w:val="22"/>
        </w:rPr>
        <w:t>practice</w:t>
      </w:r>
      <w:r w:rsidRPr="00DD7BD1">
        <w:rPr>
          <w:rFonts w:cs="Calibri"/>
          <w:color w:val="auto"/>
          <w:spacing w:val="-12"/>
          <w:w w:val="115"/>
          <w:szCs w:val="22"/>
        </w:rPr>
        <w:t xml:space="preserve"> </w:t>
      </w:r>
      <w:r w:rsidRPr="00DD7BD1">
        <w:rPr>
          <w:rFonts w:cs="Calibri"/>
          <w:color w:val="auto"/>
          <w:spacing w:val="-2"/>
          <w:w w:val="115"/>
          <w:szCs w:val="22"/>
        </w:rPr>
        <w:t>has</w:t>
      </w:r>
      <w:r w:rsidRPr="00DD7BD1">
        <w:rPr>
          <w:rFonts w:cs="Calibri"/>
          <w:color w:val="auto"/>
          <w:spacing w:val="-14"/>
          <w:w w:val="115"/>
          <w:szCs w:val="22"/>
        </w:rPr>
        <w:t xml:space="preserve"> </w:t>
      </w:r>
      <w:r w:rsidRPr="00DD7BD1">
        <w:rPr>
          <w:rFonts w:cs="Calibri"/>
          <w:color w:val="auto"/>
          <w:spacing w:val="-2"/>
          <w:w w:val="115"/>
          <w:szCs w:val="22"/>
        </w:rPr>
        <w:t>come</w:t>
      </w:r>
      <w:r w:rsidRPr="00DD7BD1">
        <w:rPr>
          <w:rFonts w:cs="Calibri"/>
          <w:color w:val="auto"/>
          <w:spacing w:val="-12"/>
          <w:w w:val="115"/>
          <w:szCs w:val="22"/>
        </w:rPr>
        <w:t xml:space="preserve"> </w:t>
      </w:r>
      <w:r w:rsidRPr="00DD7BD1">
        <w:rPr>
          <w:rFonts w:cs="Calibri"/>
          <w:color w:val="auto"/>
          <w:spacing w:val="-2"/>
          <w:w w:val="115"/>
          <w:szCs w:val="22"/>
        </w:rPr>
        <w:t>to</w:t>
      </w:r>
      <w:r w:rsidRPr="00DD7BD1">
        <w:rPr>
          <w:rFonts w:cs="Calibri"/>
          <w:color w:val="auto"/>
          <w:spacing w:val="-12"/>
          <w:w w:val="115"/>
          <w:szCs w:val="22"/>
        </w:rPr>
        <w:t xml:space="preserve"> </w:t>
      </w:r>
      <w:r w:rsidRPr="00DD7BD1">
        <w:rPr>
          <w:rFonts w:cs="Calibri"/>
          <w:color w:val="auto"/>
          <w:spacing w:val="-2"/>
          <w:w w:val="115"/>
          <w:szCs w:val="22"/>
        </w:rPr>
        <w:t>an</w:t>
      </w:r>
      <w:r w:rsidRPr="00DD7BD1">
        <w:rPr>
          <w:rFonts w:cs="Calibri"/>
          <w:color w:val="auto"/>
          <w:spacing w:val="-14"/>
          <w:w w:val="115"/>
          <w:szCs w:val="22"/>
        </w:rPr>
        <w:t xml:space="preserve"> </w:t>
      </w:r>
      <w:r w:rsidRPr="00DD7BD1">
        <w:rPr>
          <w:rFonts w:cs="Calibri"/>
          <w:color w:val="auto"/>
          <w:spacing w:val="-2"/>
          <w:w w:val="115"/>
          <w:szCs w:val="22"/>
        </w:rPr>
        <w:t>end</w:t>
      </w:r>
      <w:r w:rsidRPr="00DD7BD1">
        <w:rPr>
          <w:rFonts w:cs="Calibri"/>
          <w:color w:val="auto"/>
          <w:spacing w:val="-9"/>
          <w:w w:val="115"/>
          <w:szCs w:val="22"/>
        </w:rPr>
        <w:t xml:space="preserve"> </w:t>
      </w:r>
      <w:r w:rsidRPr="00DD7BD1">
        <w:rPr>
          <w:rFonts w:cs="Calibri"/>
          <w:color w:val="auto"/>
          <w:spacing w:val="-2"/>
          <w:w w:val="115"/>
          <w:szCs w:val="22"/>
        </w:rPr>
        <w:t>with</w:t>
      </w:r>
      <w:r w:rsidRPr="00DD7BD1">
        <w:rPr>
          <w:rFonts w:cs="Calibri"/>
          <w:color w:val="auto"/>
          <w:spacing w:val="-14"/>
          <w:w w:val="115"/>
          <w:szCs w:val="22"/>
        </w:rPr>
        <w:t xml:space="preserve"> </w:t>
      </w:r>
      <w:r w:rsidRPr="00DD7BD1">
        <w:rPr>
          <w:rFonts w:cs="Calibri"/>
          <w:color w:val="auto"/>
          <w:spacing w:val="-2"/>
          <w:w w:val="115"/>
          <w:szCs w:val="22"/>
        </w:rPr>
        <w:t>the</w:t>
      </w:r>
      <w:r w:rsidRPr="00DD7BD1">
        <w:rPr>
          <w:rFonts w:cs="Calibri"/>
          <w:color w:val="auto"/>
          <w:spacing w:val="-12"/>
          <w:w w:val="115"/>
          <w:szCs w:val="22"/>
        </w:rPr>
        <w:t xml:space="preserve"> </w:t>
      </w:r>
      <w:r w:rsidRPr="00DD7BD1">
        <w:rPr>
          <w:rFonts w:cs="Calibri"/>
          <w:color w:val="auto"/>
          <w:spacing w:val="-2"/>
          <w:w w:val="115"/>
          <w:szCs w:val="22"/>
        </w:rPr>
        <w:t>DOL</w:t>
      </w:r>
      <w:r w:rsidRPr="00DD7BD1">
        <w:rPr>
          <w:rFonts w:cs="Calibri"/>
          <w:color w:val="auto"/>
          <w:spacing w:val="-11"/>
          <w:w w:val="115"/>
          <w:szCs w:val="22"/>
        </w:rPr>
        <w:t xml:space="preserve"> </w:t>
      </w:r>
      <w:r w:rsidRPr="00DD7BD1">
        <w:rPr>
          <w:rFonts w:cs="Calibri"/>
          <w:color w:val="auto"/>
          <w:spacing w:val="-2"/>
          <w:w w:val="115"/>
          <w:szCs w:val="22"/>
        </w:rPr>
        <w:t>issuing</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5"/>
          <w:w w:val="115"/>
          <w:szCs w:val="22"/>
        </w:rPr>
        <w:t xml:space="preserve"> </w:t>
      </w:r>
      <w:hyperlink r:id="rId308">
        <w:r w:rsidRPr="00DD7BD1">
          <w:rPr>
            <w:rFonts w:cs="Calibri"/>
            <w:color w:val="0000FF"/>
            <w:spacing w:val="-2"/>
            <w:w w:val="115"/>
            <w:szCs w:val="22"/>
            <w:u w:val="single" w:color="0000FF"/>
          </w:rPr>
          <w:t>Field</w:t>
        </w:r>
        <w:r w:rsidRPr="00DD7BD1">
          <w:rPr>
            <w:rFonts w:cs="Calibri"/>
            <w:color w:val="0000FF"/>
            <w:spacing w:val="-12"/>
            <w:w w:val="115"/>
            <w:szCs w:val="22"/>
            <w:u w:val="single" w:color="0000FF"/>
          </w:rPr>
          <w:t xml:space="preserve"> </w:t>
        </w:r>
        <w:r w:rsidRPr="00DD7BD1">
          <w:rPr>
            <w:rFonts w:cs="Calibri"/>
            <w:color w:val="0000FF"/>
            <w:spacing w:val="-2"/>
            <w:w w:val="115"/>
            <w:szCs w:val="22"/>
            <w:u w:val="single" w:color="0000FF"/>
          </w:rPr>
          <w:t>Assistance</w:t>
        </w:r>
        <w:r w:rsidRPr="00DD7BD1">
          <w:rPr>
            <w:rFonts w:cs="Calibri"/>
            <w:color w:val="0000FF"/>
            <w:spacing w:val="-14"/>
            <w:w w:val="115"/>
            <w:szCs w:val="22"/>
            <w:u w:val="single" w:color="0000FF"/>
          </w:rPr>
          <w:t xml:space="preserve"> </w:t>
        </w:r>
        <w:r w:rsidRPr="00DD7BD1">
          <w:rPr>
            <w:rFonts w:cs="Calibri"/>
            <w:color w:val="0000FF"/>
            <w:spacing w:val="-2"/>
            <w:w w:val="115"/>
            <w:szCs w:val="22"/>
            <w:u w:val="single" w:color="0000FF"/>
          </w:rPr>
          <w:t>Bulletin</w:t>
        </w:r>
      </w:hyperlink>
      <w:r w:rsidRPr="00DD7BD1">
        <w:rPr>
          <w:rFonts w:cs="Calibri"/>
          <w:color w:val="0000FF"/>
          <w:spacing w:val="-11"/>
          <w:w w:val="115"/>
          <w:szCs w:val="22"/>
        </w:rPr>
        <w:t xml:space="preserve"> </w:t>
      </w:r>
      <w:r w:rsidRPr="00DD7BD1">
        <w:rPr>
          <w:rFonts w:cs="Calibri"/>
          <w:color w:val="auto"/>
          <w:spacing w:val="-2"/>
          <w:w w:val="115"/>
          <w:szCs w:val="22"/>
        </w:rPr>
        <w:t>advising</w:t>
      </w:r>
      <w:r w:rsidRPr="00DD7BD1">
        <w:rPr>
          <w:rFonts w:cs="Calibri"/>
          <w:color w:val="auto"/>
          <w:spacing w:val="-12"/>
          <w:w w:val="115"/>
          <w:szCs w:val="22"/>
        </w:rPr>
        <w:t xml:space="preserve"> </w:t>
      </w:r>
      <w:r w:rsidRPr="00DD7BD1">
        <w:rPr>
          <w:rFonts w:cs="Calibri"/>
          <w:color w:val="auto"/>
          <w:spacing w:val="-2"/>
          <w:w w:val="115"/>
          <w:szCs w:val="22"/>
        </w:rPr>
        <w:t>that</w:t>
      </w:r>
      <w:r w:rsidRPr="00DD7BD1">
        <w:rPr>
          <w:rFonts w:cs="Calibri"/>
          <w:color w:val="auto"/>
          <w:spacing w:val="-16"/>
          <w:w w:val="115"/>
          <w:szCs w:val="22"/>
        </w:rPr>
        <w:t xml:space="preserve"> </w:t>
      </w:r>
      <w:r w:rsidRPr="00DD7BD1">
        <w:rPr>
          <w:rFonts w:cs="Calibri"/>
          <w:color w:val="auto"/>
          <w:spacing w:val="-2"/>
          <w:w w:val="115"/>
          <w:szCs w:val="22"/>
        </w:rPr>
        <w:t>the</w:t>
      </w:r>
      <w:r w:rsidRPr="00DD7BD1">
        <w:rPr>
          <w:rFonts w:cs="Calibri"/>
          <w:color w:val="auto"/>
          <w:spacing w:val="-15"/>
          <w:w w:val="115"/>
          <w:szCs w:val="22"/>
        </w:rPr>
        <w:t xml:space="preserve"> </w:t>
      </w:r>
      <w:r w:rsidRPr="00DD7BD1">
        <w:rPr>
          <w:rFonts w:cs="Calibri"/>
          <w:color w:val="auto"/>
          <w:spacing w:val="-2"/>
          <w:w w:val="115"/>
          <w:szCs w:val="22"/>
        </w:rPr>
        <w:t xml:space="preserve">agency </w:t>
      </w:r>
      <w:r w:rsidRPr="00DD7BD1">
        <w:rPr>
          <w:rFonts w:cs="Calibri"/>
          <w:color w:val="auto"/>
          <w:w w:val="115"/>
          <w:szCs w:val="22"/>
        </w:rPr>
        <w:t>would</w:t>
      </w:r>
      <w:r w:rsidRPr="00DD7BD1">
        <w:rPr>
          <w:rFonts w:cs="Calibri"/>
          <w:color w:val="auto"/>
          <w:spacing w:val="-14"/>
          <w:w w:val="115"/>
          <w:szCs w:val="22"/>
        </w:rPr>
        <w:t xml:space="preserve"> </w:t>
      </w:r>
      <w:r w:rsidRPr="00DD7BD1">
        <w:rPr>
          <w:rFonts w:cs="Calibri"/>
          <w:color w:val="auto"/>
          <w:w w:val="115"/>
          <w:szCs w:val="22"/>
        </w:rPr>
        <w:t>no</w:t>
      </w:r>
      <w:r w:rsidRPr="00DD7BD1">
        <w:rPr>
          <w:rFonts w:cs="Calibri"/>
          <w:color w:val="auto"/>
          <w:spacing w:val="-11"/>
          <w:w w:val="115"/>
          <w:szCs w:val="22"/>
        </w:rPr>
        <w:t xml:space="preserve"> </w:t>
      </w:r>
      <w:r w:rsidRPr="00DD7BD1">
        <w:rPr>
          <w:rFonts w:cs="Calibri"/>
          <w:color w:val="auto"/>
          <w:w w:val="115"/>
          <w:szCs w:val="22"/>
        </w:rPr>
        <w:t>longer</w:t>
      </w:r>
      <w:r w:rsidRPr="00DD7BD1">
        <w:rPr>
          <w:rFonts w:cs="Calibri"/>
          <w:color w:val="auto"/>
          <w:spacing w:val="-14"/>
          <w:w w:val="115"/>
          <w:szCs w:val="22"/>
        </w:rPr>
        <w:t xml:space="preserve"> </w:t>
      </w:r>
      <w:r w:rsidRPr="00DD7BD1">
        <w:rPr>
          <w:rFonts w:cs="Calibri"/>
          <w:color w:val="auto"/>
          <w:w w:val="115"/>
          <w:szCs w:val="22"/>
        </w:rPr>
        <w:t>seek</w:t>
      </w:r>
      <w:r w:rsidRPr="00DD7BD1">
        <w:rPr>
          <w:rFonts w:cs="Calibri"/>
          <w:color w:val="auto"/>
          <w:spacing w:val="-11"/>
          <w:w w:val="115"/>
          <w:szCs w:val="22"/>
        </w:rPr>
        <w:t xml:space="preserve"> </w:t>
      </w:r>
      <w:r w:rsidRPr="00DD7BD1">
        <w:rPr>
          <w:rFonts w:cs="Calibri"/>
          <w:color w:val="auto"/>
          <w:w w:val="115"/>
          <w:szCs w:val="22"/>
        </w:rPr>
        <w:t>liquidated</w:t>
      </w:r>
      <w:r w:rsidRPr="00DD7BD1">
        <w:rPr>
          <w:rFonts w:cs="Calibri"/>
          <w:color w:val="auto"/>
          <w:spacing w:val="-13"/>
          <w:w w:val="115"/>
          <w:szCs w:val="22"/>
        </w:rPr>
        <w:t xml:space="preserve"> </w:t>
      </w:r>
      <w:r w:rsidRPr="00DD7BD1">
        <w:rPr>
          <w:rFonts w:cs="Calibri"/>
          <w:color w:val="auto"/>
          <w:w w:val="115"/>
          <w:szCs w:val="22"/>
        </w:rPr>
        <w:t>damages</w:t>
      </w:r>
      <w:r w:rsidRPr="00DD7BD1">
        <w:rPr>
          <w:rFonts w:cs="Calibri"/>
          <w:color w:val="auto"/>
          <w:spacing w:val="-12"/>
          <w:w w:val="115"/>
          <w:szCs w:val="22"/>
        </w:rPr>
        <w:t xml:space="preserve"> </w:t>
      </w:r>
      <w:r w:rsidRPr="00DD7BD1">
        <w:rPr>
          <w:rFonts w:cs="Calibri"/>
          <w:color w:val="auto"/>
          <w:w w:val="115"/>
          <w:szCs w:val="22"/>
        </w:rPr>
        <w:t>at</w:t>
      </w:r>
      <w:r w:rsidRPr="00DD7BD1">
        <w:rPr>
          <w:rFonts w:cs="Calibri"/>
          <w:color w:val="auto"/>
          <w:spacing w:val="-12"/>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investigation</w:t>
      </w:r>
      <w:r w:rsidRPr="00DD7BD1">
        <w:rPr>
          <w:rFonts w:cs="Calibri"/>
          <w:color w:val="auto"/>
          <w:spacing w:val="-13"/>
          <w:w w:val="115"/>
          <w:szCs w:val="22"/>
        </w:rPr>
        <w:t xml:space="preserve"> </w:t>
      </w:r>
      <w:r w:rsidRPr="00DD7BD1">
        <w:rPr>
          <w:rFonts w:cs="Calibri"/>
          <w:color w:val="auto"/>
          <w:w w:val="115"/>
          <w:szCs w:val="22"/>
        </w:rPr>
        <w:t>stage.</w:t>
      </w:r>
    </w:p>
    <w:p w14:paraId="14BEA9E9" w14:textId="77777777" w:rsidR="00E43496" w:rsidRPr="00DD7BD1" w:rsidRDefault="00E43496" w:rsidP="00E43496">
      <w:pPr>
        <w:pStyle w:val="BodyText"/>
        <w:spacing w:after="0" w:line="240" w:lineRule="auto"/>
        <w:ind w:right="-90"/>
        <w:jc w:val="left"/>
        <w:rPr>
          <w:rFonts w:cs="Calibri"/>
          <w:color w:val="auto"/>
          <w:sz w:val="16"/>
          <w:szCs w:val="16"/>
        </w:rPr>
      </w:pPr>
    </w:p>
    <w:p w14:paraId="7188FCF9"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w w:val="110"/>
          <w:szCs w:val="22"/>
        </w:rPr>
        <w:t>Note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prohibition</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5"/>
          <w:w w:val="110"/>
          <w:szCs w:val="22"/>
        </w:rPr>
        <w:t xml:space="preserve"> </w:t>
      </w:r>
      <w:r w:rsidRPr="00DD7BD1">
        <w:rPr>
          <w:rFonts w:cs="Calibri"/>
          <w:color w:val="auto"/>
          <w:w w:val="110"/>
          <w:szCs w:val="22"/>
        </w:rPr>
        <w:t>seeking</w:t>
      </w:r>
      <w:r w:rsidRPr="00DD7BD1">
        <w:rPr>
          <w:rFonts w:cs="Calibri"/>
          <w:color w:val="auto"/>
          <w:spacing w:val="-12"/>
          <w:w w:val="110"/>
          <w:szCs w:val="22"/>
        </w:rPr>
        <w:t xml:space="preserve"> </w:t>
      </w:r>
      <w:r w:rsidRPr="00DD7BD1">
        <w:rPr>
          <w:rFonts w:cs="Calibri"/>
          <w:color w:val="auto"/>
          <w:w w:val="110"/>
          <w:szCs w:val="22"/>
        </w:rPr>
        <w:t>liquidated</w:t>
      </w:r>
      <w:r w:rsidRPr="00DD7BD1">
        <w:rPr>
          <w:rFonts w:cs="Calibri"/>
          <w:color w:val="auto"/>
          <w:spacing w:val="-13"/>
          <w:w w:val="110"/>
          <w:szCs w:val="22"/>
        </w:rPr>
        <w:t xml:space="preserve"> </w:t>
      </w:r>
      <w:r w:rsidRPr="00DD7BD1">
        <w:rPr>
          <w:rFonts w:cs="Calibri"/>
          <w:color w:val="auto"/>
          <w:w w:val="110"/>
          <w:szCs w:val="22"/>
        </w:rPr>
        <w:t>damages</w:t>
      </w:r>
      <w:r w:rsidRPr="00DD7BD1">
        <w:rPr>
          <w:rFonts w:cs="Calibri"/>
          <w:color w:val="auto"/>
          <w:spacing w:val="-13"/>
          <w:w w:val="110"/>
          <w:szCs w:val="22"/>
        </w:rPr>
        <w:t xml:space="preserve"> </w:t>
      </w:r>
      <w:r w:rsidRPr="00DD7BD1">
        <w:rPr>
          <w:rFonts w:cs="Calibri"/>
          <w:color w:val="auto"/>
          <w:w w:val="110"/>
          <w:szCs w:val="22"/>
        </w:rPr>
        <w:t>exists</w:t>
      </w:r>
      <w:r w:rsidRPr="00DD7BD1">
        <w:rPr>
          <w:rFonts w:cs="Calibri"/>
          <w:color w:val="auto"/>
          <w:spacing w:val="-15"/>
          <w:w w:val="110"/>
          <w:szCs w:val="22"/>
        </w:rPr>
        <w:t xml:space="preserve"> </w:t>
      </w:r>
      <w:r w:rsidRPr="00DD7BD1">
        <w:rPr>
          <w:rFonts w:cs="Calibri"/>
          <w:color w:val="auto"/>
          <w:w w:val="110"/>
          <w:szCs w:val="22"/>
        </w:rPr>
        <w:t>only</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spacing w:val="-2"/>
          <w:w w:val="110"/>
          <w:szCs w:val="22"/>
        </w:rPr>
        <w:t>administrative/investigative</w:t>
      </w:r>
    </w:p>
    <w:p w14:paraId="2F5DD88A"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spacing w:val="-2"/>
          <w:w w:val="115"/>
          <w:szCs w:val="22"/>
        </w:rPr>
        <w:t>stage.</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1"/>
          <w:w w:val="115"/>
          <w:szCs w:val="22"/>
        </w:rPr>
        <w:t xml:space="preserve"> </w:t>
      </w:r>
      <w:r w:rsidRPr="00DD7BD1">
        <w:rPr>
          <w:rFonts w:cs="Calibri"/>
          <w:color w:val="auto"/>
          <w:spacing w:val="-2"/>
          <w:w w:val="115"/>
          <w:szCs w:val="22"/>
        </w:rPr>
        <w:t>that</w:t>
      </w:r>
      <w:r w:rsidRPr="00DD7BD1">
        <w:rPr>
          <w:rFonts w:cs="Calibri"/>
          <w:color w:val="auto"/>
          <w:spacing w:val="-12"/>
          <w:w w:val="115"/>
          <w:szCs w:val="22"/>
        </w:rPr>
        <w:t xml:space="preserve"> </w:t>
      </w:r>
      <w:r w:rsidRPr="00DD7BD1">
        <w:rPr>
          <w:rFonts w:cs="Calibri"/>
          <w:color w:val="auto"/>
          <w:spacing w:val="-2"/>
          <w:w w:val="115"/>
          <w:szCs w:val="22"/>
        </w:rPr>
        <w:t>litigate</w:t>
      </w:r>
      <w:r w:rsidRPr="00DD7BD1">
        <w:rPr>
          <w:rFonts w:cs="Calibri"/>
          <w:color w:val="auto"/>
          <w:spacing w:val="-11"/>
          <w:w w:val="115"/>
          <w:szCs w:val="22"/>
        </w:rPr>
        <w:t xml:space="preserve"> </w:t>
      </w:r>
      <w:r w:rsidRPr="00DD7BD1">
        <w:rPr>
          <w:rFonts w:cs="Calibri"/>
          <w:color w:val="auto"/>
          <w:spacing w:val="-2"/>
          <w:w w:val="115"/>
          <w:szCs w:val="22"/>
        </w:rPr>
        <w:t>FLSA</w:t>
      </w:r>
      <w:r w:rsidRPr="00DD7BD1">
        <w:rPr>
          <w:rFonts w:cs="Calibri"/>
          <w:color w:val="auto"/>
          <w:spacing w:val="-12"/>
          <w:w w:val="115"/>
          <w:szCs w:val="22"/>
        </w:rPr>
        <w:t xml:space="preserve"> </w:t>
      </w:r>
      <w:r w:rsidRPr="00DD7BD1">
        <w:rPr>
          <w:rFonts w:cs="Calibri"/>
          <w:color w:val="auto"/>
          <w:spacing w:val="-2"/>
          <w:w w:val="115"/>
          <w:szCs w:val="22"/>
        </w:rPr>
        <w:t>cases</w:t>
      </w:r>
      <w:r w:rsidRPr="00DD7BD1">
        <w:rPr>
          <w:rFonts w:cs="Calibri"/>
          <w:color w:val="auto"/>
          <w:spacing w:val="-11"/>
          <w:w w:val="115"/>
          <w:szCs w:val="22"/>
        </w:rPr>
        <w:t xml:space="preserve"> </w:t>
      </w:r>
      <w:r w:rsidRPr="00DD7BD1">
        <w:rPr>
          <w:rFonts w:cs="Calibri"/>
          <w:color w:val="auto"/>
          <w:spacing w:val="-2"/>
          <w:w w:val="115"/>
          <w:szCs w:val="22"/>
        </w:rPr>
        <w:t>in</w:t>
      </w:r>
      <w:r w:rsidRPr="00DD7BD1">
        <w:rPr>
          <w:rFonts w:cs="Calibri"/>
          <w:color w:val="auto"/>
          <w:spacing w:val="-14"/>
          <w:w w:val="115"/>
          <w:szCs w:val="22"/>
        </w:rPr>
        <w:t xml:space="preserve"> </w:t>
      </w:r>
      <w:r w:rsidRPr="00DD7BD1">
        <w:rPr>
          <w:rFonts w:cs="Calibri"/>
          <w:color w:val="auto"/>
          <w:spacing w:val="-2"/>
          <w:w w:val="115"/>
          <w:szCs w:val="22"/>
        </w:rPr>
        <w:t>court</w:t>
      </w:r>
      <w:r w:rsidRPr="00DD7BD1">
        <w:rPr>
          <w:rFonts w:cs="Calibri"/>
          <w:color w:val="auto"/>
          <w:spacing w:val="-12"/>
          <w:w w:val="115"/>
          <w:szCs w:val="22"/>
        </w:rPr>
        <w:t xml:space="preserve"> </w:t>
      </w:r>
      <w:r w:rsidRPr="00DD7BD1">
        <w:rPr>
          <w:rFonts w:cs="Calibri"/>
          <w:color w:val="auto"/>
          <w:spacing w:val="-2"/>
          <w:w w:val="115"/>
          <w:szCs w:val="22"/>
        </w:rPr>
        <w:t>still</w:t>
      </w:r>
      <w:r w:rsidRPr="00DD7BD1">
        <w:rPr>
          <w:rFonts w:cs="Calibri"/>
          <w:color w:val="auto"/>
          <w:spacing w:val="-13"/>
          <w:w w:val="115"/>
          <w:szCs w:val="22"/>
        </w:rPr>
        <w:t xml:space="preserve"> </w:t>
      </w:r>
      <w:r w:rsidRPr="00DD7BD1">
        <w:rPr>
          <w:rFonts w:cs="Calibri"/>
          <w:color w:val="auto"/>
          <w:spacing w:val="-2"/>
          <w:w w:val="115"/>
          <w:szCs w:val="22"/>
        </w:rPr>
        <w:t>face</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threat</w:t>
      </w:r>
      <w:r w:rsidRPr="00DD7BD1">
        <w:rPr>
          <w:rFonts w:cs="Calibri"/>
          <w:color w:val="auto"/>
          <w:spacing w:val="-15"/>
          <w:w w:val="115"/>
          <w:szCs w:val="22"/>
        </w:rPr>
        <w:t xml:space="preserve"> </w:t>
      </w:r>
      <w:r w:rsidRPr="00DD7BD1">
        <w:rPr>
          <w:rFonts w:cs="Calibri"/>
          <w:color w:val="auto"/>
          <w:spacing w:val="-2"/>
          <w:w w:val="115"/>
          <w:szCs w:val="22"/>
        </w:rPr>
        <w:t>of</w:t>
      </w:r>
      <w:r w:rsidRPr="00DD7BD1">
        <w:rPr>
          <w:rFonts w:cs="Calibri"/>
          <w:color w:val="auto"/>
          <w:spacing w:val="-12"/>
          <w:w w:val="115"/>
          <w:szCs w:val="22"/>
        </w:rPr>
        <w:t xml:space="preserve"> </w:t>
      </w:r>
      <w:r w:rsidRPr="00DD7BD1">
        <w:rPr>
          <w:rFonts w:cs="Calibri"/>
          <w:color w:val="auto"/>
          <w:spacing w:val="-2"/>
          <w:w w:val="115"/>
          <w:szCs w:val="22"/>
        </w:rPr>
        <w:t>liquidated</w:t>
      </w:r>
      <w:r w:rsidRPr="00DD7BD1">
        <w:rPr>
          <w:rFonts w:cs="Calibri"/>
          <w:color w:val="auto"/>
          <w:spacing w:val="-13"/>
          <w:w w:val="115"/>
          <w:szCs w:val="22"/>
        </w:rPr>
        <w:t xml:space="preserve"> </w:t>
      </w:r>
      <w:r w:rsidRPr="00DD7BD1">
        <w:rPr>
          <w:rFonts w:cs="Calibri"/>
          <w:color w:val="auto"/>
          <w:spacing w:val="-2"/>
          <w:w w:val="115"/>
          <w:szCs w:val="22"/>
        </w:rPr>
        <w:t>damages</w:t>
      </w:r>
      <w:r w:rsidRPr="00DD7BD1">
        <w:rPr>
          <w:rFonts w:cs="Calibri"/>
          <w:color w:val="auto"/>
          <w:spacing w:val="-10"/>
          <w:w w:val="115"/>
          <w:szCs w:val="22"/>
        </w:rPr>
        <w:t xml:space="preserve"> </w:t>
      </w:r>
      <w:r w:rsidRPr="00DD7BD1">
        <w:rPr>
          <w:rFonts w:cs="Calibri"/>
          <w:color w:val="auto"/>
          <w:spacing w:val="-2"/>
          <w:w w:val="115"/>
          <w:szCs w:val="22"/>
        </w:rPr>
        <w:t>in</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4"/>
          <w:w w:val="115"/>
          <w:szCs w:val="22"/>
        </w:rPr>
        <w:t xml:space="preserve"> </w:t>
      </w:r>
      <w:r w:rsidRPr="00DD7BD1">
        <w:rPr>
          <w:rFonts w:cs="Calibri"/>
          <w:color w:val="auto"/>
          <w:spacing w:val="-2"/>
          <w:w w:val="115"/>
          <w:szCs w:val="22"/>
        </w:rPr>
        <w:t>event</w:t>
      </w:r>
      <w:r w:rsidRPr="00DD7BD1">
        <w:rPr>
          <w:rFonts w:cs="Calibri"/>
          <w:color w:val="auto"/>
          <w:spacing w:val="-14"/>
          <w:w w:val="115"/>
          <w:szCs w:val="22"/>
        </w:rPr>
        <w:t xml:space="preserve"> </w:t>
      </w:r>
      <w:r w:rsidRPr="00DD7BD1">
        <w:rPr>
          <w:rFonts w:cs="Calibri"/>
          <w:color w:val="auto"/>
          <w:spacing w:val="-2"/>
          <w:w w:val="115"/>
          <w:szCs w:val="22"/>
        </w:rPr>
        <w:t>of</w:t>
      </w:r>
      <w:r w:rsidRPr="00DD7BD1">
        <w:rPr>
          <w:rFonts w:cs="Calibri"/>
          <w:color w:val="auto"/>
          <w:spacing w:val="-14"/>
          <w:w w:val="115"/>
          <w:szCs w:val="22"/>
        </w:rPr>
        <w:t xml:space="preserve"> </w:t>
      </w:r>
      <w:r w:rsidRPr="00DD7BD1">
        <w:rPr>
          <w:rFonts w:cs="Calibri"/>
          <w:color w:val="auto"/>
          <w:spacing w:val="-2"/>
          <w:w w:val="115"/>
          <w:szCs w:val="22"/>
        </w:rPr>
        <w:t xml:space="preserve">an </w:t>
      </w:r>
      <w:r w:rsidRPr="00DD7BD1">
        <w:rPr>
          <w:rFonts w:cs="Calibri"/>
          <w:color w:val="auto"/>
          <w:w w:val="115"/>
          <w:szCs w:val="22"/>
        </w:rPr>
        <w:t>adverse</w:t>
      </w:r>
      <w:r w:rsidRPr="00DD7BD1">
        <w:rPr>
          <w:rFonts w:cs="Calibri"/>
          <w:color w:val="auto"/>
          <w:spacing w:val="-7"/>
          <w:w w:val="115"/>
          <w:szCs w:val="22"/>
        </w:rPr>
        <w:t xml:space="preserve"> </w:t>
      </w:r>
      <w:r w:rsidRPr="00DD7BD1">
        <w:rPr>
          <w:rFonts w:cs="Calibri"/>
          <w:color w:val="auto"/>
          <w:w w:val="115"/>
          <w:szCs w:val="22"/>
        </w:rPr>
        <w:t>verdict.</w:t>
      </w:r>
    </w:p>
    <w:p w14:paraId="3E48F82E" w14:textId="77777777" w:rsidR="00E43496" w:rsidRPr="00DD7BD1" w:rsidRDefault="00E43496" w:rsidP="00E43496">
      <w:pPr>
        <w:pStyle w:val="BodyText"/>
        <w:spacing w:after="0" w:line="240" w:lineRule="auto"/>
        <w:ind w:right="-90"/>
        <w:jc w:val="left"/>
        <w:rPr>
          <w:rFonts w:cs="Calibri"/>
          <w:color w:val="auto"/>
          <w:szCs w:val="22"/>
        </w:rPr>
      </w:pPr>
    </w:p>
    <w:p w14:paraId="3E29028E" w14:textId="77777777" w:rsidR="00865E7B" w:rsidRDefault="00865E7B" w:rsidP="00E43496">
      <w:pPr>
        <w:pStyle w:val="Heading1"/>
        <w:spacing w:before="0" w:beforeAutospacing="0" w:after="0" w:afterAutospacing="0"/>
        <w:ind w:right="-180"/>
        <w:jc w:val="center"/>
        <w:rPr>
          <w:rFonts w:ascii="Calibri" w:hAnsi="Calibri" w:cs="Calibri"/>
          <w:spacing w:val="-8"/>
          <w:sz w:val="32"/>
          <w:szCs w:val="32"/>
        </w:rPr>
      </w:pPr>
      <w:bookmarkStart w:id="13" w:name="_Hlk212641891"/>
    </w:p>
    <w:p w14:paraId="1065D295" w14:textId="06C13C0A" w:rsidR="00E43496" w:rsidRPr="00DD7BD1" w:rsidRDefault="00E43496" w:rsidP="00E43496">
      <w:pPr>
        <w:pStyle w:val="Heading1"/>
        <w:spacing w:before="0" w:beforeAutospacing="0" w:after="0" w:afterAutospacing="0"/>
        <w:ind w:right="-180"/>
        <w:jc w:val="center"/>
        <w:rPr>
          <w:rFonts w:ascii="Calibri" w:hAnsi="Calibri" w:cs="Calibri"/>
          <w:spacing w:val="-8"/>
          <w:sz w:val="32"/>
          <w:szCs w:val="32"/>
        </w:rPr>
      </w:pPr>
      <w:r w:rsidRPr="00DD7BD1">
        <w:rPr>
          <w:rFonts w:ascii="Calibri" w:hAnsi="Calibri" w:cs="Calibri"/>
          <w:spacing w:val="-8"/>
          <w:sz w:val="32"/>
          <w:szCs w:val="32"/>
        </w:rPr>
        <w:t>FTC Ends Pursuit of Non-Compete Prohibition</w:t>
      </w:r>
    </w:p>
    <w:bookmarkEnd w:id="13"/>
    <w:p w14:paraId="2D4C57C0" w14:textId="77777777" w:rsidR="00E43496" w:rsidRPr="00DD7BD1" w:rsidRDefault="00E43496" w:rsidP="00E43496">
      <w:pPr>
        <w:pStyle w:val="BodyText"/>
        <w:spacing w:after="0" w:line="240" w:lineRule="auto"/>
        <w:ind w:right="-180"/>
        <w:jc w:val="left"/>
        <w:rPr>
          <w:rFonts w:cs="Calibri"/>
          <w:color w:val="auto"/>
          <w:w w:val="110"/>
        </w:rPr>
      </w:pP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Federal</w:t>
      </w:r>
      <w:r w:rsidRPr="00DD7BD1">
        <w:rPr>
          <w:rFonts w:cs="Calibri"/>
          <w:color w:val="auto"/>
          <w:spacing w:val="-4"/>
          <w:w w:val="110"/>
        </w:rPr>
        <w:t xml:space="preserve"> </w:t>
      </w:r>
      <w:r w:rsidRPr="00DD7BD1">
        <w:rPr>
          <w:rFonts w:cs="Calibri"/>
          <w:color w:val="auto"/>
          <w:w w:val="110"/>
        </w:rPr>
        <w:t>Trade</w:t>
      </w:r>
      <w:r w:rsidRPr="00DD7BD1">
        <w:rPr>
          <w:rFonts w:cs="Calibri"/>
          <w:color w:val="auto"/>
          <w:spacing w:val="-4"/>
          <w:w w:val="110"/>
        </w:rPr>
        <w:t xml:space="preserve"> </w:t>
      </w:r>
      <w:r w:rsidRPr="00DD7BD1">
        <w:rPr>
          <w:rFonts w:cs="Calibri"/>
          <w:color w:val="auto"/>
          <w:w w:val="110"/>
        </w:rPr>
        <w:t>Commission</w:t>
      </w:r>
      <w:r w:rsidRPr="00DD7BD1">
        <w:rPr>
          <w:rFonts w:cs="Calibri"/>
          <w:color w:val="auto"/>
          <w:spacing w:val="-5"/>
          <w:w w:val="110"/>
        </w:rPr>
        <w:t xml:space="preserve"> </w:t>
      </w:r>
      <w:r w:rsidRPr="00DD7BD1">
        <w:rPr>
          <w:rFonts w:cs="Calibri"/>
          <w:color w:val="auto"/>
          <w:w w:val="110"/>
        </w:rPr>
        <w:t>(FTC)</w:t>
      </w:r>
      <w:r w:rsidRPr="00DD7BD1">
        <w:rPr>
          <w:rFonts w:cs="Calibri"/>
          <w:color w:val="auto"/>
          <w:spacing w:val="-5"/>
          <w:w w:val="110"/>
        </w:rPr>
        <w:t xml:space="preserve"> </w:t>
      </w:r>
      <w:r w:rsidRPr="00DD7BD1">
        <w:rPr>
          <w:rFonts w:cs="Calibri"/>
          <w:color w:val="auto"/>
          <w:w w:val="110"/>
        </w:rPr>
        <w:t>decided in</w:t>
      </w:r>
      <w:r w:rsidRPr="00DD7BD1">
        <w:rPr>
          <w:rFonts w:cs="Calibri"/>
          <w:color w:val="auto"/>
          <w:spacing w:val="-5"/>
          <w:w w:val="110"/>
        </w:rPr>
        <w:t xml:space="preserve"> </w:t>
      </w:r>
      <w:r w:rsidRPr="00DD7BD1">
        <w:rPr>
          <w:rFonts w:cs="Calibri"/>
          <w:color w:val="auto"/>
          <w:w w:val="110"/>
        </w:rPr>
        <w:t>early</w:t>
      </w:r>
      <w:r w:rsidRPr="00DD7BD1">
        <w:rPr>
          <w:rFonts w:cs="Calibri"/>
          <w:color w:val="auto"/>
          <w:spacing w:val="-4"/>
          <w:w w:val="110"/>
        </w:rPr>
        <w:t xml:space="preserve"> </w:t>
      </w:r>
      <w:r w:rsidRPr="00DD7BD1">
        <w:rPr>
          <w:rFonts w:cs="Calibri"/>
          <w:color w:val="auto"/>
          <w:w w:val="110"/>
        </w:rPr>
        <w:t>September</w:t>
      </w:r>
      <w:r w:rsidRPr="00DD7BD1">
        <w:rPr>
          <w:rFonts w:cs="Calibri"/>
          <w:color w:val="auto"/>
          <w:spacing w:val="-1"/>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cease</w:t>
      </w:r>
      <w:r w:rsidRPr="00DD7BD1">
        <w:rPr>
          <w:rFonts w:cs="Calibri"/>
          <w:color w:val="auto"/>
          <w:spacing w:val="-2"/>
          <w:w w:val="110"/>
        </w:rPr>
        <w:t xml:space="preserve"> </w:t>
      </w:r>
      <w:r w:rsidRPr="00DD7BD1">
        <w:rPr>
          <w:rFonts w:cs="Calibri"/>
          <w:color w:val="auto"/>
          <w:w w:val="110"/>
        </w:rPr>
        <w:t>its</w:t>
      </w:r>
      <w:r w:rsidRPr="00DD7BD1">
        <w:rPr>
          <w:rFonts w:cs="Calibri"/>
          <w:color w:val="auto"/>
          <w:spacing w:val="-4"/>
          <w:w w:val="110"/>
        </w:rPr>
        <w:t xml:space="preserve"> </w:t>
      </w:r>
      <w:r w:rsidRPr="00DD7BD1">
        <w:rPr>
          <w:rFonts w:cs="Calibri"/>
          <w:color w:val="auto"/>
          <w:w w:val="110"/>
        </w:rPr>
        <w:t>efforts</w:t>
      </w:r>
      <w:r w:rsidRPr="00DD7BD1">
        <w:rPr>
          <w:rFonts w:cs="Calibri"/>
          <w:color w:val="auto"/>
          <w:spacing w:val="-5"/>
          <w:w w:val="110"/>
        </w:rPr>
        <w:t xml:space="preserve"> </w:t>
      </w:r>
      <w:r w:rsidRPr="00DD7BD1">
        <w:rPr>
          <w:rFonts w:cs="Calibri"/>
          <w:color w:val="auto"/>
          <w:w w:val="110"/>
        </w:rPr>
        <w:t>to</w:t>
      </w:r>
      <w:r w:rsidRPr="00DD7BD1">
        <w:rPr>
          <w:rFonts w:cs="Calibri"/>
          <w:color w:val="auto"/>
          <w:spacing w:val="-4"/>
          <w:w w:val="110"/>
        </w:rPr>
        <w:t xml:space="preserve"> </w:t>
      </w:r>
      <w:r w:rsidRPr="00DD7BD1">
        <w:rPr>
          <w:rFonts w:cs="Calibri"/>
          <w:color w:val="auto"/>
          <w:w w:val="110"/>
        </w:rPr>
        <w:t>implement</w:t>
      </w:r>
      <w:r w:rsidRPr="00DD7BD1">
        <w:rPr>
          <w:rFonts w:cs="Calibri"/>
          <w:color w:val="auto"/>
          <w:spacing w:val="-3"/>
          <w:w w:val="110"/>
        </w:rPr>
        <w:t xml:space="preserve"> </w:t>
      </w:r>
      <w:r w:rsidRPr="00DD7BD1">
        <w:rPr>
          <w:rFonts w:cs="Calibri"/>
          <w:color w:val="auto"/>
          <w:w w:val="110"/>
        </w:rPr>
        <w:t>a nationwide</w:t>
      </w:r>
      <w:r w:rsidRPr="00DD7BD1">
        <w:rPr>
          <w:rFonts w:cs="Calibri"/>
          <w:color w:val="auto"/>
          <w:spacing w:val="-14"/>
          <w:w w:val="110"/>
        </w:rPr>
        <w:t xml:space="preserve"> </w:t>
      </w:r>
      <w:r w:rsidRPr="00DD7BD1">
        <w:rPr>
          <w:rFonts w:cs="Calibri"/>
          <w:color w:val="auto"/>
          <w:w w:val="110"/>
        </w:rPr>
        <w:t>prohibition</w:t>
      </w:r>
      <w:r w:rsidRPr="00DD7BD1">
        <w:rPr>
          <w:rFonts w:cs="Calibri"/>
          <w:color w:val="auto"/>
          <w:spacing w:val="-12"/>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employer</w:t>
      </w:r>
      <w:r w:rsidRPr="00DD7BD1">
        <w:rPr>
          <w:rFonts w:cs="Calibri"/>
          <w:color w:val="auto"/>
          <w:spacing w:val="-13"/>
          <w:w w:val="110"/>
        </w:rPr>
        <w:t xml:space="preserve"> </w:t>
      </w:r>
      <w:r w:rsidRPr="00DD7BD1">
        <w:rPr>
          <w:rFonts w:cs="Calibri"/>
          <w:color w:val="auto"/>
          <w:w w:val="110"/>
        </w:rPr>
        <w:t>non-compete</w:t>
      </w:r>
      <w:r w:rsidRPr="00DD7BD1">
        <w:rPr>
          <w:rFonts w:cs="Calibri"/>
          <w:color w:val="auto"/>
          <w:spacing w:val="-15"/>
          <w:w w:val="110"/>
        </w:rPr>
        <w:t xml:space="preserve"> </w:t>
      </w:r>
      <w:r w:rsidRPr="00DD7BD1">
        <w:rPr>
          <w:rFonts w:cs="Calibri"/>
          <w:color w:val="auto"/>
          <w:w w:val="110"/>
        </w:rPr>
        <w:t>agreements.</w:t>
      </w:r>
      <w:r w:rsidRPr="00DD7BD1">
        <w:rPr>
          <w:rFonts w:cs="Calibri"/>
          <w:color w:val="auto"/>
          <w:spacing w:val="-13"/>
          <w:w w:val="110"/>
        </w:rPr>
        <w:t xml:space="preserve"> </w:t>
      </w:r>
      <w:r w:rsidRPr="00DD7BD1">
        <w:rPr>
          <w:rFonts w:cs="Calibri"/>
          <w:color w:val="auto"/>
          <w:w w:val="110"/>
        </w:rPr>
        <w:t>This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2"/>
          <w:w w:val="110"/>
        </w:rPr>
        <w:t xml:space="preserve"> </w:t>
      </w:r>
      <w:r w:rsidRPr="00DD7BD1">
        <w:rPr>
          <w:rFonts w:cs="Calibri"/>
          <w:color w:val="auto"/>
          <w:w w:val="110"/>
        </w:rPr>
        <w:t>followed</w:t>
      </w:r>
      <w:r w:rsidRPr="00DD7BD1">
        <w:rPr>
          <w:rFonts w:cs="Calibri"/>
          <w:color w:val="auto"/>
          <w:spacing w:val="-12"/>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agency's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4"/>
          <w:w w:val="110"/>
        </w:rPr>
        <w:t xml:space="preserve"> </w:t>
      </w:r>
      <w:r w:rsidRPr="00DD7BD1">
        <w:rPr>
          <w:rFonts w:cs="Calibri"/>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DD7BD1" w:rsidRDefault="00E43496" w:rsidP="00E43496">
      <w:pPr>
        <w:pStyle w:val="BodyText"/>
        <w:spacing w:after="0" w:line="240" w:lineRule="auto"/>
        <w:ind w:right="-180"/>
        <w:jc w:val="left"/>
        <w:rPr>
          <w:rFonts w:cs="Calibri"/>
          <w:color w:val="auto"/>
          <w:sz w:val="16"/>
          <w:szCs w:val="16"/>
        </w:rPr>
      </w:pPr>
    </w:p>
    <w:p w14:paraId="7B32F99B"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After</w:t>
      </w:r>
      <w:r w:rsidRPr="00DD7BD1">
        <w:rPr>
          <w:rFonts w:cs="Calibri"/>
          <w:color w:val="auto"/>
          <w:spacing w:val="-11"/>
          <w:w w:val="110"/>
        </w:rPr>
        <w:t xml:space="preserve"> </w:t>
      </w:r>
      <w:r w:rsidRPr="00DD7BD1">
        <w:rPr>
          <w:rFonts w:cs="Calibri"/>
          <w:color w:val="auto"/>
          <w:w w:val="110"/>
        </w:rPr>
        <w:t>facing</w:t>
      </w:r>
      <w:r w:rsidRPr="00DD7BD1">
        <w:rPr>
          <w:rFonts w:cs="Calibri"/>
          <w:color w:val="auto"/>
          <w:spacing w:val="-11"/>
          <w:w w:val="110"/>
        </w:rPr>
        <w:t xml:space="preserve"> </w:t>
      </w:r>
      <w:r w:rsidRPr="00DD7BD1">
        <w:rPr>
          <w:rFonts w:cs="Calibri"/>
          <w:color w:val="auto"/>
          <w:w w:val="110"/>
        </w:rPr>
        <w:t>several</w:t>
      </w:r>
      <w:r w:rsidRPr="00DD7BD1">
        <w:rPr>
          <w:rFonts w:cs="Calibri"/>
          <w:color w:val="auto"/>
          <w:spacing w:val="-11"/>
          <w:w w:val="110"/>
        </w:rPr>
        <w:t xml:space="preserve"> </w:t>
      </w:r>
      <w:r w:rsidRPr="00DD7BD1">
        <w:rPr>
          <w:rFonts w:cs="Calibri"/>
          <w:color w:val="auto"/>
          <w:w w:val="110"/>
        </w:rPr>
        <w:t>court</w:t>
      </w:r>
      <w:r w:rsidRPr="00DD7BD1">
        <w:rPr>
          <w:rFonts w:cs="Calibri"/>
          <w:color w:val="auto"/>
          <w:spacing w:val="-11"/>
          <w:w w:val="110"/>
        </w:rPr>
        <w:t xml:space="preserve"> </w:t>
      </w:r>
      <w:r w:rsidRPr="00DD7BD1">
        <w:rPr>
          <w:rFonts w:cs="Calibri"/>
          <w:color w:val="auto"/>
          <w:w w:val="110"/>
        </w:rPr>
        <w:t>challenges,</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FTC</w:t>
      </w:r>
      <w:r w:rsidRPr="00DD7BD1">
        <w:rPr>
          <w:rFonts w:cs="Calibri"/>
          <w:color w:val="auto"/>
          <w:spacing w:val="-12"/>
          <w:w w:val="110"/>
        </w:rPr>
        <w:t xml:space="preserve"> </w:t>
      </w:r>
      <w:r w:rsidRPr="00DD7BD1">
        <w:rPr>
          <w:rFonts w:cs="Calibri"/>
          <w:color w:val="auto"/>
          <w:w w:val="110"/>
        </w:rPr>
        <w:t>has</w:t>
      </w:r>
      <w:r w:rsidRPr="00DD7BD1">
        <w:rPr>
          <w:rFonts w:cs="Calibri"/>
          <w:color w:val="auto"/>
          <w:spacing w:val="-11"/>
          <w:w w:val="110"/>
        </w:rPr>
        <w:t xml:space="preserve"> </w:t>
      </w:r>
      <w:r w:rsidRPr="00DD7BD1">
        <w:rPr>
          <w:rFonts w:cs="Calibri"/>
          <w:color w:val="auto"/>
          <w:w w:val="110"/>
        </w:rPr>
        <w:t>quietly</w:t>
      </w:r>
      <w:r w:rsidRPr="00DD7BD1">
        <w:rPr>
          <w:rFonts w:cs="Calibri"/>
          <w:color w:val="auto"/>
          <w:spacing w:val="-9"/>
          <w:w w:val="110"/>
        </w:rPr>
        <w:t xml:space="preserve"> </w:t>
      </w:r>
      <w:r w:rsidRPr="00DD7BD1">
        <w:rPr>
          <w:rFonts w:cs="Calibri"/>
          <w:color w:val="auto"/>
          <w:w w:val="110"/>
        </w:rPr>
        <w:t>abandoned</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0"/>
          <w:w w:val="110"/>
        </w:rPr>
        <w:t xml:space="preserve"> </w:t>
      </w:r>
      <w:r w:rsidRPr="00DD7BD1">
        <w:rPr>
          <w:rFonts w:cs="Calibri"/>
          <w:color w:val="auto"/>
          <w:spacing w:val="-2"/>
          <w:w w:val="110"/>
        </w:rPr>
        <w:t>initiative.</w:t>
      </w:r>
    </w:p>
    <w:p w14:paraId="6D9E9C40"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Despite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end</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5"/>
          <w:w w:val="110"/>
        </w:rPr>
        <w:t xml:space="preserve"> </w:t>
      </w:r>
      <w:r w:rsidRPr="00DD7BD1">
        <w:rPr>
          <w:rFonts w:cs="Calibri"/>
          <w:color w:val="auto"/>
          <w:w w:val="110"/>
        </w:rPr>
        <w:t>this</w:t>
      </w:r>
      <w:r w:rsidRPr="00DD7BD1">
        <w:rPr>
          <w:rFonts w:cs="Calibri"/>
          <w:color w:val="auto"/>
          <w:spacing w:val="-15"/>
          <w:w w:val="110"/>
        </w:rPr>
        <w:t xml:space="preserve"> </w:t>
      </w:r>
      <w:r w:rsidRPr="00DD7BD1">
        <w:rPr>
          <w:rFonts w:cs="Calibri"/>
          <w:i/>
          <w:color w:val="auto"/>
          <w:w w:val="110"/>
        </w:rPr>
        <w:t>federal</w:t>
      </w:r>
      <w:r w:rsidRPr="00DD7BD1">
        <w:rPr>
          <w:rFonts w:cs="Calibri"/>
          <w:i/>
          <w:color w:val="auto"/>
          <w:spacing w:val="-15"/>
          <w:w w:val="110"/>
        </w:rPr>
        <w:t xml:space="preserve"> </w:t>
      </w:r>
      <w:r w:rsidRPr="00DD7BD1">
        <w:rPr>
          <w:rFonts w:cs="Calibri"/>
          <w:i/>
          <w:color w:val="auto"/>
          <w:w w:val="110"/>
        </w:rPr>
        <w:t>effort</w:t>
      </w:r>
      <w:r w:rsidRPr="00DD7BD1">
        <w:rPr>
          <w:rFonts w:cs="Calibri"/>
          <w:color w:val="auto"/>
          <w:w w:val="110"/>
        </w:rPr>
        <w:t>,</w:t>
      </w:r>
      <w:r w:rsidRPr="00DD7BD1">
        <w:rPr>
          <w:rFonts w:cs="Calibri"/>
          <w:color w:val="auto"/>
          <w:spacing w:val="-16"/>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FTC</w:t>
      </w:r>
      <w:r w:rsidRPr="00DD7BD1">
        <w:rPr>
          <w:rFonts w:cs="Calibri"/>
          <w:color w:val="auto"/>
          <w:spacing w:val="-17"/>
          <w:w w:val="110"/>
        </w:rPr>
        <w:t xml:space="preserve"> </w:t>
      </w:r>
      <w:r w:rsidRPr="00DD7BD1">
        <w:rPr>
          <w:rFonts w:cs="Calibri"/>
          <w:color w:val="auto"/>
          <w:w w:val="110"/>
        </w:rPr>
        <w:t>has</w:t>
      </w:r>
      <w:r w:rsidRPr="00DD7BD1">
        <w:rPr>
          <w:rFonts w:cs="Calibri"/>
          <w:color w:val="auto"/>
          <w:spacing w:val="-14"/>
          <w:w w:val="110"/>
        </w:rPr>
        <w:t xml:space="preserve"> </w:t>
      </w:r>
      <w:r w:rsidRPr="00DD7BD1">
        <w:rPr>
          <w:rFonts w:cs="Calibri"/>
          <w:color w:val="auto"/>
          <w:w w:val="110"/>
        </w:rPr>
        <w:t>indicated</w:t>
      </w:r>
      <w:r w:rsidRPr="00DD7BD1">
        <w:rPr>
          <w:rFonts w:cs="Calibri"/>
          <w:color w:val="auto"/>
          <w:spacing w:val="-15"/>
          <w:w w:val="110"/>
        </w:rPr>
        <w:t xml:space="preserve"> </w:t>
      </w:r>
      <w:r w:rsidRPr="00DD7BD1">
        <w:rPr>
          <w:rFonts w:cs="Calibri"/>
          <w:color w:val="auto"/>
          <w:w w:val="110"/>
        </w:rPr>
        <w:t>it</w:t>
      </w:r>
      <w:r w:rsidRPr="00DD7BD1">
        <w:rPr>
          <w:rFonts w:cs="Calibri"/>
          <w:color w:val="auto"/>
          <w:spacing w:val="-17"/>
          <w:w w:val="110"/>
        </w:rPr>
        <w:t xml:space="preserve"> </w:t>
      </w:r>
      <w:r w:rsidRPr="00DD7BD1">
        <w:rPr>
          <w:rFonts w:cs="Calibri"/>
          <w:color w:val="auto"/>
          <w:w w:val="110"/>
        </w:rPr>
        <w:t>will</w:t>
      </w:r>
      <w:r w:rsidRPr="00DD7BD1">
        <w:rPr>
          <w:rFonts w:cs="Calibri"/>
          <w:color w:val="auto"/>
          <w:spacing w:val="-16"/>
          <w:w w:val="110"/>
        </w:rPr>
        <w:t xml:space="preserve"> </w:t>
      </w:r>
      <w:r w:rsidRPr="00DD7BD1">
        <w:rPr>
          <w:rFonts w:cs="Calibri"/>
          <w:color w:val="auto"/>
          <w:w w:val="110"/>
        </w:rPr>
        <w:t>prioritize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scrutiny</w:t>
      </w:r>
      <w:r w:rsidRPr="00DD7BD1">
        <w:rPr>
          <w:rFonts w:cs="Calibri"/>
          <w:color w:val="auto"/>
          <w:spacing w:val="-16"/>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restrictive</w:t>
      </w:r>
      <w:r w:rsidRPr="00DD7BD1">
        <w:rPr>
          <w:rFonts w:cs="Calibri"/>
          <w:color w:val="auto"/>
          <w:spacing w:val="-17"/>
          <w:w w:val="110"/>
        </w:rPr>
        <w:t xml:space="preserve"> </w:t>
      </w:r>
      <w:r w:rsidRPr="00DD7BD1">
        <w:rPr>
          <w:rFonts w:cs="Calibri"/>
          <w:color w:val="auto"/>
          <w:w w:val="110"/>
        </w:rPr>
        <w:t>covenant practices,</w:t>
      </w:r>
      <w:r w:rsidRPr="00DD7BD1">
        <w:rPr>
          <w:rFonts w:cs="Calibri"/>
          <w:color w:val="auto"/>
          <w:spacing w:val="-10"/>
          <w:w w:val="110"/>
        </w:rPr>
        <w:t xml:space="preserve"> </w:t>
      </w:r>
      <w:r w:rsidRPr="00DD7BD1">
        <w:rPr>
          <w:rFonts w:cs="Calibri"/>
          <w:color w:val="auto"/>
          <w:w w:val="110"/>
        </w:rPr>
        <w:t>including</w:t>
      </w:r>
      <w:r w:rsidRPr="00DD7BD1">
        <w:rPr>
          <w:rFonts w:cs="Calibri"/>
          <w:color w:val="auto"/>
          <w:spacing w:val="-7"/>
          <w:w w:val="110"/>
        </w:rPr>
        <w:t xml:space="preserve"> </w:t>
      </w:r>
      <w:r w:rsidRPr="00DD7BD1">
        <w:rPr>
          <w:rFonts w:cs="Calibri"/>
          <w:color w:val="auto"/>
          <w:w w:val="110"/>
        </w:rPr>
        <w:t>non-competes,</w:t>
      </w:r>
      <w:r w:rsidRPr="00DD7BD1">
        <w:rPr>
          <w:rFonts w:cs="Calibri"/>
          <w:color w:val="auto"/>
          <w:spacing w:val="-10"/>
          <w:w w:val="110"/>
        </w:rPr>
        <w:t xml:space="preserve"> </w:t>
      </w:r>
      <w:r w:rsidRPr="00DD7BD1">
        <w:rPr>
          <w:rFonts w:cs="Calibri"/>
          <w:color w:val="auto"/>
          <w:w w:val="110"/>
        </w:rPr>
        <w:t>particularly</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healthcare</w:t>
      </w:r>
      <w:r w:rsidRPr="00DD7BD1">
        <w:rPr>
          <w:rFonts w:cs="Calibri"/>
          <w:color w:val="auto"/>
          <w:spacing w:val="-10"/>
          <w:w w:val="110"/>
        </w:rPr>
        <w:t xml:space="preserve"> </w:t>
      </w:r>
      <w:r w:rsidRPr="00DD7BD1">
        <w:rPr>
          <w:rFonts w:cs="Calibri"/>
          <w:color w:val="auto"/>
          <w:w w:val="110"/>
        </w:rPr>
        <w:t>sector,</w:t>
      </w:r>
      <w:r w:rsidRPr="00DD7BD1">
        <w:rPr>
          <w:rFonts w:cs="Calibri"/>
          <w:color w:val="auto"/>
          <w:spacing w:val="-8"/>
          <w:w w:val="110"/>
        </w:rPr>
        <w:t xml:space="preserve"> </w:t>
      </w:r>
      <w:r w:rsidRPr="00DD7BD1">
        <w:rPr>
          <w:rFonts w:cs="Calibri"/>
          <w:color w:val="auto"/>
          <w:w w:val="110"/>
        </w:rPr>
        <w:t>where</w:t>
      </w:r>
      <w:r w:rsidRPr="00DD7BD1">
        <w:rPr>
          <w:rFonts w:cs="Calibri"/>
          <w:color w:val="auto"/>
          <w:spacing w:val="-7"/>
          <w:w w:val="110"/>
        </w:rPr>
        <w:t xml:space="preserve"> </w:t>
      </w:r>
      <w:r w:rsidRPr="00DD7BD1">
        <w:rPr>
          <w:rFonts w:cs="Calibri"/>
          <w:color w:val="auto"/>
          <w:w w:val="110"/>
        </w:rPr>
        <w:t>worker</w:t>
      </w:r>
      <w:r w:rsidRPr="00DD7BD1">
        <w:rPr>
          <w:rFonts w:cs="Calibri"/>
          <w:color w:val="auto"/>
          <w:spacing w:val="-8"/>
          <w:w w:val="110"/>
        </w:rPr>
        <w:t xml:space="preserve"> </w:t>
      </w:r>
      <w:r w:rsidRPr="00DD7BD1">
        <w:rPr>
          <w:rFonts w:cs="Calibri"/>
          <w:color w:val="auto"/>
          <w:w w:val="110"/>
        </w:rPr>
        <w:t>mobility</w:t>
      </w:r>
      <w:r w:rsidRPr="00DD7BD1">
        <w:rPr>
          <w:rFonts w:cs="Calibri"/>
          <w:color w:val="auto"/>
          <w:spacing w:val="-7"/>
          <w:w w:val="110"/>
        </w:rPr>
        <w:t xml:space="preserve"> </w:t>
      </w:r>
      <w:r w:rsidRPr="00DD7BD1">
        <w:rPr>
          <w:rFonts w:cs="Calibri"/>
          <w:color w:val="auto"/>
          <w:w w:val="110"/>
        </w:rPr>
        <w:t>is</w:t>
      </w:r>
      <w:r w:rsidRPr="00DD7BD1">
        <w:rPr>
          <w:rFonts w:cs="Calibri"/>
          <w:color w:val="auto"/>
          <w:spacing w:val="-9"/>
          <w:w w:val="110"/>
        </w:rPr>
        <w:t xml:space="preserve"> </w:t>
      </w:r>
      <w:r w:rsidRPr="00DD7BD1">
        <w:rPr>
          <w:rFonts w:cs="Calibri"/>
          <w:color w:val="auto"/>
          <w:w w:val="110"/>
        </w:rPr>
        <w:t>often restricted. This shift in focus underscores the importance for employers to remain vigilant about state laws governing non-compete agreements.</w:t>
      </w:r>
    </w:p>
    <w:p w14:paraId="78DD47A5" w14:textId="77777777" w:rsidR="00E43496" w:rsidRPr="00DD7BD1" w:rsidRDefault="00E43496" w:rsidP="00E43496">
      <w:pPr>
        <w:pStyle w:val="BodyText"/>
        <w:spacing w:after="0" w:line="240" w:lineRule="auto"/>
        <w:ind w:right="-180"/>
        <w:jc w:val="left"/>
        <w:rPr>
          <w:rFonts w:cs="Calibri"/>
          <w:color w:val="auto"/>
          <w:szCs w:val="22"/>
        </w:rPr>
      </w:pPr>
    </w:p>
    <w:p w14:paraId="5C1283A5" w14:textId="57B20FA9" w:rsidR="00E43496" w:rsidRPr="00DD7BD1" w:rsidRDefault="00E43496" w:rsidP="00E43496">
      <w:pPr>
        <w:pStyle w:val="Heading1"/>
        <w:spacing w:before="0" w:beforeAutospacing="0" w:after="0" w:afterAutospacing="0"/>
        <w:ind w:right="-270"/>
        <w:jc w:val="center"/>
        <w:rPr>
          <w:rFonts w:ascii="Calibri" w:hAnsi="Calibri" w:cs="Calibri"/>
          <w:spacing w:val="-8"/>
          <w:sz w:val="32"/>
          <w:szCs w:val="32"/>
        </w:rPr>
      </w:pPr>
      <w:r w:rsidRPr="00DD7BD1">
        <w:rPr>
          <w:rFonts w:ascii="Calibri" w:hAnsi="Calibri" w:cs="Calibri"/>
          <w:spacing w:val="-8"/>
          <w:sz w:val="32"/>
          <w:szCs w:val="32"/>
        </w:rPr>
        <w:t>Navigating Employee Political Speech: Key Considerations for Employers</w:t>
      </w:r>
    </w:p>
    <w:p w14:paraId="4D5130C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 line that stands between one's personal politics and professional responsibilities has never been thinner.</w:t>
      </w:r>
      <w:r w:rsidRPr="00DD7BD1">
        <w:rPr>
          <w:rFonts w:cs="Calibri"/>
          <w:color w:val="auto"/>
          <w:spacing w:val="80"/>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wish</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remind</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about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potential</w:t>
      </w:r>
      <w:r w:rsidRPr="00DD7BD1">
        <w:rPr>
          <w:rFonts w:cs="Calibri"/>
          <w:color w:val="auto"/>
          <w:spacing w:val="-12"/>
          <w:w w:val="110"/>
          <w:szCs w:val="22"/>
        </w:rPr>
        <w:t xml:space="preserve"> </w:t>
      </w:r>
      <w:r w:rsidRPr="00DD7BD1">
        <w:rPr>
          <w:rFonts w:cs="Calibri"/>
          <w:color w:val="auto"/>
          <w:w w:val="110"/>
          <w:szCs w:val="22"/>
        </w:rPr>
        <w:t>repercussions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making</w:t>
      </w:r>
      <w:r w:rsidRPr="00DD7BD1">
        <w:rPr>
          <w:rFonts w:cs="Calibri"/>
          <w:color w:val="auto"/>
          <w:spacing w:val="-12"/>
          <w:w w:val="110"/>
          <w:szCs w:val="22"/>
        </w:rPr>
        <w:t xml:space="preserve"> </w:t>
      </w:r>
      <w:r w:rsidRPr="00DD7BD1">
        <w:rPr>
          <w:rFonts w:cs="Calibri"/>
          <w:color w:val="auto"/>
          <w:w w:val="110"/>
          <w:szCs w:val="22"/>
        </w:rPr>
        <w:t>public political</w:t>
      </w:r>
      <w:r w:rsidRPr="00DD7BD1">
        <w:rPr>
          <w:rFonts w:cs="Calibri"/>
          <w:color w:val="auto"/>
          <w:spacing w:val="-13"/>
          <w:w w:val="110"/>
          <w:szCs w:val="22"/>
        </w:rPr>
        <w:t xml:space="preserve"> </w:t>
      </w:r>
      <w:r w:rsidRPr="00DD7BD1">
        <w:rPr>
          <w:rFonts w:cs="Calibri"/>
          <w:color w:val="auto"/>
          <w:w w:val="110"/>
          <w:szCs w:val="22"/>
        </w:rPr>
        <w:t>statements</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sharing</w:t>
      </w:r>
      <w:r w:rsidRPr="00DD7BD1">
        <w:rPr>
          <w:rFonts w:cs="Calibri"/>
          <w:color w:val="auto"/>
          <w:spacing w:val="-13"/>
          <w:w w:val="110"/>
          <w:szCs w:val="22"/>
        </w:rPr>
        <w:t xml:space="preserve"> </w:t>
      </w:r>
      <w:r w:rsidRPr="00DD7BD1">
        <w:rPr>
          <w:rFonts w:cs="Calibri"/>
          <w:color w:val="auto"/>
          <w:w w:val="110"/>
          <w:szCs w:val="22"/>
        </w:rPr>
        <w:t>strong</w:t>
      </w:r>
      <w:r w:rsidRPr="00DD7BD1">
        <w:rPr>
          <w:rFonts w:cs="Calibri"/>
          <w:color w:val="auto"/>
          <w:spacing w:val="-13"/>
          <w:w w:val="110"/>
          <w:szCs w:val="22"/>
        </w:rPr>
        <w:t xml:space="preserve"> </w:t>
      </w:r>
      <w:r w:rsidRPr="00DD7BD1">
        <w:rPr>
          <w:rFonts w:cs="Calibri"/>
          <w:color w:val="auto"/>
          <w:w w:val="110"/>
          <w:szCs w:val="22"/>
        </w:rPr>
        <w:t>opinions</w:t>
      </w:r>
      <w:r w:rsidRPr="00DD7BD1">
        <w:rPr>
          <w:rFonts w:cs="Calibri"/>
          <w:color w:val="auto"/>
          <w:spacing w:val="-8"/>
          <w:w w:val="110"/>
          <w:szCs w:val="22"/>
        </w:rPr>
        <w:t xml:space="preserve"> </w:t>
      </w:r>
      <w:r w:rsidRPr="00DD7BD1">
        <w:rPr>
          <w:rFonts w:cs="Calibri"/>
          <w:color w:val="auto"/>
          <w:w w:val="110"/>
          <w:szCs w:val="22"/>
        </w:rPr>
        <w:t>online</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particularly</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1"/>
          <w:w w:val="110"/>
          <w:szCs w:val="22"/>
        </w:rPr>
        <w:t xml:space="preserve"> </w:t>
      </w:r>
      <w:r w:rsidRPr="00DD7BD1">
        <w:rPr>
          <w:rFonts w:cs="Calibri"/>
          <w:color w:val="auto"/>
          <w:w w:val="110"/>
          <w:szCs w:val="22"/>
        </w:rPr>
        <w:t>social</w:t>
      </w:r>
      <w:r w:rsidRPr="00DD7BD1">
        <w:rPr>
          <w:rFonts w:cs="Calibri"/>
          <w:color w:val="auto"/>
          <w:spacing w:val="-16"/>
          <w:w w:val="110"/>
          <w:szCs w:val="22"/>
        </w:rPr>
        <w:t xml:space="preserve"> </w:t>
      </w:r>
      <w:r w:rsidRPr="00DD7BD1">
        <w:rPr>
          <w:rFonts w:cs="Calibri"/>
          <w:color w:val="auto"/>
          <w:w w:val="110"/>
          <w:szCs w:val="22"/>
        </w:rPr>
        <w:t>media.</w:t>
      </w:r>
      <w:r w:rsidRPr="00DD7BD1">
        <w:rPr>
          <w:rFonts w:cs="Calibri"/>
          <w:color w:val="auto"/>
          <w:spacing w:val="40"/>
          <w:w w:val="110"/>
          <w:szCs w:val="22"/>
        </w:rPr>
        <w:t xml:space="preserve"> </w:t>
      </w:r>
      <w:r w:rsidRPr="00DD7BD1">
        <w:rPr>
          <w:rFonts w:cs="Calibri"/>
          <w:color w:val="auto"/>
          <w:w w:val="110"/>
          <w:szCs w:val="22"/>
        </w:rPr>
        <w:t>They should do so cautiously and carefully weigh workplace policies as well as organizational reputation against evolving legal protections.</w:t>
      </w:r>
    </w:p>
    <w:p w14:paraId="3EC901FB" w14:textId="77777777" w:rsidR="00E43496" w:rsidRPr="00DD7BD1" w:rsidRDefault="00E43496" w:rsidP="00E43496">
      <w:pPr>
        <w:pStyle w:val="Heading4"/>
        <w:spacing w:before="0"/>
        <w:ind w:right="-274"/>
        <w:rPr>
          <w:rFonts w:ascii="Calibri" w:hAnsi="Calibri" w:cs="Calibri"/>
          <w:w w:val="90"/>
          <w:sz w:val="16"/>
          <w:szCs w:val="16"/>
        </w:rPr>
      </w:pPr>
    </w:p>
    <w:p w14:paraId="405DE329"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Protected Concerted Activity</w:t>
      </w:r>
    </w:p>
    <w:p w14:paraId="6CE061BA"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While</w:t>
      </w:r>
      <w:r w:rsidRPr="00DD7BD1">
        <w:rPr>
          <w:rFonts w:cs="Calibri"/>
          <w:color w:val="auto"/>
          <w:spacing w:val="-9"/>
          <w:w w:val="110"/>
          <w:szCs w:val="22"/>
        </w:rPr>
        <w:t xml:space="preserve"> </w:t>
      </w:r>
      <w:r w:rsidRPr="00DD7BD1">
        <w:rPr>
          <w:rFonts w:cs="Calibri"/>
          <w:color w:val="auto"/>
          <w:w w:val="110"/>
          <w:szCs w:val="22"/>
        </w:rPr>
        <w:t>maintaining</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respectful</w:t>
      </w:r>
      <w:r w:rsidRPr="00DD7BD1">
        <w:rPr>
          <w:rFonts w:cs="Calibri"/>
          <w:color w:val="auto"/>
          <w:spacing w:val="-8"/>
          <w:w w:val="110"/>
          <w:szCs w:val="22"/>
        </w:rPr>
        <w:t xml:space="preserve"> </w:t>
      </w:r>
      <w:r w:rsidRPr="00DD7BD1">
        <w:rPr>
          <w:rFonts w:cs="Calibri"/>
          <w:color w:val="auto"/>
          <w:w w:val="110"/>
          <w:szCs w:val="22"/>
        </w:rPr>
        <w:t>workplace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legitimate</w:t>
      </w:r>
      <w:r w:rsidRPr="00DD7BD1">
        <w:rPr>
          <w:rFonts w:cs="Calibri"/>
          <w:color w:val="auto"/>
          <w:spacing w:val="-9"/>
          <w:w w:val="110"/>
          <w:szCs w:val="22"/>
        </w:rPr>
        <w:t xml:space="preserve"> </w:t>
      </w:r>
      <w:r w:rsidRPr="00DD7BD1">
        <w:rPr>
          <w:rFonts w:cs="Calibri"/>
          <w:color w:val="auto"/>
          <w:w w:val="110"/>
          <w:szCs w:val="22"/>
        </w:rPr>
        <w:t>goal,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must</w:t>
      </w:r>
      <w:r w:rsidRPr="00DD7BD1">
        <w:rPr>
          <w:rFonts w:cs="Calibri"/>
          <w:color w:val="auto"/>
          <w:spacing w:val="-9"/>
          <w:w w:val="110"/>
          <w:szCs w:val="22"/>
        </w:rPr>
        <w:t xml:space="preserve"> </w:t>
      </w:r>
      <w:r w:rsidRPr="00DD7BD1">
        <w:rPr>
          <w:rFonts w:cs="Calibri"/>
          <w:color w:val="auto"/>
          <w:w w:val="110"/>
          <w:szCs w:val="22"/>
        </w:rPr>
        <w:t>balance</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interest</w:t>
      </w:r>
      <w:r w:rsidRPr="00DD7BD1">
        <w:rPr>
          <w:rFonts w:cs="Calibri"/>
          <w:color w:val="auto"/>
          <w:spacing w:val="-7"/>
          <w:w w:val="110"/>
          <w:szCs w:val="22"/>
        </w:rPr>
        <w:t xml:space="preserve"> </w:t>
      </w:r>
      <w:r w:rsidRPr="00DD7BD1">
        <w:rPr>
          <w:rFonts w:cs="Calibri"/>
          <w:color w:val="auto"/>
          <w:spacing w:val="-2"/>
          <w:w w:val="110"/>
          <w:szCs w:val="22"/>
        </w:rPr>
        <w:t>against</w:t>
      </w:r>
    </w:p>
    <w:p w14:paraId="7712017F" w14:textId="77777777" w:rsidR="00E43496" w:rsidRPr="00DD7BD1" w:rsidRDefault="00E43496" w:rsidP="00E43496">
      <w:pPr>
        <w:pStyle w:val="BodyText"/>
        <w:spacing w:after="0" w:line="240" w:lineRule="auto"/>
        <w:ind w:right="-274"/>
        <w:jc w:val="left"/>
        <w:rPr>
          <w:rFonts w:cs="Calibri"/>
          <w:color w:val="auto"/>
          <w:spacing w:val="-2"/>
          <w:w w:val="110"/>
          <w:szCs w:val="22"/>
        </w:rPr>
      </w:pPr>
      <w:r w:rsidRPr="00DD7BD1">
        <w:rPr>
          <w:rFonts w:cs="Calibri"/>
          <w:color w:val="auto"/>
          <w:w w:val="110"/>
          <w:szCs w:val="22"/>
        </w:rPr>
        <w:lastRenderedPageBreak/>
        <w:t>employees’</w:t>
      </w:r>
      <w:r w:rsidRPr="00DD7BD1">
        <w:rPr>
          <w:rFonts w:cs="Calibri"/>
          <w:color w:val="auto"/>
          <w:spacing w:val="-11"/>
          <w:w w:val="110"/>
          <w:szCs w:val="22"/>
        </w:rPr>
        <w:t xml:space="preserve"> </w:t>
      </w:r>
      <w:r w:rsidRPr="00DD7BD1">
        <w:rPr>
          <w:rFonts w:cs="Calibri"/>
          <w:color w:val="auto"/>
          <w:spacing w:val="-2"/>
          <w:w w:val="110"/>
          <w:szCs w:val="22"/>
        </w:rPr>
        <w:t>rights.</w:t>
      </w:r>
    </w:p>
    <w:p w14:paraId="08D058C1" w14:textId="77777777" w:rsidR="00E43496" w:rsidRPr="00DD7BD1" w:rsidRDefault="00E43496" w:rsidP="00E43496">
      <w:pPr>
        <w:pStyle w:val="BodyText"/>
        <w:spacing w:after="0" w:line="240" w:lineRule="auto"/>
        <w:ind w:right="-274"/>
        <w:jc w:val="left"/>
        <w:rPr>
          <w:rFonts w:cs="Calibri"/>
          <w:color w:val="auto"/>
          <w:sz w:val="16"/>
          <w:szCs w:val="16"/>
        </w:rPr>
      </w:pPr>
    </w:p>
    <w:p w14:paraId="3BE9A214" w14:textId="77777777" w:rsidR="00E43496" w:rsidRPr="00DD7BD1" w:rsidRDefault="00E43496" w:rsidP="00E43496">
      <w:pPr>
        <w:pStyle w:val="BodyText"/>
        <w:spacing w:after="0" w:line="240" w:lineRule="auto"/>
        <w:ind w:right="-274"/>
        <w:jc w:val="left"/>
        <w:rPr>
          <w:rFonts w:cs="Calibri"/>
          <w:color w:val="auto"/>
          <w:w w:val="105"/>
          <w:szCs w:val="22"/>
        </w:rPr>
      </w:pPr>
      <w:r w:rsidRPr="00DD7BD1">
        <w:rPr>
          <w:rFonts w:cs="Calibri"/>
          <w:color w:val="auto"/>
          <w:w w:val="105"/>
          <w:szCs w:val="22"/>
        </w:rPr>
        <w:t>For</w:t>
      </w:r>
      <w:r w:rsidRPr="00DD7BD1">
        <w:rPr>
          <w:rFonts w:cs="Calibri"/>
          <w:color w:val="auto"/>
          <w:spacing w:val="-5"/>
          <w:w w:val="105"/>
          <w:szCs w:val="22"/>
        </w:rPr>
        <w:t xml:space="preserve"> </w:t>
      </w:r>
      <w:r w:rsidRPr="00DD7BD1">
        <w:rPr>
          <w:rFonts w:cs="Calibri"/>
          <w:b/>
          <w:color w:val="auto"/>
          <w:w w:val="105"/>
          <w:szCs w:val="22"/>
        </w:rPr>
        <w:t>private-sector</w:t>
      </w:r>
      <w:r w:rsidRPr="00DD7BD1">
        <w:rPr>
          <w:rFonts w:cs="Calibri"/>
          <w:b/>
          <w:color w:val="auto"/>
          <w:spacing w:val="-3"/>
          <w:w w:val="105"/>
          <w:szCs w:val="22"/>
        </w:rPr>
        <w:t xml:space="preserve"> </w:t>
      </w:r>
      <w:r w:rsidRPr="00DD7BD1">
        <w:rPr>
          <w:rFonts w:cs="Calibri"/>
          <w:b/>
          <w:color w:val="auto"/>
          <w:w w:val="105"/>
          <w:szCs w:val="22"/>
        </w:rPr>
        <w:t>employers,</w:t>
      </w:r>
      <w:r w:rsidRPr="00DD7BD1">
        <w:rPr>
          <w:rFonts w:cs="Calibri"/>
          <w:b/>
          <w:color w:val="auto"/>
          <w:spacing w:val="-1"/>
          <w:w w:val="105"/>
          <w:szCs w:val="22"/>
        </w:rPr>
        <w:t xml:space="preserve"> </w:t>
      </w:r>
      <w:hyperlink r:id="rId309">
        <w:r w:rsidRPr="00DD7BD1">
          <w:rPr>
            <w:rFonts w:cs="Calibri"/>
            <w:color w:val="0000FF"/>
            <w:w w:val="105"/>
            <w:szCs w:val="22"/>
            <w:u w:val="single" w:color="0000FF"/>
          </w:rPr>
          <w:t>Section</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7</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of</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the</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National</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Labor</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Relations</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Act</w:t>
        </w:r>
      </w:hyperlink>
      <w:r w:rsidRPr="00DD7BD1">
        <w:rPr>
          <w:rFonts w:cs="Calibri"/>
          <w:color w:val="0000FF"/>
          <w:w w:val="105"/>
          <w:szCs w:val="22"/>
        </w:rPr>
        <w:t xml:space="preserve"> </w:t>
      </w:r>
      <w:r w:rsidRPr="00DD7BD1">
        <w:rPr>
          <w:rFonts w:cs="Calibri"/>
          <w:color w:val="auto"/>
          <w:w w:val="105"/>
          <w:szCs w:val="22"/>
        </w:rPr>
        <w:t>(NLRA)</w:t>
      </w:r>
      <w:r w:rsidRPr="00DD7BD1">
        <w:rPr>
          <w:rFonts w:cs="Calibri"/>
          <w:color w:val="auto"/>
          <w:spacing w:val="-5"/>
          <w:w w:val="105"/>
          <w:szCs w:val="22"/>
        </w:rPr>
        <w:t xml:space="preserve"> </w:t>
      </w:r>
      <w:r w:rsidRPr="00DD7BD1">
        <w:rPr>
          <w:rFonts w:cs="Calibri"/>
          <w:color w:val="auto"/>
          <w:w w:val="105"/>
          <w:szCs w:val="22"/>
        </w:rPr>
        <w:t>protects</w:t>
      </w:r>
      <w:r w:rsidRPr="00DD7BD1">
        <w:rPr>
          <w:rFonts w:cs="Calibri"/>
          <w:color w:val="auto"/>
          <w:spacing w:val="-3"/>
          <w:w w:val="105"/>
          <w:szCs w:val="22"/>
        </w:rPr>
        <w:t xml:space="preserve"> </w:t>
      </w:r>
      <w:r w:rsidRPr="00DD7BD1">
        <w:rPr>
          <w:rFonts w:cs="Calibri"/>
          <w:color w:val="auto"/>
          <w:w w:val="105"/>
          <w:szCs w:val="22"/>
        </w:rPr>
        <w:t>employees’</w:t>
      </w:r>
      <w:r w:rsidRPr="00DD7BD1">
        <w:rPr>
          <w:rFonts w:cs="Calibri"/>
          <w:color w:val="auto"/>
          <w:spacing w:val="-3"/>
          <w:w w:val="105"/>
          <w:szCs w:val="22"/>
        </w:rPr>
        <w:t xml:space="preserve"> </w:t>
      </w:r>
      <w:r w:rsidRPr="00DD7BD1">
        <w:rPr>
          <w:rFonts w:cs="Calibri"/>
          <w:color w:val="auto"/>
          <w:w w:val="105"/>
          <w:szCs w:val="22"/>
        </w:rPr>
        <w:t>right</w:t>
      </w:r>
      <w:r w:rsidRPr="00DD7BD1">
        <w:rPr>
          <w:rFonts w:cs="Calibri"/>
          <w:color w:val="auto"/>
          <w:spacing w:val="-2"/>
          <w:w w:val="105"/>
          <w:szCs w:val="22"/>
        </w:rPr>
        <w:t xml:space="preserve"> </w:t>
      </w:r>
      <w:r w:rsidRPr="00DD7BD1">
        <w:rPr>
          <w:rFonts w:cs="Calibri"/>
          <w:color w:val="auto"/>
          <w:w w:val="105"/>
          <w:szCs w:val="22"/>
        </w:rPr>
        <w:t>to engage in “</w:t>
      </w:r>
      <w:r w:rsidRPr="00DD7BD1">
        <w:rPr>
          <w:rFonts w:cs="Calibri"/>
          <w:b/>
          <w:i/>
          <w:color w:val="auto"/>
          <w:w w:val="105"/>
          <w:szCs w:val="22"/>
          <w:u w:val="single"/>
        </w:rPr>
        <w:t>protected concerted activity</w:t>
      </w:r>
      <w:r w:rsidRPr="00DD7BD1">
        <w:rPr>
          <w:rFonts w:cs="Calibri"/>
          <w:color w:val="auto"/>
          <w:w w:val="105"/>
          <w:szCs w:val="22"/>
        </w:rPr>
        <w:t xml:space="preserve">,” meaning actions employees take together—or on behalf of their </w:t>
      </w:r>
      <w:r w:rsidRPr="00DD7BD1">
        <w:rPr>
          <w:rFonts w:cs="Calibri"/>
          <w:color w:val="auto"/>
          <w:szCs w:val="22"/>
        </w:rPr>
        <w:t>coworkers—</w:t>
      </w:r>
      <w:r w:rsidRPr="00DD7BD1">
        <w:rPr>
          <w:rFonts w:cs="Calibri"/>
          <w:b/>
          <w:color w:val="auto"/>
          <w:szCs w:val="22"/>
        </w:rPr>
        <w:t>to</w:t>
      </w:r>
      <w:r w:rsidRPr="00DD7BD1">
        <w:rPr>
          <w:rFonts w:cs="Calibri"/>
          <w:b/>
          <w:color w:val="auto"/>
          <w:spacing w:val="-8"/>
          <w:szCs w:val="22"/>
        </w:rPr>
        <w:t xml:space="preserve"> </w:t>
      </w:r>
      <w:r w:rsidRPr="00DD7BD1">
        <w:rPr>
          <w:rFonts w:cs="Calibri"/>
          <w:b/>
          <w:color w:val="auto"/>
          <w:szCs w:val="22"/>
        </w:rPr>
        <w:t>improve</w:t>
      </w:r>
      <w:r w:rsidRPr="00DD7BD1">
        <w:rPr>
          <w:rFonts w:cs="Calibri"/>
          <w:b/>
          <w:color w:val="auto"/>
          <w:spacing w:val="-11"/>
          <w:szCs w:val="22"/>
        </w:rPr>
        <w:t xml:space="preserve"> </w:t>
      </w:r>
      <w:r w:rsidRPr="00DD7BD1">
        <w:rPr>
          <w:rFonts w:cs="Calibri"/>
          <w:b/>
          <w:color w:val="auto"/>
          <w:szCs w:val="22"/>
        </w:rPr>
        <w:t>wages,</w:t>
      </w:r>
      <w:r w:rsidRPr="00DD7BD1">
        <w:rPr>
          <w:rFonts w:cs="Calibri"/>
          <w:b/>
          <w:color w:val="auto"/>
          <w:spacing w:val="-9"/>
          <w:szCs w:val="22"/>
        </w:rPr>
        <w:t xml:space="preserve"> </w:t>
      </w:r>
      <w:r w:rsidRPr="00DD7BD1">
        <w:rPr>
          <w:rFonts w:cs="Calibri"/>
          <w:b/>
          <w:color w:val="auto"/>
          <w:szCs w:val="22"/>
        </w:rPr>
        <w:t>hours,</w:t>
      </w:r>
      <w:r w:rsidRPr="00DD7BD1">
        <w:rPr>
          <w:rFonts w:cs="Calibri"/>
          <w:b/>
          <w:color w:val="auto"/>
          <w:spacing w:val="-7"/>
          <w:szCs w:val="22"/>
        </w:rPr>
        <w:t xml:space="preserve"> </w:t>
      </w:r>
      <w:r w:rsidRPr="00DD7BD1">
        <w:rPr>
          <w:rFonts w:cs="Calibri"/>
          <w:b/>
          <w:color w:val="auto"/>
          <w:szCs w:val="22"/>
        </w:rPr>
        <w:t>or</w:t>
      </w:r>
      <w:r w:rsidRPr="00DD7BD1">
        <w:rPr>
          <w:rFonts w:cs="Calibri"/>
          <w:b/>
          <w:color w:val="auto"/>
          <w:spacing w:val="-7"/>
          <w:szCs w:val="22"/>
        </w:rPr>
        <w:t xml:space="preserve"> </w:t>
      </w:r>
      <w:r w:rsidRPr="00DD7BD1">
        <w:rPr>
          <w:rFonts w:cs="Calibri"/>
          <w:b/>
          <w:color w:val="auto"/>
          <w:szCs w:val="22"/>
        </w:rPr>
        <w:t>other</w:t>
      </w:r>
      <w:r w:rsidRPr="00DD7BD1">
        <w:rPr>
          <w:rFonts w:cs="Calibri"/>
          <w:b/>
          <w:color w:val="auto"/>
          <w:spacing w:val="-7"/>
          <w:szCs w:val="22"/>
        </w:rPr>
        <w:t xml:space="preserve"> </w:t>
      </w:r>
      <w:r w:rsidRPr="00DD7BD1">
        <w:rPr>
          <w:rFonts w:cs="Calibri"/>
          <w:b/>
          <w:color w:val="auto"/>
          <w:szCs w:val="22"/>
        </w:rPr>
        <w:t>terms</w:t>
      </w:r>
      <w:r w:rsidRPr="00DD7BD1">
        <w:rPr>
          <w:rFonts w:cs="Calibri"/>
          <w:b/>
          <w:color w:val="auto"/>
          <w:spacing w:val="-8"/>
          <w:szCs w:val="22"/>
        </w:rPr>
        <w:t xml:space="preserve"> </w:t>
      </w:r>
      <w:r w:rsidRPr="00DD7BD1">
        <w:rPr>
          <w:rFonts w:cs="Calibri"/>
          <w:b/>
          <w:color w:val="auto"/>
          <w:szCs w:val="22"/>
        </w:rPr>
        <w:t>and</w:t>
      </w:r>
      <w:r w:rsidRPr="00DD7BD1">
        <w:rPr>
          <w:rFonts w:cs="Calibri"/>
          <w:b/>
          <w:color w:val="auto"/>
          <w:spacing w:val="-9"/>
          <w:szCs w:val="22"/>
        </w:rPr>
        <w:t xml:space="preserve"> </w:t>
      </w:r>
      <w:r w:rsidRPr="00DD7BD1">
        <w:rPr>
          <w:rFonts w:cs="Calibri"/>
          <w:b/>
          <w:color w:val="auto"/>
          <w:szCs w:val="22"/>
        </w:rPr>
        <w:t>conditions</w:t>
      </w:r>
      <w:r w:rsidRPr="00DD7BD1">
        <w:rPr>
          <w:rFonts w:cs="Calibri"/>
          <w:b/>
          <w:color w:val="auto"/>
          <w:spacing w:val="-8"/>
          <w:szCs w:val="22"/>
        </w:rPr>
        <w:t xml:space="preserve"> </w:t>
      </w:r>
      <w:r w:rsidRPr="00DD7BD1">
        <w:rPr>
          <w:rFonts w:cs="Calibri"/>
          <w:b/>
          <w:color w:val="auto"/>
          <w:szCs w:val="22"/>
        </w:rPr>
        <w:t>of</w:t>
      </w:r>
      <w:r w:rsidRPr="00DD7BD1">
        <w:rPr>
          <w:rFonts w:cs="Calibri"/>
          <w:b/>
          <w:color w:val="auto"/>
          <w:spacing w:val="-8"/>
          <w:szCs w:val="22"/>
        </w:rPr>
        <w:t xml:space="preserve"> </w:t>
      </w:r>
      <w:r w:rsidRPr="00DD7BD1">
        <w:rPr>
          <w:rFonts w:cs="Calibri"/>
          <w:b/>
          <w:color w:val="auto"/>
          <w:szCs w:val="22"/>
        </w:rPr>
        <w:t>employment</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9"/>
          <w:szCs w:val="22"/>
        </w:rPr>
        <w:t xml:space="preserve"> </w:t>
      </w:r>
      <w:r w:rsidRPr="00DD7BD1">
        <w:rPr>
          <w:rFonts w:cs="Calibri"/>
          <w:color w:val="auto"/>
          <w:szCs w:val="22"/>
        </w:rPr>
        <w:t>protection</w:t>
      </w:r>
      <w:r w:rsidRPr="00DD7BD1">
        <w:rPr>
          <w:rFonts w:cs="Calibri"/>
          <w:color w:val="auto"/>
          <w:spacing w:val="-7"/>
          <w:szCs w:val="22"/>
        </w:rPr>
        <w:t xml:space="preserve"> </w:t>
      </w:r>
      <w:r w:rsidRPr="00DD7BD1">
        <w:rPr>
          <w:rFonts w:cs="Calibri"/>
          <w:color w:val="auto"/>
          <w:szCs w:val="22"/>
        </w:rPr>
        <w:t xml:space="preserve">covers </w:t>
      </w:r>
      <w:r w:rsidRPr="00DD7BD1">
        <w:rPr>
          <w:rFonts w:cs="Calibri"/>
          <w:color w:val="auto"/>
          <w:w w:val="105"/>
          <w:szCs w:val="22"/>
        </w:rPr>
        <w:t>employees' discussions about these</w:t>
      </w:r>
      <w:r w:rsidRPr="00DD7BD1">
        <w:rPr>
          <w:rFonts w:cs="Calibri"/>
          <w:color w:val="auto"/>
          <w:spacing w:val="23"/>
          <w:w w:val="105"/>
          <w:szCs w:val="22"/>
        </w:rPr>
        <w:t xml:space="preserve"> </w:t>
      </w:r>
      <w:r w:rsidRPr="00DD7BD1">
        <w:rPr>
          <w:rFonts w:cs="Calibri"/>
          <w:color w:val="auto"/>
          <w:w w:val="105"/>
          <w:szCs w:val="22"/>
        </w:rPr>
        <w:t>topics, whether they occur in person or online.</w:t>
      </w:r>
      <w:r w:rsidRPr="00DD7BD1">
        <w:rPr>
          <w:rFonts w:cs="Calibri"/>
          <w:color w:val="auto"/>
          <w:spacing w:val="80"/>
          <w:w w:val="105"/>
          <w:szCs w:val="22"/>
        </w:rPr>
        <w:t xml:space="preserve"> </w:t>
      </w:r>
      <w:r w:rsidRPr="00DD7BD1">
        <w:rPr>
          <w:rFonts w:cs="Calibri"/>
          <w:color w:val="auto"/>
          <w:w w:val="105"/>
          <w:szCs w:val="22"/>
        </w:rPr>
        <w:t>Tweets, posts, and</w:t>
      </w:r>
      <w:r w:rsidRPr="00DD7BD1">
        <w:rPr>
          <w:rFonts w:cs="Calibri"/>
          <w:color w:val="auto"/>
          <w:spacing w:val="23"/>
          <w:w w:val="105"/>
          <w:szCs w:val="22"/>
        </w:rPr>
        <w:t xml:space="preserve"> </w:t>
      </w:r>
      <w:r w:rsidRPr="00DD7BD1">
        <w:rPr>
          <w:rFonts w:cs="Calibri"/>
          <w:color w:val="auto"/>
          <w:w w:val="105"/>
          <w:szCs w:val="22"/>
        </w:rPr>
        <w:t>workplace</w:t>
      </w:r>
      <w:r w:rsidRPr="00DD7BD1">
        <w:rPr>
          <w:rFonts w:cs="Calibri"/>
          <w:color w:val="auto"/>
          <w:spacing w:val="40"/>
          <w:w w:val="105"/>
          <w:szCs w:val="22"/>
        </w:rPr>
        <w:t xml:space="preserve"> </w:t>
      </w:r>
      <w:r w:rsidRPr="00DD7BD1">
        <w:rPr>
          <w:rFonts w:cs="Calibri"/>
          <w:color w:val="auto"/>
          <w:w w:val="105"/>
          <w:szCs w:val="22"/>
        </w:rPr>
        <w:t>conversations tied</w:t>
      </w:r>
      <w:r w:rsidRPr="00DD7BD1">
        <w:rPr>
          <w:rFonts w:cs="Calibri"/>
          <w:color w:val="auto"/>
          <w:spacing w:val="20"/>
          <w:w w:val="105"/>
          <w:szCs w:val="22"/>
        </w:rPr>
        <w:t xml:space="preserve"> </w:t>
      </w:r>
      <w:r w:rsidRPr="00DD7BD1">
        <w:rPr>
          <w:rFonts w:cs="Calibri"/>
          <w:color w:val="auto"/>
          <w:w w:val="105"/>
          <w:szCs w:val="22"/>
        </w:rPr>
        <w:t>to</w:t>
      </w:r>
      <w:r w:rsidRPr="00DD7BD1">
        <w:rPr>
          <w:rFonts w:cs="Calibri"/>
          <w:color w:val="auto"/>
          <w:spacing w:val="20"/>
          <w:w w:val="105"/>
          <w:szCs w:val="22"/>
        </w:rPr>
        <w:t xml:space="preserve"> </w:t>
      </w:r>
      <w:r w:rsidRPr="00DD7BD1">
        <w:rPr>
          <w:rFonts w:cs="Calibri"/>
          <w:color w:val="auto"/>
          <w:w w:val="105"/>
          <w:szCs w:val="22"/>
        </w:rPr>
        <w:t>these</w:t>
      </w:r>
      <w:r w:rsidRPr="00DD7BD1">
        <w:rPr>
          <w:rFonts w:cs="Calibri"/>
          <w:color w:val="auto"/>
          <w:spacing w:val="20"/>
          <w:w w:val="105"/>
          <w:szCs w:val="22"/>
        </w:rPr>
        <w:t xml:space="preserve"> </w:t>
      </w:r>
      <w:r w:rsidRPr="00DD7BD1">
        <w:rPr>
          <w:rFonts w:cs="Calibri"/>
          <w:color w:val="auto"/>
          <w:w w:val="105"/>
          <w:szCs w:val="22"/>
        </w:rPr>
        <w:t>topics often</w:t>
      </w:r>
      <w:r w:rsidRPr="00DD7BD1">
        <w:rPr>
          <w:rFonts w:cs="Calibri"/>
          <w:color w:val="auto"/>
          <w:spacing w:val="20"/>
          <w:w w:val="105"/>
          <w:szCs w:val="22"/>
        </w:rPr>
        <w:t xml:space="preserve"> </w:t>
      </w:r>
      <w:r w:rsidRPr="00DD7BD1">
        <w:rPr>
          <w:rFonts w:cs="Calibri"/>
          <w:color w:val="auto"/>
          <w:w w:val="105"/>
          <w:szCs w:val="22"/>
        </w:rPr>
        <w:t>qualify</w:t>
      </w:r>
      <w:r w:rsidRPr="00DD7BD1">
        <w:rPr>
          <w:rFonts w:cs="Calibri"/>
          <w:color w:val="auto"/>
          <w:spacing w:val="20"/>
          <w:w w:val="105"/>
          <w:szCs w:val="22"/>
        </w:rPr>
        <w:t xml:space="preserve"> </w:t>
      </w:r>
      <w:r w:rsidRPr="00DD7BD1">
        <w:rPr>
          <w:rFonts w:cs="Calibri"/>
          <w:color w:val="auto"/>
          <w:w w:val="105"/>
          <w:szCs w:val="22"/>
        </w:rPr>
        <w:t>for protection,</w:t>
      </w:r>
      <w:r w:rsidRPr="00DD7BD1">
        <w:rPr>
          <w:rFonts w:cs="Calibri"/>
          <w:color w:val="auto"/>
          <w:spacing w:val="20"/>
          <w:w w:val="105"/>
          <w:szCs w:val="22"/>
        </w:rPr>
        <w:t xml:space="preserve"> </w:t>
      </w:r>
      <w:r w:rsidRPr="00DD7BD1">
        <w:rPr>
          <w:rFonts w:cs="Calibri"/>
          <w:color w:val="auto"/>
          <w:w w:val="105"/>
          <w:szCs w:val="22"/>
        </w:rPr>
        <w:t>even</w:t>
      </w:r>
      <w:r w:rsidRPr="00DD7BD1">
        <w:rPr>
          <w:rFonts w:cs="Calibri"/>
          <w:color w:val="auto"/>
          <w:spacing w:val="20"/>
          <w:w w:val="105"/>
          <w:szCs w:val="22"/>
        </w:rPr>
        <w:t xml:space="preserve"> </w:t>
      </w:r>
      <w:r w:rsidRPr="00DD7BD1">
        <w:rPr>
          <w:rFonts w:cs="Calibri"/>
          <w:color w:val="auto"/>
          <w:w w:val="105"/>
          <w:szCs w:val="22"/>
        </w:rPr>
        <w:t>if they are critical of management</w:t>
      </w:r>
      <w:r w:rsidRPr="00DD7BD1">
        <w:rPr>
          <w:rFonts w:cs="Calibri"/>
          <w:color w:val="auto"/>
          <w:spacing w:val="20"/>
          <w:w w:val="105"/>
          <w:szCs w:val="22"/>
        </w:rPr>
        <w:t xml:space="preserve"> </w:t>
      </w:r>
      <w:r w:rsidRPr="00DD7BD1">
        <w:rPr>
          <w:rFonts w:cs="Calibri"/>
          <w:color w:val="auto"/>
          <w:w w:val="105"/>
          <w:szCs w:val="22"/>
        </w:rPr>
        <w:t>or politically charged.</w:t>
      </w:r>
      <w:r w:rsidRPr="00DD7BD1">
        <w:rPr>
          <w:rFonts w:cs="Calibri"/>
          <w:color w:val="auto"/>
          <w:spacing w:val="80"/>
          <w:w w:val="150"/>
          <w:szCs w:val="22"/>
        </w:rPr>
        <w:t xml:space="preserve"> </w:t>
      </w:r>
      <w:r w:rsidRPr="00DD7BD1">
        <w:rPr>
          <w:rFonts w:cs="Calibri"/>
          <w:color w:val="auto"/>
          <w:w w:val="105"/>
          <w:szCs w:val="22"/>
        </w:rPr>
        <w:t>Overreaching</w:t>
      </w:r>
      <w:r w:rsidRPr="00DD7BD1">
        <w:rPr>
          <w:rFonts w:cs="Calibri"/>
          <w:color w:val="auto"/>
          <w:spacing w:val="36"/>
          <w:w w:val="105"/>
          <w:szCs w:val="22"/>
        </w:rPr>
        <w:t xml:space="preserve"> </w:t>
      </w:r>
      <w:r w:rsidRPr="00DD7BD1">
        <w:rPr>
          <w:rFonts w:cs="Calibri"/>
          <w:color w:val="auto"/>
          <w:w w:val="105"/>
          <w:szCs w:val="22"/>
        </w:rPr>
        <w:t>employer</w:t>
      </w:r>
      <w:r w:rsidRPr="00DD7BD1">
        <w:rPr>
          <w:rFonts w:cs="Calibri"/>
          <w:color w:val="auto"/>
          <w:spacing w:val="35"/>
          <w:w w:val="105"/>
          <w:szCs w:val="22"/>
        </w:rPr>
        <w:t xml:space="preserve"> </w:t>
      </w:r>
      <w:r w:rsidRPr="00DD7BD1">
        <w:rPr>
          <w:rFonts w:cs="Calibri"/>
          <w:color w:val="auto"/>
          <w:w w:val="105"/>
          <w:szCs w:val="22"/>
        </w:rPr>
        <w:t>policies</w:t>
      </w:r>
      <w:r w:rsidRPr="00DD7BD1">
        <w:rPr>
          <w:rFonts w:cs="Calibri"/>
          <w:color w:val="auto"/>
          <w:spacing w:val="38"/>
          <w:w w:val="105"/>
          <w:szCs w:val="22"/>
        </w:rPr>
        <w:t xml:space="preserve"> </w:t>
      </w:r>
      <w:r w:rsidRPr="00DD7BD1">
        <w:rPr>
          <w:rFonts w:cs="Calibri"/>
          <w:color w:val="auto"/>
          <w:w w:val="105"/>
          <w:szCs w:val="22"/>
        </w:rPr>
        <w:t>that</w:t>
      </w:r>
      <w:r w:rsidRPr="00DD7BD1">
        <w:rPr>
          <w:rFonts w:cs="Calibri"/>
          <w:color w:val="auto"/>
          <w:spacing w:val="35"/>
          <w:w w:val="105"/>
          <w:szCs w:val="22"/>
        </w:rPr>
        <w:t xml:space="preserve"> </w:t>
      </w:r>
      <w:r w:rsidRPr="00DD7BD1">
        <w:rPr>
          <w:rFonts w:cs="Calibri"/>
          <w:color w:val="auto"/>
          <w:w w:val="105"/>
          <w:szCs w:val="22"/>
        </w:rPr>
        <w:t>chill</w:t>
      </w:r>
      <w:r w:rsidRPr="00DD7BD1">
        <w:rPr>
          <w:rFonts w:cs="Calibri"/>
          <w:color w:val="auto"/>
          <w:spacing w:val="33"/>
          <w:w w:val="105"/>
          <w:szCs w:val="22"/>
        </w:rPr>
        <w:t xml:space="preserve"> </w:t>
      </w:r>
      <w:r w:rsidRPr="00DD7BD1">
        <w:rPr>
          <w:rFonts w:cs="Calibri"/>
          <w:color w:val="auto"/>
          <w:w w:val="105"/>
          <w:szCs w:val="22"/>
        </w:rPr>
        <w:t>such</w:t>
      </w:r>
      <w:r w:rsidRPr="00DD7BD1">
        <w:rPr>
          <w:rFonts w:cs="Calibri"/>
          <w:color w:val="auto"/>
          <w:spacing w:val="36"/>
          <w:w w:val="105"/>
          <w:szCs w:val="22"/>
        </w:rPr>
        <w:t xml:space="preserve"> </w:t>
      </w:r>
      <w:r w:rsidRPr="00DD7BD1">
        <w:rPr>
          <w:rFonts w:cs="Calibri"/>
          <w:color w:val="auto"/>
          <w:w w:val="105"/>
          <w:szCs w:val="22"/>
        </w:rPr>
        <w:t>activity</w:t>
      </w:r>
      <w:r w:rsidRPr="00DD7BD1">
        <w:rPr>
          <w:rFonts w:cs="Calibri"/>
          <w:color w:val="auto"/>
          <w:spacing w:val="36"/>
          <w:w w:val="105"/>
          <w:szCs w:val="22"/>
        </w:rPr>
        <w:t xml:space="preserve"> </w:t>
      </w:r>
      <w:r w:rsidRPr="00DD7BD1">
        <w:rPr>
          <w:rFonts w:cs="Calibri"/>
          <w:color w:val="auto"/>
          <w:w w:val="105"/>
          <w:szCs w:val="22"/>
        </w:rPr>
        <w:t>can</w:t>
      </w:r>
      <w:r w:rsidRPr="00DD7BD1">
        <w:rPr>
          <w:rFonts w:cs="Calibri"/>
          <w:color w:val="auto"/>
          <w:spacing w:val="31"/>
          <w:w w:val="105"/>
          <w:szCs w:val="22"/>
        </w:rPr>
        <w:t xml:space="preserve"> </w:t>
      </w:r>
      <w:r w:rsidRPr="00DD7BD1">
        <w:rPr>
          <w:rFonts w:cs="Calibri"/>
          <w:color w:val="auto"/>
          <w:w w:val="105"/>
          <w:szCs w:val="22"/>
        </w:rPr>
        <w:t>lead</w:t>
      </w:r>
      <w:r w:rsidRPr="00DD7BD1">
        <w:rPr>
          <w:rFonts w:cs="Calibri"/>
          <w:color w:val="auto"/>
          <w:spacing w:val="31"/>
          <w:w w:val="105"/>
          <w:szCs w:val="22"/>
        </w:rPr>
        <w:t xml:space="preserve"> </w:t>
      </w:r>
      <w:r w:rsidRPr="00DD7BD1">
        <w:rPr>
          <w:rFonts w:cs="Calibri"/>
          <w:color w:val="auto"/>
          <w:w w:val="105"/>
          <w:szCs w:val="22"/>
        </w:rPr>
        <w:t>to</w:t>
      </w:r>
      <w:r w:rsidRPr="00DD7BD1">
        <w:rPr>
          <w:rFonts w:cs="Calibri"/>
          <w:color w:val="auto"/>
          <w:spacing w:val="36"/>
          <w:w w:val="105"/>
          <w:szCs w:val="22"/>
        </w:rPr>
        <w:t xml:space="preserve"> </w:t>
      </w:r>
      <w:r w:rsidRPr="00DD7BD1">
        <w:rPr>
          <w:rFonts w:cs="Calibri"/>
          <w:color w:val="auto"/>
          <w:w w:val="105"/>
          <w:szCs w:val="22"/>
        </w:rPr>
        <w:t>unfair</w:t>
      </w:r>
      <w:r w:rsidRPr="00DD7BD1">
        <w:rPr>
          <w:rFonts w:cs="Calibri"/>
          <w:color w:val="auto"/>
          <w:spacing w:val="35"/>
          <w:w w:val="105"/>
          <w:szCs w:val="22"/>
        </w:rPr>
        <w:t xml:space="preserve"> </w:t>
      </w:r>
      <w:r w:rsidRPr="00DD7BD1">
        <w:rPr>
          <w:rFonts w:cs="Calibri"/>
          <w:color w:val="auto"/>
          <w:w w:val="105"/>
          <w:szCs w:val="22"/>
        </w:rPr>
        <w:t>labor</w:t>
      </w:r>
      <w:r w:rsidRPr="00DD7BD1">
        <w:rPr>
          <w:rFonts w:cs="Calibri"/>
          <w:color w:val="auto"/>
          <w:spacing w:val="31"/>
          <w:w w:val="105"/>
          <w:szCs w:val="22"/>
        </w:rPr>
        <w:t xml:space="preserve"> </w:t>
      </w:r>
      <w:r w:rsidRPr="00DD7BD1">
        <w:rPr>
          <w:rFonts w:cs="Calibri"/>
          <w:color w:val="auto"/>
          <w:w w:val="105"/>
          <w:szCs w:val="22"/>
        </w:rPr>
        <w:t>practice</w:t>
      </w:r>
      <w:r w:rsidRPr="00DD7BD1">
        <w:rPr>
          <w:rFonts w:cs="Calibri"/>
          <w:color w:val="auto"/>
          <w:spacing w:val="36"/>
          <w:w w:val="105"/>
          <w:szCs w:val="22"/>
        </w:rPr>
        <w:t xml:space="preserve"> </w:t>
      </w:r>
      <w:r w:rsidRPr="00DD7BD1">
        <w:rPr>
          <w:rFonts w:cs="Calibri"/>
          <w:color w:val="auto"/>
          <w:w w:val="105"/>
          <w:szCs w:val="22"/>
        </w:rPr>
        <w:t xml:space="preserve">charges. </w:t>
      </w:r>
      <w:r w:rsidRPr="00DD7BD1">
        <w:rPr>
          <w:rFonts w:cs="Calibri"/>
          <w:color w:val="auto"/>
          <w:szCs w:val="22"/>
        </w:rPr>
        <w:t>The</w:t>
      </w:r>
      <w:r w:rsidRPr="00DD7BD1">
        <w:rPr>
          <w:rFonts w:cs="Calibri"/>
          <w:color w:val="auto"/>
          <w:spacing w:val="28"/>
          <w:szCs w:val="22"/>
        </w:rPr>
        <w:t xml:space="preserve"> </w:t>
      </w:r>
      <w:r w:rsidRPr="00DD7BD1">
        <w:rPr>
          <w:rFonts w:cs="Calibri"/>
          <w:color w:val="auto"/>
          <w:szCs w:val="22"/>
        </w:rPr>
        <w:t>NLRA</w:t>
      </w:r>
      <w:r w:rsidRPr="00DD7BD1">
        <w:rPr>
          <w:rFonts w:cs="Calibri"/>
          <w:color w:val="auto"/>
          <w:spacing w:val="26"/>
          <w:szCs w:val="22"/>
        </w:rPr>
        <w:t xml:space="preserve"> </w:t>
      </w:r>
      <w:r w:rsidRPr="00DD7BD1">
        <w:rPr>
          <w:rFonts w:cs="Calibri"/>
          <w:color w:val="auto"/>
          <w:szCs w:val="22"/>
        </w:rPr>
        <w:t>does</w:t>
      </w:r>
      <w:r w:rsidRPr="00DD7BD1">
        <w:rPr>
          <w:rFonts w:cs="Calibri"/>
          <w:color w:val="auto"/>
          <w:spacing w:val="32"/>
          <w:szCs w:val="22"/>
        </w:rPr>
        <w:t xml:space="preserve"> </w:t>
      </w:r>
      <w:r w:rsidRPr="00DD7BD1">
        <w:rPr>
          <w:rFonts w:cs="Calibri"/>
          <w:b/>
          <w:color w:val="auto"/>
          <w:szCs w:val="22"/>
        </w:rPr>
        <w:t>not</w:t>
      </w:r>
      <w:r w:rsidRPr="00DD7BD1">
        <w:rPr>
          <w:rFonts w:cs="Calibri"/>
          <w:b/>
          <w:color w:val="auto"/>
          <w:spacing w:val="27"/>
          <w:szCs w:val="22"/>
        </w:rPr>
        <w:t xml:space="preserve"> </w:t>
      </w:r>
      <w:r w:rsidRPr="00DD7BD1">
        <w:rPr>
          <w:rFonts w:cs="Calibri"/>
          <w:color w:val="auto"/>
          <w:szCs w:val="22"/>
        </w:rPr>
        <w:t>protect</w:t>
      </w:r>
      <w:r w:rsidRPr="00DD7BD1">
        <w:rPr>
          <w:rFonts w:cs="Calibri"/>
          <w:color w:val="auto"/>
          <w:spacing w:val="30"/>
          <w:szCs w:val="22"/>
        </w:rPr>
        <w:t xml:space="preserve"> </w:t>
      </w:r>
      <w:r w:rsidRPr="00DD7BD1">
        <w:rPr>
          <w:rFonts w:cs="Calibri"/>
          <w:color w:val="auto"/>
          <w:szCs w:val="22"/>
        </w:rPr>
        <w:t>federal,</w:t>
      </w:r>
      <w:r w:rsidRPr="00DD7BD1">
        <w:rPr>
          <w:rFonts w:cs="Calibri"/>
          <w:color w:val="auto"/>
          <w:spacing w:val="30"/>
          <w:szCs w:val="22"/>
        </w:rPr>
        <w:t xml:space="preserve"> </w:t>
      </w:r>
      <w:r w:rsidRPr="00DD7BD1">
        <w:rPr>
          <w:rFonts w:cs="Calibri"/>
          <w:color w:val="auto"/>
          <w:szCs w:val="22"/>
        </w:rPr>
        <w:t>state,</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local</w:t>
      </w:r>
      <w:r w:rsidRPr="00DD7BD1">
        <w:rPr>
          <w:rFonts w:cs="Calibri"/>
          <w:color w:val="auto"/>
          <w:spacing w:val="28"/>
          <w:szCs w:val="22"/>
        </w:rPr>
        <w:t xml:space="preserve"> </w:t>
      </w:r>
      <w:r w:rsidRPr="00DD7BD1">
        <w:rPr>
          <w:rFonts w:cs="Calibri"/>
          <w:color w:val="auto"/>
          <w:szCs w:val="22"/>
        </w:rPr>
        <w:t>government</w:t>
      </w:r>
      <w:r w:rsidRPr="00DD7BD1">
        <w:rPr>
          <w:rFonts w:cs="Calibri"/>
          <w:color w:val="auto"/>
          <w:spacing w:val="32"/>
          <w:szCs w:val="22"/>
        </w:rPr>
        <w:t xml:space="preserve"> </w:t>
      </w:r>
      <w:r w:rsidRPr="00DD7BD1">
        <w:rPr>
          <w:rFonts w:cs="Calibri"/>
          <w:color w:val="auto"/>
          <w:spacing w:val="-2"/>
          <w:szCs w:val="22"/>
        </w:rPr>
        <w:t>workers.</w:t>
      </w:r>
    </w:p>
    <w:p w14:paraId="0CFBBB6D" w14:textId="77777777" w:rsidR="00E43496" w:rsidRPr="00DD7BD1" w:rsidRDefault="00E43496" w:rsidP="00E43496">
      <w:pPr>
        <w:pStyle w:val="Heading4"/>
        <w:spacing w:before="0" w:line="240" w:lineRule="auto"/>
        <w:ind w:right="-274"/>
        <w:rPr>
          <w:rFonts w:ascii="Calibri" w:hAnsi="Calibri" w:cs="Calibri"/>
          <w:color w:val="auto"/>
          <w:w w:val="90"/>
          <w:sz w:val="16"/>
          <w:szCs w:val="16"/>
        </w:rPr>
      </w:pPr>
    </w:p>
    <w:p w14:paraId="3051F62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First Amendment Protections</w:t>
      </w:r>
    </w:p>
    <w:p w14:paraId="535C05F0"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Public-sector</w:t>
      </w:r>
      <w:r w:rsidRPr="00DD7BD1">
        <w:rPr>
          <w:rFonts w:cs="Calibri"/>
          <w:b/>
          <w:color w:val="auto"/>
          <w:spacing w:val="40"/>
          <w:szCs w:val="22"/>
        </w:rPr>
        <w:t xml:space="preserve"> </w:t>
      </w:r>
      <w:r w:rsidRPr="00DD7BD1">
        <w:rPr>
          <w:rFonts w:cs="Calibri"/>
          <w:b/>
          <w:color w:val="auto"/>
          <w:szCs w:val="22"/>
        </w:rPr>
        <w:t>employers</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navigate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First</w:t>
      </w:r>
      <w:r w:rsidRPr="00DD7BD1">
        <w:rPr>
          <w:rFonts w:cs="Calibri"/>
          <w:color w:val="auto"/>
          <w:spacing w:val="40"/>
          <w:szCs w:val="22"/>
        </w:rPr>
        <w:t xml:space="preserve"> </w:t>
      </w:r>
      <w:r w:rsidRPr="00DD7BD1">
        <w:rPr>
          <w:rFonts w:cs="Calibri"/>
          <w:color w:val="auto"/>
          <w:szCs w:val="22"/>
        </w:rPr>
        <w:t>Amendment</w:t>
      </w:r>
      <w:r w:rsidRPr="00DD7BD1">
        <w:rPr>
          <w:rFonts w:cs="Calibri"/>
          <w:color w:val="auto"/>
          <w:spacing w:val="40"/>
          <w:szCs w:val="22"/>
        </w:rPr>
        <w:t xml:space="preserve"> </w:t>
      </w:r>
      <w:r w:rsidRPr="00DD7BD1">
        <w:rPr>
          <w:rFonts w:cs="Calibri"/>
          <w:color w:val="auto"/>
          <w:szCs w:val="22"/>
        </w:rPr>
        <w:t>before</w:t>
      </w:r>
      <w:r w:rsidRPr="00DD7BD1">
        <w:rPr>
          <w:rFonts w:cs="Calibri"/>
          <w:color w:val="auto"/>
          <w:spacing w:val="40"/>
          <w:szCs w:val="22"/>
        </w:rPr>
        <w:t xml:space="preserve"> </w:t>
      </w:r>
      <w:proofErr w:type="gramStart"/>
      <w:r w:rsidRPr="00DD7BD1">
        <w:rPr>
          <w:rFonts w:cs="Calibri"/>
          <w:color w:val="auto"/>
          <w:szCs w:val="22"/>
        </w:rPr>
        <w:t>taking</w:t>
      </w:r>
      <w:r w:rsidRPr="00DD7BD1">
        <w:rPr>
          <w:rFonts w:cs="Calibri"/>
          <w:color w:val="auto"/>
          <w:spacing w:val="40"/>
          <w:szCs w:val="22"/>
        </w:rPr>
        <w:t xml:space="preserve"> </w:t>
      </w:r>
      <w:r w:rsidRPr="00DD7BD1">
        <w:rPr>
          <w:rFonts w:cs="Calibri"/>
          <w:color w:val="auto"/>
          <w:szCs w:val="22"/>
        </w:rPr>
        <w:t>action</w:t>
      </w:r>
      <w:proofErr w:type="gramEnd"/>
      <w:r w:rsidRPr="00DD7BD1">
        <w:rPr>
          <w:rFonts w:cs="Calibri"/>
          <w:color w:val="auto"/>
          <w:spacing w:val="40"/>
          <w:szCs w:val="22"/>
        </w:rPr>
        <w:t xml:space="preserve"> </w:t>
      </w:r>
      <w:r w:rsidRPr="00DD7BD1">
        <w:rPr>
          <w:rFonts w:cs="Calibri"/>
          <w:color w:val="auto"/>
          <w:szCs w:val="22"/>
        </w:rPr>
        <w:t>based</w:t>
      </w:r>
      <w:r w:rsidRPr="00DD7BD1">
        <w:rPr>
          <w:rFonts w:cs="Calibri"/>
          <w:color w:val="auto"/>
          <w:spacing w:val="40"/>
          <w:szCs w:val="22"/>
        </w:rPr>
        <w:t xml:space="preserve"> </w:t>
      </w:r>
      <w:r w:rsidRPr="00DD7BD1">
        <w:rPr>
          <w:rFonts w:cs="Calibri"/>
          <w:color w:val="auto"/>
          <w:szCs w:val="22"/>
        </w:rPr>
        <w:t>on</w:t>
      </w:r>
      <w:r w:rsidRPr="00DD7BD1">
        <w:rPr>
          <w:rFonts w:cs="Calibri"/>
          <w:color w:val="auto"/>
          <w:spacing w:val="40"/>
          <w:szCs w:val="22"/>
        </w:rPr>
        <w:t xml:space="preserve"> </w:t>
      </w:r>
      <w:r w:rsidRPr="00DD7BD1">
        <w:rPr>
          <w:rFonts w:cs="Calibri"/>
          <w:color w:val="auto"/>
          <w:szCs w:val="22"/>
        </w:rPr>
        <w:t xml:space="preserve">their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controversial</w:t>
      </w:r>
      <w:r w:rsidRPr="00DD7BD1">
        <w:rPr>
          <w:rFonts w:cs="Calibri"/>
          <w:color w:val="auto"/>
          <w:spacing w:val="-15"/>
          <w:w w:val="110"/>
          <w:szCs w:val="22"/>
        </w:rPr>
        <w:t xml:space="preserve"> </w:t>
      </w:r>
      <w:r w:rsidRPr="00DD7BD1">
        <w:rPr>
          <w:rFonts w:cs="Calibri"/>
          <w:color w:val="auto"/>
          <w:w w:val="110"/>
          <w:szCs w:val="22"/>
        </w:rPr>
        <w:t>political</w:t>
      </w:r>
      <w:r w:rsidRPr="00DD7BD1">
        <w:rPr>
          <w:rFonts w:cs="Calibri"/>
          <w:color w:val="auto"/>
          <w:spacing w:val="-15"/>
          <w:w w:val="110"/>
          <w:szCs w:val="22"/>
        </w:rPr>
        <w:t xml:space="preserve"> </w:t>
      </w:r>
      <w:r w:rsidRPr="00DD7BD1">
        <w:rPr>
          <w:rFonts w:cs="Calibri"/>
          <w:color w:val="auto"/>
          <w:w w:val="110"/>
          <w:szCs w:val="22"/>
        </w:rPr>
        <w:t>opinions.</w:t>
      </w:r>
      <w:r w:rsidRPr="00DD7BD1">
        <w:rPr>
          <w:rFonts w:cs="Calibri"/>
          <w:color w:val="auto"/>
          <w:spacing w:val="40"/>
          <w:w w:val="110"/>
          <w:szCs w:val="22"/>
        </w:rPr>
        <w:t xml:space="preserve"> </w:t>
      </w:r>
      <w:r w:rsidRPr="00DD7BD1">
        <w:rPr>
          <w:rFonts w:cs="Calibri"/>
          <w:color w:val="auto"/>
          <w:w w:val="110"/>
          <w:szCs w:val="22"/>
        </w:rPr>
        <w:t>Employee</w:t>
      </w:r>
      <w:r w:rsidRPr="00DD7BD1">
        <w:rPr>
          <w:rFonts w:cs="Calibri"/>
          <w:color w:val="auto"/>
          <w:spacing w:val="-15"/>
          <w:w w:val="110"/>
          <w:szCs w:val="22"/>
        </w:rPr>
        <w:t xml:space="preserve"> </w:t>
      </w:r>
      <w:r w:rsidRPr="00DD7BD1">
        <w:rPr>
          <w:rFonts w:cs="Calibri"/>
          <w:color w:val="auto"/>
          <w:w w:val="110"/>
          <w:szCs w:val="22"/>
        </w:rPr>
        <w:t>speech</w:t>
      </w:r>
      <w:r w:rsidRPr="00DD7BD1">
        <w:rPr>
          <w:rFonts w:cs="Calibri"/>
          <w:color w:val="auto"/>
          <w:spacing w:val="-15"/>
          <w:w w:val="110"/>
          <w:szCs w:val="22"/>
        </w:rPr>
        <w:t xml:space="preserve"> </w:t>
      </w:r>
      <w:r w:rsidRPr="00DD7BD1">
        <w:rPr>
          <w:rFonts w:cs="Calibri"/>
          <w:color w:val="auto"/>
          <w:w w:val="110"/>
          <w:szCs w:val="22"/>
        </w:rPr>
        <w:t>may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First</w:t>
      </w:r>
      <w:r w:rsidRPr="00DD7BD1">
        <w:rPr>
          <w:rFonts w:cs="Calibri"/>
          <w:color w:val="auto"/>
          <w:spacing w:val="-14"/>
          <w:w w:val="110"/>
          <w:szCs w:val="22"/>
        </w:rPr>
        <w:t xml:space="preserve"> </w:t>
      </w:r>
      <w:r w:rsidRPr="00DD7BD1">
        <w:rPr>
          <w:rFonts w:cs="Calibri"/>
          <w:color w:val="auto"/>
          <w:w w:val="110"/>
          <w:szCs w:val="22"/>
        </w:rPr>
        <w:t>Amendment</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3"/>
          <w:w w:val="110"/>
          <w:szCs w:val="22"/>
        </w:rPr>
        <w:t xml:space="preserve"> </w:t>
      </w:r>
      <w:r w:rsidRPr="00DD7BD1">
        <w:rPr>
          <w:rFonts w:cs="Calibri"/>
          <w:color w:val="auto"/>
          <w:w w:val="110"/>
          <w:szCs w:val="22"/>
        </w:rPr>
        <w:t>the employee's</w:t>
      </w:r>
      <w:r w:rsidRPr="00DD7BD1">
        <w:rPr>
          <w:rFonts w:cs="Calibri"/>
          <w:color w:val="auto"/>
          <w:spacing w:val="-8"/>
          <w:w w:val="110"/>
          <w:szCs w:val="22"/>
        </w:rPr>
        <w:t xml:space="preserve"> </w:t>
      </w:r>
      <w:r w:rsidRPr="00DD7BD1">
        <w:rPr>
          <w:rFonts w:cs="Calibri"/>
          <w:color w:val="auto"/>
          <w:w w:val="110"/>
          <w:szCs w:val="22"/>
        </w:rPr>
        <w:t>statement</w:t>
      </w:r>
      <w:r w:rsidRPr="00DD7BD1">
        <w:rPr>
          <w:rFonts w:cs="Calibri"/>
          <w:color w:val="auto"/>
          <w:spacing w:val="-6"/>
          <w:w w:val="110"/>
          <w:szCs w:val="22"/>
        </w:rPr>
        <w:t xml:space="preserve"> </w:t>
      </w:r>
      <w:r w:rsidRPr="00DD7BD1">
        <w:rPr>
          <w:rFonts w:cs="Calibri"/>
          <w:color w:val="auto"/>
          <w:w w:val="110"/>
          <w:szCs w:val="22"/>
        </w:rPr>
        <w:t>involves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matter</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9"/>
          <w:w w:val="110"/>
          <w:szCs w:val="22"/>
        </w:rPr>
        <w:t xml:space="preserve"> </w:t>
      </w:r>
      <w:r w:rsidRPr="00DD7BD1">
        <w:rPr>
          <w:rFonts w:cs="Calibri"/>
          <w:color w:val="auto"/>
          <w:w w:val="110"/>
          <w:szCs w:val="22"/>
        </w:rPr>
        <w:t>concern</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made</w:t>
      </w:r>
      <w:r w:rsidRPr="00DD7BD1">
        <w:rPr>
          <w:rFonts w:cs="Calibri"/>
          <w:color w:val="auto"/>
          <w:spacing w:val="-8"/>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citizen,</w:t>
      </w:r>
      <w:r w:rsidRPr="00DD7BD1">
        <w:rPr>
          <w:rFonts w:cs="Calibri"/>
          <w:color w:val="auto"/>
          <w:spacing w:val="-6"/>
          <w:w w:val="110"/>
          <w:szCs w:val="22"/>
        </w:rPr>
        <w:t xml:space="preserve"> </w:t>
      </w:r>
      <w:r w:rsidRPr="00DD7BD1">
        <w:rPr>
          <w:rFonts w:cs="Calibri"/>
          <w:color w:val="auto"/>
          <w:w w:val="110"/>
          <w:szCs w:val="22"/>
        </w:rPr>
        <w:t>provided</w:t>
      </w:r>
      <w:r w:rsidRPr="00DD7BD1">
        <w:rPr>
          <w:rFonts w:cs="Calibri"/>
          <w:color w:val="auto"/>
          <w:spacing w:val="-6"/>
          <w:w w:val="110"/>
          <w:szCs w:val="22"/>
        </w:rPr>
        <w:t xml:space="preserve"> </w:t>
      </w:r>
      <w:r w:rsidRPr="00DD7BD1">
        <w:rPr>
          <w:rFonts w:cs="Calibri"/>
          <w:color w:val="auto"/>
          <w:w w:val="110"/>
          <w:szCs w:val="22"/>
        </w:rPr>
        <w:t>the employee's speech does not unduly disrupt the employer's operations.</w:t>
      </w:r>
    </w:p>
    <w:p w14:paraId="0C5C99A3"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Private employers</w:t>
      </w:r>
      <w:r w:rsidRPr="00DD7BD1">
        <w:rPr>
          <w:rFonts w:cs="Calibri"/>
          <w:color w:val="auto"/>
          <w:szCs w:val="22"/>
        </w:rPr>
        <w:t xml:space="preserve">, by contrast, generally have more leeway to regulate political expression that is </w:t>
      </w:r>
      <w:r w:rsidRPr="00DD7BD1">
        <w:rPr>
          <w:rFonts w:cs="Calibri"/>
          <w:color w:val="auto"/>
          <w:szCs w:val="22"/>
          <w:u w:val="single"/>
        </w:rPr>
        <w:t>unrelated to</w:t>
      </w:r>
      <w:r w:rsidRPr="00DD7BD1">
        <w:rPr>
          <w:rFonts w:cs="Calibri"/>
          <w:color w:val="auto"/>
          <w:szCs w:val="22"/>
        </w:rPr>
        <w:t xml:space="preserve"> </w:t>
      </w:r>
      <w:r w:rsidRPr="00DD7BD1">
        <w:rPr>
          <w:rFonts w:cs="Calibri"/>
          <w:color w:val="auto"/>
          <w:w w:val="110"/>
          <w:szCs w:val="22"/>
          <w:u w:val="single"/>
        </w:rPr>
        <w:t>workplace</w:t>
      </w:r>
      <w:r w:rsidRPr="00DD7BD1">
        <w:rPr>
          <w:rFonts w:cs="Calibri"/>
          <w:color w:val="auto"/>
          <w:spacing w:val="-7"/>
          <w:w w:val="110"/>
          <w:szCs w:val="22"/>
          <w:u w:val="single"/>
        </w:rPr>
        <w:t xml:space="preserve"> </w:t>
      </w:r>
      <w:r w:rsidRPr="00DD7BD1">
        <w:rPr>
          <w:rFonts w:cs="Calibri"/>
          <w:color w:val="auto"/>
          <w:w w:val="110"/>
          <w:szCs w:val="22"/>
          <w:u w:val="single"/>
        </w:rPr>
        <w:t>conditions,</w:t>
      </w:r>
      <w:r w:rsidRPr="00DD7BD1">
        <w:rPr>
          <w:rFonts w:cs="Calibri"/>
          <w:color w:val="auto"/>
          <w:spacing w:val="-7"/>
          <w:w w:val="110"/>
          <w:szCs w:val="22"/>
          <w:u w:val="single"/>
        </w:rPr>
        <w:t xml:space="preserve"> </w:t>
      </w:r>
      <w:r w:rsidRPr="00DD7BD1">
        <w:rPr>
          <w:rFonts w:cs="Calibri"/>
          <w:color w:val="auto"/>
          <w:w w:val="110"/>
          <w:szCs w:val="22"/>
          <w:u w:val="single"/>
        </w:rPr>
        <w:t>subject</w:t>
      </w:r>
      <w:r w:rsidRPr="00DD7BD1">
        <w:rPr>
          <w:rFonts w:cs="Calibri"/>
          <w:color w:val="auto"/>
          <w:spacing w:val="-7"/>
          <w:w w:val="110"/>
          <w:szCs w:val="22"/>
          <w:u w:val="single"/>
        </w:rPr>
        <w:t xml:space="preserve"> </w:t>
      </w:r>
      <w:r w:rsidRPr="00DD7BD1">
        <w:rPr>
          <w:rFonts w:cs="Calibri"/>
          <w:color w:val="auto"/>
          <w:w w:val="110"/>
          <w:szCs w:val="22"/>
          <w:u w:val="single"/>
        </w:rPr>
        <w:t>to</w:t>
      </w:r>
      <w:r w:rsidRPr="00DD7BD1">
        <w:rPr>
          <w:rFonts w:cs="Calibri"/>
          <w:color w:val="auto"/>
          <w:spacing w:val="-8"/>
          <w:w w:val="110"/>
          <w:szCs w:val="22"/>
          <w:u w:val="single"/>
        </w:rPr>
        <w:t xml:space="preserve"> </w:t>
      </w:r>
      <w:r w:rsidRPr="00DD7BD1">
        <w:rPr>
          <w:rFonts w:cs="Calibri"/>
          <w:color w:val="auto"/>
          <w:w w:val="110"/>
          <w:szCs w:val="22"/>
          <w:u w:val="single"/>
        </w:rPr>
        <w:t>state</w:t>
      </w:r>
      <w:r w:rsidRPr="00DD7BD1">
        <w:rPr>
          <w:rFonts w:cs="Calibri"/>
          <w:color w:val="auto"/>
          <w:spacing w:val="-9"/>
          <w:w w:val="110"/>
          <w:szCs w:val="22"/>
          <w:u w:val="single"/>
        </w:rPr>
        <w:t xml:space="preserve"> </w:t>
      </w:r>
      <w:r w:rsidRPr="00DD7BD1">
        <w:rPr>
          <w:rFonts w:cs="Calibri"/>
          <w:color w:val="auto"/>
          <w:w w:val="110"/>
          <w:szCs w:val="22"/>
          <w:u w:val="single"/>
        </w:rPr>
        <w:t>or</w:t>
      </w:r>
      <w:r w:rsidRPr="00DD7BD1">
        <w:rPr>
          <w:rFonts w:cs="Calibri"/>
          <w:color w:val="auto"/>
          <w:spacing w:val="-10"/>
          <w:w w:val="110"/>
          <w:szCs w:val="22"/>
          <w:u w:val="single"/>
        </w:rPr>
        <w:t xml:space="preserve"> </w:t>
      </w:r>
      <w:r w:rsidRPr="00DD7BD1">
        <w:rPr>
          <w:rFonts w:cs="Calibri"/>
          <w:color w:val="auto"/>
          <w:w w:val="110"/>
          <w:szCs w:val="22"/>
          <w:u w:val="single"/>
        </w:rPr>
        <w:t>local</w:t>
      </w:r>
      <w:r w:rsidRPr="00DD7BD1">
        <w:rPr>
          <w:rFonts w:cs="Calibri"/>
          <w:color w:val="auto"/>
          <w:spacing w:val="-8"/>
          <w:w w:val="110"/>
          <w:szCs w:val="22"/>
          <w:u w:val="single"/>
        </w:rPr>
        <w:t xml:space="preserve"> </w:t>
      </w:r>
      <w:r w:rsidRPr="00DD7BD1">
        <w:rPr>
          <w:rFonts w:cs="Calibri"/>
          <w:color w:val="auto"/>
          <w:w w:val="110"/>
          <w:szCs w:val="22"/>
          <w:u w:val="single"/>
        </w:rPr>
        <w:t>laws</w:t>
      </w:r>
      <w:r w:rsidRPr="00DD7BD1">
        <w:rPr>
          <w:rFonts w:cs="Calibri"/>
          <w:color w:val="auto"/>
          <w:spacing w:val="-5"/>
          <w:w w:val="110"/>
          <w:szCs w:val="22"/>
          <w:u w:val="single"/>
        </w:rPr>
        <w:t xml:space="preserve"> </w:t>
      </w:r>
      <w:r w:rsidRPr="00DD7BD1">
        <w:rPr>
          <w:rFonts w:cs="Calibri"/>
          <w:color w:val="auto"/>
          <w:w w:val="110"/>
          <w:szCs w:val="22"/>
          <w:u w:val="single"/>
        </w:rPr>
        <w:t>that</w:t>
      </w:r>
      <w:r w:rsidRPr="00DD7BD1">
        <w:rPr>
          <w:rFonts w:cs="Calibri"/>
          <w:color w:val="auto"/>
          <w:spacing w:val="-7"/>
          <w:w w:val="110"/>
          <w:szCs w:val="22"/>
          <w:u w:val="single"/>
        </w:rPr>
        <w:t xml:space="preserve"> </w:t>
      </w:r>
      <w:r w:rsidRPr="00DD7BD1">
        <w:rPr>
          <w:rFonts w:cs="Calibri"/>
          <w:color w:val="auto"/>
          <w:w w:val="110"/>
          <w:szCs w:val="22"/>
          <w:u w:val="single"/>
        </w:rPr>
        <w:t>prohibit</w:t>
      </w:r>
      <w:r w:rsidRPr="00DD7BD1">
        <w:rPr>
          <w:rFonts w:cs="Calibri"/>
          <w:color w:val="auto"/>
          <w:spacing w:val="-7"/>
          <w:w w:val="110"/>
          <w:szCs w:val="22"/>
          <w:u w:val="single"/>
        </w:rPr>
        <w:t xml:space="preserve"> </w:t>
      </w:r>
      <w:r w:rsidRPr="00DD7BD1">
        <w:rPr>
          <w:rFonts w:cs="Calibri"/>
          <w:color w:val="auto"/>
          <w:w w:val="110"/>
          <w:szCs w:val="22"/>
          <w:u w:val="single"/>
        </w:rPr>
        <w:t>discrimination</w:t>
      </w:r>
      <w:r w:rsidRPr="00DD7BD1">
        <w:rPr>
          <w:rFonts w:cs="Calibri"/>
          <w:color w:val="auto"/>
          <w:spacing w:val="-8"/>
          <w:w w:val="110"/>
          <w:szCs w:val="22"/>
          <w:u w:val="single"/>
        </w:rPr>
        <w:t xml:space="preserve"> </w:t>
      </w:r>
      <w:r w:rsidRPr="00DD7BD1">
        <w:rPr>
          <w:rFonts w:cs="Calibri"/>
          <w:color w:val="auto"/>
          <w:w w:val="110"/>
          <w:szCs w:val="22"/>
          <w:u w:val="single"/>
        </w:rPr>
        <w:t>based</w:t>
      </w:r>
      <w:r w:rsidRPr="00DD7BD1">
        <w:rPr>
          <w:rFonts w:cs="Calibri"/>
          <w:color w:val="auto"/>
          <w:spacing w:val="-8"/>
          <w:w w:val="110"/>
          <w:szCs w:val="22"/>
          <w:u w:val="single"/>
        </w:rPr>
        <w:t xml:space="preserve"> </w:t>
      </w:r>
      <w:r w:rsidRPr="00DD7BD1">
        <w:rPr>
          <w:rFonts w:cs="Calibri"/>
          <w:color w:val="auto"/>
          <w:w w:val="110"/>
          <w:szCs w:val="22"/>
          <w:u w:val="single"/>
        </w:rPr>
        <w:t>on</w:t>
      </w:r>
      <w:r w:rsidRPr="00DD7BD1">
        <w:rPr>
          <w:rFonts w:cs="Calibri"/>
          <w:color w:val="auto"/>
          <w:spacing w:val="-9"/>
          <w:w w:val="110"/>
          <w:szCs w:val="22"/>
          <w:u w:val="single"/>
        </w:rPr>
        <w:t xml:space="preserve"> </w:t>
      </w:r>
      <w:r w:rsidRPr="00DD7BD1">
        <w:rPr>
          <w:rFonts w:cs="Calibri"/>
          <w:color w:val="auto"/>
          <w:w w:val="110"/>
          <w:szCs w:val="22"/>
          <w:u w:val="single"/>
        </w:rPr>
        <w:t>political</w:t>
      </w:r>
      <w:r w:rsidRPr="00DD7BD1">
        <w:rPr>
          <w:rFonts w:cs="Calibri"/>
          <w:color w:val="auto"/>
          <w:spacing w:val="-8"/>
          <w:w w:val="110"/>
          <w:szCs w:val="22"/>
          <w:u w:val="single"/>
        </w:rPr>
        <w:t xml:space="preserve"> </w:t>
      </w:r>
      <w:r w:rsidRPr="00DD7BD1">
        <w:rPr>
          <w:rFonts w:cs="Calibri"/>
          <w:color w:val="auto"/>
          <w:w w:val="110"/>
          <w:szCs w:val="22"/>
          <w:u w:val="single"/>
        </w:rPr>
        <w:t>affiliation</w:t>
      </w:r>
      <w:r w:rsidRPr="00DD7BD1">
        <w:rPr>
          <w:rFonts w:cs="Calibri"/>
          <w:color w:val="auto"/>
          <w:spacing w:val="-5"/>
          <w:w w:val="110"/>
          <w:szCs w:val="22"/>
          <w:u w:val="single"/>
        </w:rPr>
        <w:t xml:space="preserve"> </w:t>
      </w:r>
      <w:r w:rsidRPr="00DD7BD1">
        <w:rPr>
          <w:rFonts w:cs="Calibri"/>
          <w:color w:val="auto"/>
          <w:w w:val="110"/>
          <w:szCs w:val="22"/>
          <w:u w:val="single"/>
        </w:rPr>
        <w:t>or</w:t>
      </w:r>
      <w:r w:rsidRPr="00DD7BD1">
        <w:rPr>
          <w:rFonts w:cs="Calibri"/>
          <w:color w:val="auto"/>
          <w:w w:val="110"/>
          <w:szCs w:val="22"/>
        </w:rPr>
        <w:t xml:space="preserve"> </w:t>
      </w:r>
      <w:r w:rsidRPr="00DD7BD1">
        <w:rPr>
          <w:rFonts w:cs="Calibri"/>
          <w:color w:val="auto"/>
          <w:w w:val="110"/>
          <w:szCs w:val="22"/>
          <w:u w:val="single"/>
        </w:rPr>
        <w:t>lawful off-duty conduct</w:t>
      </w:r>
      <w:r w:rsidRPr="00DD7BD1">
        <w:rPr>
          <w:rFonts w:cs="Calibri"/>
          <w:color w:val="auto"/>
          <w:w w:val="110"/>
          <w:szCs w:val="22"/>
        </w:rPr>
        <w:t>.</w:t>
      </w:r>
    </w:p>
    <w:p w14:paraId="577EC6B3" w14:textId="77777777" w:rsidR="00E43496" w:rsidRPr="00DD7BD1" w:rsidRDefault="00E43496" w:rsidP="00E43496">
      <w:pPr>
        <w:pStyle w:val="BodyText"/>
        <w:spacing w:after="0" w:line="240" w:lineRule="auto"/>
        <w:ind w:right="90"/>
        <w:jc w:val="left"/>
        <w:rPr>
          <w:rFonts w:cs="Calibri"/>
          <w:b/>
          <w:color w:val="000000"/>
          <w:sz w:val="16"/>
          <w:szCs w:val="16"/>
          <w:highlight w:val="lightGray"/>
        </w:rPr>
      </w:pPr>
    </w:p>
    <w:p w14:paraId="35999B9E" w14:textId="77777777" w:rsidR="00E43496" w:rsidRPr="00DD7BD1" w:rsidRDefault="00E43496" w:rsidP="00E43496">
      <w:pPr>
        <w:pStyle w:val="BodyText"/>
        <w:spacing w:after="0" w:line="240" w:lineRule="auto"/>
        <w:ind w:right="-270"/>
        <w:jc w:val="left"/>
        <w:rPr>
          <w:rFonts w:cs="Calibri"/>
          <w:color w:val="000000"/>
          <w:w w:val="110"/>
          <w:szCs w:val="22"/>
        </w:rPr>
      </w:pPr>
      <w:r w:rsidRPr="00DD7BD1">
        <w:rPr>
          <w:rFonts w:cs="Calibri"/>
          <w:b/>
          <w:color w:val="000000"/>
          <w:szCs w:val="22"/>
          <w:highlight w:val="lightGray"/>
        </w:rPr>
        <w:t>Employe</w:t>
      </w:r>
      <w:r w:rsidRPr="00DD7BD1">
        <w:rPr>
          <w:rFonts w:cs="Calibri"/>
          <w:b/>
          <w:color w:val="000000"/>
          <w:spacing w:val="40"/>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Before</w:t>
      </w:r>
      <w:r w:rsidRPr="00DD7BD1">
        <w:rPr>
          <w:rFonts w:cs="Calibri"/>
          <w:color w:val="000000"/>
          <w:spacing w:val="40"/>
          <w:szCs w:val="22"/>
        </w:rPr>
        <w:t xml:space="preserve"> </w:t>
      </w:r>
      <w:proofErr w:type="gramStart"/>
      <w:r w:rsidRPr="00DD7BD1">
        <w:rPr>
          <w:rFonts w:cs="Calibri"/>
          <w:color w:val="000000"/>
          <w:szCs w:val="22"/>
        </w:rPr>
        <w:t>taking</w:t>
      </w:r>
      <w:r w:rsidRPr="00DD7BD1">
        <w:rPr>
          <w:rFonts w:cs="Calibri"/>
          <w:color w:val="000000"/>
          <w:spacing w:val="40"/>
          <w:szCs w:val="22"/>
        </w:rPr>
        <w:t xml:space="preserve"> </w:t>
      </w:r>
      <w:r w:rsidRPr="00DD7BD1">
        <w:rPr>
          <w:rFonts w:cs="Calibri"/>
          <w:color w:val="000000"/>
          <w:szCs w:val="22"/>
        </w:rPr>
        <w:t>action</w:t>
      </w:r>
      <w:proofErr w:type="gramEnd"/>
      <w:r w:rsidRPr="00DD7BD1">
        <w:rPr>
          <w:rFonts w:cs="Calibri"/>
          <w:color w:val="000000"/>
          <w:szCs w:val="22"/>
        </w:rPr>
        <w:t>,</w:t>
      </w:r>
      <w:r w:rsidRPr="00DD7BD1">
        <w:rPr>
          <w:rFonts w:cs="Calibri"/>
          <w:color w:val="000000"/>
          <w:spacing w:val="40"/>
          <w:szCs w:val="22"/>
        </w:rPr>
        <w:t xml:space="preserve"> </w:t>
      </w:r>
      <w:r w:rsidRPr="00DD7BD1">
        <w:rPr>
          <w:rFonts w:cs="Calibri"/>
          <w:color w:val="000000"/>
          <w:szCs w:val="22"/>
        </w:rPr>
        <w:t>employers</w:t>
      </w:r>
      <w:r w:rsidRPr="00DD7BD1">
        <w:rPr>
          <w:rFonts w:cs="Calibri"/>
          <w:color w:val="000000"/>
          <w:spacing w:val="40"/>
          <w:szCs w:val="22"/>
        </w:rPr>
        <w:t xml:space="preserve"> </w:t>
      </w:r>
      <w:r w:rsidRPr="00DD7BD1">
        <w:rPr>
          <w:rFonts w:cs="Calibri"/>
          <w:color w:val="000000"/>
          <w:szCs w:val="22"/>
        </w:rPr>
        <w:t>should</w:t>
      </w:r>
      <w:r w:rsidRPr="00DD7BD1">
        <w:rPr>
          <w:rFonts w:cs="Calibri"/>
          <w:color w:val="000000"/>
          <w:spacing w:val="40"/>
          <w:szCs w:val="22"/>
        </w:rPr>
        <w:t xml:space="preserve"> </w:t>
      </w:r>
      <w:r w:rsidRPr="00DD7BD1">
        <w:rPr>
          <w:rFonts w:cs="Calibri"/>
          <w:color w:val="000000"/>
          <w:szCs w:val="22"/>
        </w:rPr>
        <w:t>carefully</w:t>
      </w:r>
      <w:r w:rsidRPr="00DD7BD1">
        <w:rPr>
          <w:rFonts w:cs="Calibri"/>
          <w:color w:val="000000"/>
          <w:spacing w:val="40"/>
          <w:szCs w:val="22"/>
        </w:rPr>
        <w:t xml:space="preserve"> </w:t>
      </w:r>
      <w:r w:rsidRPr="00DD7BD1">
        <w:rPr>
          <w:rFonts w:cs="Calibri"/>
          <w:color w:val="000000"/>
          <w:szCs w:val="22"/>
        </w:rPr>
        <w:t>assess</w:t>
      </w:r>
      <w:r w:rsidRPr="00DD7BD1">
        <w:rPr>
          <w:rFonts w:cs="Calibri"/>
          <w:color w:val="000000"/>
          <w:spacing w:val="40"/>
          <w:szCs w:val="22"/>
        </w:rPr>
        <w:t xml:space="preserve"> </w:t>
      </w:r>
      <w:r w:rsidRPr="00DD7BD1">
        <w:rPr>
          <w:rFonts w:cs="Calibri"/>
          <w:color w:val="000000"/>
          <w:szCs w:val="22"/>
        </w:rPr>
        <w:t>whether</w:t>
      </w:r>
      <w:r w:rsidRPr="00DD7BD1">
        <w:rPr>
          <w:rFonts w:cs="Calibri"/>
          <w:color w:val="000000"/>
          <w:spacing w:val="40"/>
          <w:szCs w:val="22"/>
        </w:rPr>
        <w:t xml:space="preserve"> </w:t>
      </w:r>
      <w:r w:rsidRPr="00DD7BD1">
        <w:rPr>
          <w:rFonts w:cs="Calibri"/>
          <w:color w:val="000000"/>
          <w:szCs w:val="22"/>
        </w:rPr>
        <w:t>their</w:t>
      </w:r>
      <w:r w:rsidRPr="00DD7BD1">
        <w:rPr>
          <w:rFonts w:cs="Calibri"/>
          <w:color w:val="000000"/>
          <w:spacing w:val="40"/>
          <w:szCs w:val="22"/>
        </w:rPr>
        <w:t xml:space="preserve"> </w:t>
      </w:r>
      <w:r w:rsidRPr="00DD7BD1">
        <w:rPr>
          <w:rFonts w:cs="Calibri"/>
          <w:color w:val="000000"/>
          <w:szCs w:val="22"/>
        </w:rPr>
        <w:t>employees'</w:t>
      </w:r>
      <w:r w:rsidRPr="00DD7BD1">
        <w:rPr>
          <w:rFonts w:cs="Calibri"/>
          <w:color w:val="000000"/>
          <w:spacing w:val="39"/>
          <w:szCs w:val="22"/>
        </w:rPr>
        <w:t xml:space="preserve"> </w:t>
      </w:r>
      <w:r w:rsidRPr="00DD7BD1">
        <w:rPr>
          <w:rFonts w:cs="Calibri"/>
          <w:color w:val="000000"/>
          <w:szCs w:val="22"/>
        </w:rPr>
        <w:t xml:space="preserve">statements </w:t>
      </w:r>
      <w:r w:rsidRPr="00DD7BD1">
        <w:rPr>
          <w:rFonts w:cs="Calibri"/>
          <w:color w:val="000000"/>
          <w:w w:val="110"/>
          <w:szCs w:val="22"/>
        </w:rPr>
        <w:t>relate</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any</w:t>
      </w:r>
      <w:r w:rsidRPr="00DD7BD1">
        <w:rPr>
          <w:rFonts w:cs="Calibri"/>
          <w:color w:val="000000"/>
          <w:spacing w:val="-9"/>
          <w:w w:val="110"/>
          <w:szCs w:val="22"/>
        </w:rPr>
        <w:t xml:space="preserve"> </w:t>
      </w:r>
      <w:r w:rsidRPr="00DD7BD1">
        <w:rPr>
          <w:rFonts w:cs="Calibri"/>
          <w:color w:val="000000"/>
          <w:w w:val="110"/>
          <w:szCs w:val="22"/>
        </w:rPr>
        <w:t>terms</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conditions</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0"/>
          <w:w w:val="110"/>
          <w:szCs w:val="22"/>
        </w:rPr>
        <w:t xml:space="preserve"> </w:t>
      </w:r>
      <w:r w:rsidRPr="00DD7BD1">
        <w:rPr>
          <w:rFonts w:cs="Calibri"/>
          <w:color w:val="000000"/>
          <w:w w:val="110"/>
          <w:szCs w:val="22"/>
        </w:rPr>
        <w:t>employment,</w:t>
      </w:r>
      <w:r w:rsidRPr="00DD7BD1">
        <w:rPr>
          <w:rFonts w:cs="Calibri"/>
          <w:color w:val="000000"/>
          <w:spacing w:val="-10"/>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11"/>
          <w:w w:val="110"/>
          <w:szCs w:val="22"/>
        </w:rPr>
        <w:t xml:space="preserve"> </w:t>
      </w:r>
      <w:r w:rsidRPr="00DD7BD1">
        <w:rPr>
          <w:rFonts w:cs="Calibri"/>
          <w:color w:val="000000"/>
          <w:w w:val="110"/>
          <w:szCs w:val="22"/>
        </w:rPr>
        <w:t>speech</w:t>
      </w:r>
      <w:r w:rsidRPr="00DD7BD1">
        <w:rPr>
          <w:rFonts w:cs="Calibri"/>
          <w:color w:val="000000"/>
          <w:spacing w:val="-11"/>
          <w:w w:val="110"/>
          <w:szCs w:val="22"/>
        </w:rPr>
        <w:t xml:space="preserve"> </w:t>
      </w:r>
      <w:r w:rsidRPr="00DD7BD1">
        <w:rPr>
          <w:rFonts w:cs="Calibri"/>
          <w:color w:val="000000"/>
          <w:w w:val="110"/>
          <w:szCs w:val="22"/>
        </w:rPr>
        <w:t>occurred</w:t>
      </w:r>
      <w:r w:rsidRPr="00DD7BD1">
        <w:rPr>
          <w:rFonts w:cs="Calibri"/>
          <w:color w:val="000000"/>
          <w:spacing w:val="-11"/>
          <w:w w:val="110"/>
          <w:szCs w:val="22"/>
        </w:rPr>
        <w:t xml:space="preserve"> </w:t>
      </w:r>
      <w:r w:rsidRPr="00DD7BD1">
        <w:rPr>
          <w:rFonts w:cs="Calibri"/>
          <w:color w:val="000000"/>
          <w:w w:val="110"/>
          <w:szCs w:val="22"/>
        </w:rPr>
        <w:t>during</w:t>
      </w:r>
      <w:r w:rsidRPr="00DD7BD1">
        <w:rPr>
          <w:rFonts w:cs="Calibri"/>
          <w:color w:val="000000"/>
          <w:spacing w:val="-9"/>
          <w:w w:val="110"/>
          <w:szCs w:val="22"/>
        </w:rPr>
        <w:t xml:space="preserve"> </w:t>
      </w:r>
      <w:r w:rsidRPr="00DD7BD1">
        <w:rPr>
          <w:rFonts w:cs="Calibri"/>
          <w:color w:val="000000"/>
          <w:w w:val="110"/>
          <w:szCs w:val="22"/>
        </w:rPr>
        <w:t>working</w:t>
      </w:r>
      <w:r w:rsidRPr="00DD7BD1">
        <w:rPr>
          <w:rFonts w:cs="Calibri"/>
          <w:color w:val="000000"/>
          <w:spacing w:val="-9"/>
          <w:w w:val="110"/>
          <w:szCs w:val="22"/>
        </w:rPr>
        <w:t xml:space="preserve"> </w:t>
      </w:r>
      <w:r w:rsidRPr="00DD7BD1">
        <w:rPr>
          <w:rFonts w:cs="Calibri"/>
          <w:color w:val="000000"/>
          <w:w w:val="110"/>
          <w:szCs w:val="22"/>
        </w:rPr>
        <w:t>time</w:t>
      </w:r>
      <w:r w:rsidRPr="00DD7BD1">
        <w:rPr>
          <w:rFonts w:cs="Calibri"/>
          <w:color w:val="000000"/>
          <w:spacing w:val="-9"/>
          <w:w w:val="110"/>
          <w:szCs w:val="22"/>
        </w:rPr>
        <w:t xml:space="preserve"> </w:t>
      </w:r>
      <w:r w:rsidRPr="00DD7BD1">
        <w:rPr>
          <w:rFonts w:cs="Calibri"/>
          <w:color w:val="000000"/>
          <w:w w:val="110"/>
          <w:szCs w:val="22"/>
        </w:rPr>
        <w:t>or</w:t>
      </w:r>
      <w:r w:rsidRPr="00DD7BD1">
        <w:rPr>
          <w:rFonts w:cs="Calibri"/>
          <w:color w:val="000000"/>
          <w:spacing w:val="-13"/>
          <w:w w:val="110"/>
          <w:szCs w:val="22"/>
        </w:rPr>
        <w:t xml:space="preserve"> </w:t>
      </w:r>
      <w:r w:rsidRPr="00DD7BD1">
        <w:rPr>
          <w:rFonts w:cs="Calibri"/>
          <w:color w:val="000000"/>
          <w:w w:val="110"/>
          <w:szCs w:val="22"/>
        </w:rPr>
        <w:t>used company</w:t>
      </w:r>
      <w:r w:rsidRPr="00DD7BD1">
        <w:rPr>
          <w:rFonts w:cs="Calibri"/>
          <w:color w:val="000000"/>
          <w:spacing w:val="-3"/>
          <w:w w:val="110"/>
          <w:szCs w:val="22"/>
        </w:rPr>
        <w:t xml:space="preserve"> </w:t>
      </w:r>
      <w:r w:rsidRPr="00DD7BD1">
        <w:rPr>
          <w:rFonts w:cs="Calibri"/>
          <w:color w:val="000000"/>
          <w:w w:val="110"/>
          <w:szCs w:val="22"/>
        </w:rPr>
        <w:t>resources,</w:t>
      </w:r>
      <w:r w:rsidRPr="00DD7BD1">
        <w:rPr>
          <w:rFonts w:cs="Calibri"/>
          <w:color w:val="000000"/>
          <w:spacing w:val="-7"/>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4"/>
          <w:w w:val="110"/>
          <w:szCs w:val="22"/>
        </w:rPr>
        <w:t xml:space="preserve"> </w:t>
      </w:r>
      <w:r w:rsidRPr="00DD7BD1">
        <w:rPr>
          <w:rFonts w:cs="Calibri"/>
          <w:color w:val="000000"/>
          <w:w w:val="110"/>
          <w:szCs w:val="22"/>
        </w:rPr>
        <w:t>applicable</w:t>
      </w:r>
      <w:r w:rsidRPr="00DD7BD1">
        <w:rPr>
          <w:rFonts w:cs="Calibri"/>
          <w:color w:val="000000"/>
          <w:spacing w:val="-7"/>
          <w:w w:val="110"/>
          <w:szCs w:val="22"/>
        </w:rPr>
        <w:t xml:space="preserve"> </w:t>
      </w:r>
      <w:r w:rsidRPr="00DD7BD1">
        <w:rPr>
          <w:rFonts w:cs="Calibri"/>
          <w:color w:val="000000"/>
          <w:w w:val="110"/>
          <w:szCs w:val="22"/>
        </w:rPr>
        <w:t>state</w:t>
      </w:r>
      <w:r w:rsidRPr="00DD7BD1">
        <w:rPr>
          <w:rFonts w:cs="Calibri"/>
          <w:color w:val="000000"/>
          <w:spacing w:val="-7"/>
          <w:w w:val="110"/>
          <w:szCs w:val="22"/>
        </w:rPr>
        <w:t xml:space="preserve"> </w:t>
      </w:r>
      <w:r w:rsidRPr="00DD7BD1">
        <w:rPr>
          <w:rFonts w:cs="Calibri"/>
          <w:color w:val="000000"/>
          <w:w w:val="110"/>
          <w:szCs w:val="22"/>
        </w:rPr>
        <w:t>or</w:t>
      </w:r>
      <w:r w:rsidRPr="00DD7BD1">
        <w:rPr>
          <w:rFonts w:cs="Calibri"/>
          <w:color w:val="000000"/>
          <w:spacing w:val="-4"/>
          <w:w w:val="110"/>
          <w:szCs w:val="22"/>
        </w:rPr>
        <w:t xml:space="preserve"> </w:t>
      </w:r>
      <w:r w:rsidRPr="00DD7BD1">
        <w:rPr>
          <w:rFonts w:cs="Calibri"/>
          <w:color w:val="000000"/>
          <w:w w:val="110"/>
          <w:szCs w:val="22"/>
        </w:rPr>
        <w:t>local</w:t>
      </w:r>
      <w:r w:rsidRPr="00DD7BD1">
        <w:rPr>
          <w:rFonts w:cs="Calibri"/>
          <w:color w:val="000000"/>
          <w:spacing w:val="-8"/>
          <w:w w:val="110"/>
          <w:szCs w:val="22"/>
        </w:rPr>
        <w:t xml:space="preserve"> </w:t>
      </w:r>
      <w:r w:rsidRPr="00DD7BD1">
        <w:rPr>
          <w:rFonts w:cs="Calibri"/>
          <w:color w:val="000000"/>
          <w:w w:val="110"/>
          <w:szCs w:val="22"/>
        </w:rPr>
        <w:t>protections</w:t>
      </w:r>
      <w:r w:rsidRPr="00DD7BD1">
        <w:rPr>
          <w:rFonts w:cs="Calibri"/>
          <w:color w:val="000000"/>
          <w:spacing w:val="-3"/>
          <w:w w:val="110"/>
          <w:szCs w:val="22"/>
        </w:rPr>
        <w:t xml:space="preserve"> </w:t>
      </w:r>
      <w:r w:rsidRPr="00DD7BD1">
        <w:rPr>
          <w:rFonts w:cs="Calibri"/>
          <w:color w:val="000000"/>
          <w:w w:val="110"/>
          <w:szCs w:val="22"/>
        </w:rPr>
        <w:t>apply.</w:t>
      </w:r>
      <w:r w:rsidRPr="00DD7BD1">
        <w:rPr>
          <w:rFonts w:cs="Calibri"/>
          <w:color w:val="000000"/>
          <w:spacing w:val="40"/>
          <w:w w:val="110"/>
          <w:szCs w:val="22"/>
        </w:rPr>
        <w:t xml:space="preserve"> </w:t>
      </w:r>
      <w:r w:rsidRPr="00DD7BD1">
        <w:rPr>
          <w:rFonts w:cs="Calibri"/>
          <w:color w:val="000000"/>
          <w:w w:val="110"/>
          <w:szCs w:val="22"/>
        </w:rPr>
        <w:t>A</w:t>
      </w:r>
      <w:r w:rsidRPr="00DD7BD1">
        <w:rPr>
          <w:rFonts w:cs="Calibri"/>
          <w:color w:val="000000"/>
          <w:spacing w:val="-7"/>
          <w:w w:val="110"/>
          <w:szCs w:val="22"/>
        </w:rPr>
        <w:t xml:space="preserve"> </w:t>
      </w:r>
      <w:r w:rsidRPr="00DD7BD1">
        <w:rPr>
          <w:rFonts w:cs="Calibri"/>
          <w:color w:val="000000"/>
          <w:w w:val="110"/>
          <w:szCs w:val="22"/>
        </w:rPr>
        <w:t>measured</w:t>
      </w:r>
      <w:r w:rsidRPr="00DD7BD1">
        <w:rPr>
          <w:rFonts w:cs="Calibri"/>
          <w:color w:val="000000"/>
          <w:spacing w:val="-7"/>
          <w:w w:val="110"/>
          <w:szCs w:val="22"/>
        </w:rPr>
        <w:t xml:space="preserve"> </w:t>
      </w:r>
      <w:r w:rsidRPr="00DD7BD1">
        <w:rPr>
          <w:rFonts w:cs="Calibri"/>
          <w:color w:val="000000"/>
          <w:w w:val="110"/>
          <w:szCs w:val="22"/>
        </w:rPr>
        <w:t>approach—paired</w:t>
      </w:r>
      <w:r w:rsidRPr="00DD7BD1">
        <w:rPr>
          <w:rFonts w:cs="Calibri"/>
          <w:color w:val="000000"/>
          <w:spacing w:val="-7"/>
          <w:w w:val="110"/>
          <w:szCs w:val="22"/>
        </w:rPr>
        <w:t xml:space="preserve"> </w:t>
      </w:r>
      <w:r w:rsidRPr="00DD7BD1">
        <w:rPr>
          <w:rFonts w:cs="Calibri"/>
          <w:color w:val="000000"/>
          <w:w w:val="110"/>
          <w:szCs w:val="22"/>
        </w:rPr>
        <w:t>with clear, narrowly tailored social media and conduct</w:t>
      </w:r>
      <w:r w:rsidRPr="00DD7BD1">
        <w:rPr>
          <w:rFonts w:cs="Calibri"/>
          <w:color w:val="000000"/>
          <w:spacing w:val="-1"/>
          <w:w w:val="110"/>
          <w:szCs w:val="22"/>
        </w:rPr>
        <w:t xml:space="preserve"> </w:t>
      </w:r>
      <w:r w:rsidRPr="00DD7BD1">
        <w:rPr>
          <w:rFonts w:cs="Calibri"/>
          <w:color w:val="000000"/>
          <w:w w:val="110"/>
          <w:szCs w:val="22"/>
        </w:rPr>
        <w:t>policies—can</w:t>
      </w:r>
      <w:r w:rsidRPr="00DD7BD1">
        <w:rPr>
          <w:rFonts w:cs="Calibri"/>
          <w:color w:val="000000"/>
          <w:spacing w:val="-1"/>
          <w:w w:val="110"/>
          <w:szCs w:val="22"/>
        </w:rPr>
        <w:t xml:space="preserve"> </w:t>
      </w:r>
      <w:r w:rsidRPr="00DD7BD1">
        <w:rPr>
          <w:rFonts w:cs="Calibri"/>
          <w:color w:val="000000"/>
          <w:w w:val="110"/>
          <w:szCs w:val="22"/>
        </w:rPr>
        <w:t>help reduce legal risk while maintaining a professional and respectful workplace.</w:t>
      </w:r>
    </w:p>
    <w:p w14:paraId="60F3C706" w14:textId="77777777" w:rsidR="00E43496" w:rsidRPr="00DD7BD1" w:rsidRDefault="00E43496" w:rsidP="00E43496">
      <w:pPr>
        <w:pStyle w:val="BodyText"/>
        <w:spacing w:after="0" w:line="240" w:lineRule="auto"/>
        <w:ind w:right="-270"/>
        <w:jc w:val="left"/>
        <w:rPr>
          <w:rFonts w:cs="Calibri"/>
          <w:sz w:val="16"/>
          <w:szCs w:val="16"/>
        </w:rPr>
      </w:pPr>
    </w:p>
    <w:p w14:paraId="5C39AB1B" w14:textId="745C774B" w:rsidR="00E43496" w:rsidRPr="00DD7BD1" w:rsidRDefault="00E43496" w:rsidP="00E43496">
      <w:pPr>
        <w:pStyle w:val="Heading4"/>
        <w:spacing w:before="0" w:line="240" w:lineRule="auto"/>
        <w:ind w:right="-270"/>
        <w:rPr>
          <w:rFonts w:ascii="Calibri" w:hAnsi="Calibri" w:cs="Calibri"/>
        </w:rPr>
      </w:pPr>
      <w:r w:rsidRPr="00DD7BD1">
        <w:rPr>
          <w:rFonts w:ascii="Calibri" w:hAnsi="Calibri" w:cs="Calibri"/>
          <w:spacing w:val="-4"/>
        </w:rPr>
        <w:t>--</w:t>
      </w:r>
      <w:r w:rsidRPr="00DD7BD1">
        <w:rPr>
          <w:rFonts w:ascii="Calibri" w:hAnsi="Calibri" w:cs="Calibri"/>
          <w:i w:val="0"/>
          <w:iCs w:val="0"/>
          <w:color w:val="auto"/>
          <w:spacing w:val="-4"/>
        </w:rPr>
        <w:t>Article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published</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Sept</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16,</w:t>
      </w:r>
      <w:r w:rsidRPr="00DD7BD1">
        <w:rPr>
          <w:rFonts w:ascii="Calibri" w:hAnsi="Calibri" w:cs="Calibri"/>
          <w:i w:val="0"/>
          <w:iCs w:val="0"/>
          <w:color w:val="auto"/>
          <w:spacing w:val="-10"/>
        </w:rPr>
        <w:t xml:space="preserve"> </w:t>
      </w:r>
      <w:proofErr w:type="gramStart"/>
      <w:r w:rsidRPr="00DD7BD1">
        <w:rPr>
          <w:rFonts w:ascii="Calibri" w:hAnsi="Calibri" w:cs="Calibri"/>
          <w:i w:val="0"/>
          <w:iCs w:val="0"/>
          <w:color w:val="auto"/>
          <w:spacing w:val="-4"/>
        </w:rPr>
        <w:t>2025</w:t>
      </w:r>
      <w:proofErr w:type="gramEnd"/>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by</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Ward</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&amp;</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Smith,</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PA</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can</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be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accessed</w:t>
      </w:r>
      <w:r w:rsidRPr="00DD7BD1">
        <w:rPr>
          <w:rFonts w:ascii="Calibri" w:hAnsi="Calibri" w:cs="Calibri"/>
          <w:i w:val="0"/>
          <w:iCs w:val="0"/>
          <w:color w:val="auto"/>
          <w:spacing w:val="-2"/>
        </w:rPr>
        <w:t xml:space="preserve"> </w:t>
      </w:r>
      <w:hyperlink r:id="rId310">
        <w:r w:rsidRPr="00DD7BD1">
          <w:rPr>
            <w:rFonts w:ascii="Calibri" w:hAnsi="Calibri" w:cs="Calibri"/>
            <w:i w:val="0"/>
            <w:iCs w:val="0"/>
            <w:color w:val="0000FF"/>
            <w:spacing w:val="-4"/>
            <w:u w:val="single" w:color="0000FF"/>
          </w:rPr>
          <w:t>HERE</w:t>
        </w:r>
      </w:hyperlink>
    </w:p>
    <w:p w14:paraId="08A12E5F" w14:textId="77777777" w:rsidR="00E43496" w:rsidRDefault="00E43496" w:rsidP="001558B8">
      <w:pPr>
        <w:pStyle w:val="BodyText"/>
        <w:spacing w:after="0" w:line="240" w:lineRule="auto"/>
        <w:ind w:right="274"/>
        <w:rPr>
          <w:rFonts w:eastAsiaTheme="minorHAnsi" w:cs="Calibri"/>
          <w:b/>
          <w:bCs/>
          <w:color w:val="auto"/>
          <w:kern w:val="36"/>
          <w:szCs w:val="22"/>
        </w:rPr>
      </w:pPr>
    </w:p>
    <w:p w14:paraId="1AE78CD5" w14:textId="77777777" w:rsidR="00865E7B" w:rsidRDefault="00865E7B" w:rsidP="001558B8">
      <w:pPr>
        <w:pStyle w:val="BodyText"/>
        <w:spacing w:after="0" w:line="240" w:lineRule="auto"/>
        <w:ind w:right="274"/>
        <w:rPr>
          <w:rFonts w:eastAsiaTheme="minorHAnsi" w:cs="Calibri"/>
          <w:b/>
          <w:bCs/>
          <w:color w:val="auto"/>
          <w:kern w:val="36"/>
          <w:szCs w:val="22"/>
        </w:rPr>
      </w:pPr>
    </w:p>
    <w:p w14:paraId="20D78B89" w14:textId="77777777" w:rsidR="00865E7B" w:rsidRDefault="00865E7B" w:rsidP="001558B8">
      <w:pPr>
        <w:pStyle w:val="BodyText"/>
        <w:spacing w:after="0" w:line="240" w:lineRule="auto"/>
        <w:ind w:right="274"/>
        <w:rPr>
          <w:rFonts w:eastAsiaTheme="minorHAnsi" w:cs="Calibri"/>
          <w:b/>
          <w:bCs/>
          <w:color w:val="auto"/>
          <w:kern w:val="36"/>
          <w:szCs w:val="22"/>
        </w:rPr>
      </w:pPr>
    </w:p>
    <w:p w14:paraId="04613917" w14:textId="77777777" w:rsidR="00865E7B" w:rsidRDefault="00865E7B" w:rsidP="001558B8">
      <w:pPr>
        <w:pStyle w:val="BodyText"/>
        <w:spacing w:after="0" w:line="240" w:lineRule="auto"/>
        <w:ind w:right="274"/>
        <w:rPr>
          <w:rFonts w:eastAsiaTheme="minorHAnsi" w:cs="Calibri"/>
          <w:b/>
          <w:bCs/>
          <w:color w:val="auto"/>
          <w:kern w:val="36"/>
          <w:szCs w:val="22"/>
        </w:rPr>
      </w:pPr>
    </w:p>
    <w:p w14:paraId="4D757F9A" w14:textId="77777777" w:rsidR="00865E7B" w:rsidRDefault="00865E7B" w:rsidP="001558B8">
      <w:pPr>
        <w:pStyle w:val="BodyText"/>
        <w:spacing w:after="0" w:line="240" w:lineRule="auto"/>
        <w:ind w:right="274"/>
        <w:rPr>
          <w:rFonts w:eastAsiaTheme="minorHAnsi" w:cs="Calibri"/>
          <w:b/>
          <w:bCs/>
          <w:color w:val="auto"/>
          <w:kern w:val="36"/>
          <w:szCs w:val="22"/>
        </w:rPr>
      </w:pPr>
    </w:p>
    <w:p w14:paraId="20244144" w14:textId="77777777" w:rsidR="00865E7B" w:rsidRPr="00DD7BD1" w:rsidRDefault="00865E7B" w:rsidP="001558B8">
      <w:pPr>
        <w:pStyle w:val="BodyText"/>
        <w:spacing w:after="0" w:line="240" w:lineRule="auto"/>
        <w:ind w:right="274"/>
        <w:rPr>
          <w:rFonts w:eastAsiaTheme="minorHAnsi" w:cs="Calibri"/>
          <w:b/>
          <w:bCs/>
          <w:color w:val="auto"/>
          <w:kern w:val="36"/>
          <w:szCs w:val="22"/>
        </w:rPr>
      </w:pPr>
    </w:p>
    <w:p w14:paraId="09CDBA09" w14:textId="77777777" w:rsidR="00E43496" w:rsidRPr="00DD7BD1" w:rsidRDefault="00E43496" w:rsidP="001558B8">
      <w:pPr>
        <w:pStyle w:val="BodyText"/>
        <w:spacing w:after="0" w:line="240" w:lineRule="auto"/>
        <w:ind w:right="274"/>
        <w:rPr>
          <w:rFonts w:eastAsiaTheme="minorHAnsi" w:cs="Calibri"/>
          <w:b/>
          <w:bCs/>
          <w:color w:val="C00000"/>
          <w:kern w:val="36"/>
          <w:szCs w:val="22"/>
        </w:rPr>
      </w:pPr>
    </w:p>
    <w:p w14:paraId="1AAB635F" w14:textId="2A7C9E32" w:rsidR="001D3D04" w:rsidRPr="00DD7BD1" w:rsidRDefault="001D3D04"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July Article</w:t>
      </w:r>
      <w:r w:rsidR="00E43496" w:rsidRPr="00DD7BD1">
        <w:rPr>
          <w:rFonts w:eastAsiaTheme="minorHAnsi" w:cs="Calibri"/>
          <w:b/>
          <w:bCs/>
          <w:color w:val="C00000"/>
          <w:kern w:val="36"/>
          <w:szCs w:val="22"/>
        </w:rPr>
        <w:t>s/Reminders</w:t>
      </w:r>
    </w:p>
    <w:p w14:paraId="434E00F6" w14:textId="3625C4E9"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4" w:name="_Hlk205275572"/>
      <w:r w:rsidRPr="00DD7BD1">
        <w:rPr>
          <w:rFonts w:ascii="Calibri" w:eastAsiaTheme="minorHAnsi" w:hAnsi="Calibri" w:cs="Calibri"/>
          <w:kern w:val="0"/>
          <w:sz w:val="28"/>
          <w:szCs w:val="28"/>
        </w:rPr>
        <w:t>One Big Beautiful Bill Act: Overtime and Tips Taxes</w:t>
      </w:r>
    </w:p>
    <w:bookmarkEnd w:id="14"/>
    <w:p w14:paraId="2287BAC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Key Provisions:</w:t>
      </w:r>
    </w:p>
    <w:p w14:paraId="4C1637B8"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Law allows workers (employees and independent contractors) to </w:t>
      </w:r>
      <w:r w:rsidRPr="00DD7BD1">
        <w:rPr>
          <w:rFonts w:ascii="Calibri" w:eastAsiaTheme="minorHAnsi" w:hAnsi="Calibri" w:cs="Calibri"/>
          <w:b w:val="0"/>
          <w:bCs w:val="0"/>
          <w:sz w:val="22"/>
          <w:szCs w:val="22"/>
          <w:u w:val="single"/>
        </w:rPr>
        <w:t>deduct up to $25,000 in tips (for those who regularly receive tips</w:t>
      </w:r>
      <w:r w:rsidRPr="00DD7BD1">
        <w:rPr>
          <w:rFonts w:ascii="Calibri" w:eastAsiaTheme="minorHAnsi" w:hAnsi="Calibri" w:cs="Calibri"/>
          <w:b w:val="0"/>
          <w:bCs w:val="0"/>
          <w:sz w:val="22"/>
          <w:szCs w:val="22"/>
        </w:rPr>
        <w:t>) &amp; $</w:t>
      </w:r>
      <w:r w:rsidRPr="00DD7BD1">
        <w:rPr>
          <w:rFonts w:ascii="Calibri" w:eastAsiaTheme="minorHAnsi" w:hAnsi="Calibri" w:cs="Calibri"/>
          <w:b w:val="0"/>
          <w:bCs w:val="0"/>
          <w:sz w:val="22"/>
          <w:szCs w:val="22"/>
          <w:u w:val="single"/>
        </w:rPr>
        <w:t>12,500 ($25,000 if filing a joint return) in overtime pay from their federal adjusted gross income</w:t>
      </w:r>
      <w:r w:rsidRPr="00DD7BD1">
        <w:rPr>
          <w:rFonts w:ascii="Calibri" w:eastAsiaTheme="minorHAnsi" w:hAnsi="Calibri" w:cs="Calibri"/>
          <w:b w:val="0"/>
          <w:bCs w:val="0"/>
          <w:sz w:val="22"/>
          <w:szCs w:val="22"/>
        </w:rPr>
        <w:t>.</w:t>
      </w:r>
    </w:p>
    <w:p w14:paraId="0B64613E"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u w:val="single"/>
        </w:rPr>
        <w:t xml:space="preserve">Income tax withholding requirements are </w:t>
      </w:r>
      <w:r w:rsidRPr="00DD7BD1">
        <w:rPr>
          <w:rFonts w:ascii="Calibri" w:eastAsiaTheme="minorHAnsi" w:hAnsi="Calibri" w:cs="Calibri"/>
          <w:sz w:val="22"/>
          <w:szCs w:val="22"/>
          <w:u w:val="single"/>
        </w:rPr>
        <w:t xml:space="preserve">not </w:t>
      </w:r>
      <w:r w:rsidRPr="00DD7BD1">
        <w:rPr>
          <w:rFonts w:ascii="Calibri" w:eastAsiaTheme="minorHAnsi" w:hAnsi="Calibri" w:cs="Calibri"/>
          <w:b w:val="0"/>
          <w:bCs w:val="0"/>
          <w:sz w:val="22"/>
          <w:szCs w:val="22"/>
          <w:u w:val="single"/>
        </w:rPr>
        <w:t>immediately affected</w:t>
      </w:r>
      <w:r w:rsidRPr="00DD7BD1">
        <w:rPr>
          <w:rFonts w:ascii="Calibri" w:eastAsiaTheme="minorHAnsi" w:hAnsi="Calibri" w:cs="Calibr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DD7BD1" w:rsidRDefault="001D3D04" w:rsidP="001D3D04">
      <w:pPr>
        <w:pStyle w:val="Heading1"/>
        <w:spacing w:before="0" w:beforeAutospacing="0" w:after="0" w:afterAutospacing="0" w:line="264" w:lineRule="atLeast"/>
        <w:ind w:left="720"/>
        <w:rPr>
          <w:rFonts w:ascii="Calibri" w:eastAsiaTheme="minorHAnsi" w:hAnsi="Calibri" w:cs="Calibri"/>
          <w:b w:val="0"/>
          <w:bCs w:val="0"/>
          <w:sz w:val="22"/>
          <w:szCs w:val="22"/>
        </w:rPr>
      </w:pPr>
    </w:p>
    <w:p w14:paraId="231F95A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recently enacted One Big Beautiful Bill Act (Act), signed into law on July 4, contains incentives to alleviate the federal income tax burden on overtime earnings and tips for qualifying workers. Although the legislation </w:t>
      </w:r>
      <w:proofErr w:type="gramStart"/>
      <w:r w:rsidRPr="00DD7BD1">
        <w:rPr>
          <w:rFonts w:ascii="Calibri" w:eastAsiaTheme="minorHAnsi" w:hAnsi="Calibri" w:cs="Calibri"/>
          <w:b w:val="0"/>
          <w:bCs w:val="0"/>
          <w:kern w:val="0"/>
          <w:sz w:val="22"/>
          <w:szCs w:val="22"/>
        </w:rPr>
        <w:t>more directly</w:t>
      </w:r>
      <w:proofErr w:type="gramEnd"/>
      <w:r w:rsidRPr="00DD7BD1">
        <w:rPr>
          <w:rFonts w:ascii="Calibri" w:eastAsiaTheme="minorHAnsi" w:hAnsi="Calibri" w:cs="Calibri"/>
          <w:b w:val="0"/>
          <w:bCs w:val="0"/>
          <w:kern w:val="0"/>
          <w:sz w:val="22"/>
          <w:szCs w:val="22"/>
        </w:rPr>
        <w:t xml:space="preserve"> affects workers, employers with highly </w:t>
      </w:r>
      <w:proofErr w:type="gramStart"/>
      <w:r w:rsidRPr="00DD7BD1">
        <w:rPr>
          <w:rFonts w:ascii="Calibri" w:eastAsiaTheme="minorHAnsi" w:hAnsi="Calibri" w:cs="Calibri"/>
          <w:b w:val="0"/>
          <w:bCs w:val="0"/>
          <w:kern w:val="0"/>
          <w:sz w:val="22"/>
          <w:szCs w:val="22"/>
        </w:rPr>
        <w:t>compensated</w:t>
      </w:r>
      <w:proofErr w:type="gramEnd"/>
      <w:r w:rsidRPr="00DD7BD1">
        <w:rPr>
          <w:rFonts w:ascii="Calibri" w:eastAsiaTheme="minorHAnsi" w:hAnsi="Calibri" w:cs="Calibri"/>
          <w:b w:val="0"/>
          <w:bCs w:val="0"/>
          <w:kern w:val="0"/>
          <w:sz w:val="22"/>
          <w:szCs w:val="22"/>
        </w:rPr>
        <w:t>, nonexempt workers should be aware of the potential implications for both compliance and staffing practices.</w:t>
      </w:r>
    </w:p>
    <w:p w14:paraId="0DBE089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4E5C03D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Impact on Employees:</w:t>
      </w:r>
    </w:p>
    <w:p w14:paraId="3B0BFC1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w:t>
      </w:r>
      <w:proofErr w:type="gramStart"/>
      <w:r w:rsidRPr="00DD7BD1">
        <w:rPr>
          <w:rFonts w:ascii="Calibri" w:eastAsiaTheme="minorHAnsi" w:hAnsi="Calibri" w:cs="Calibri"/>
          <w:b w:val="0"/>
          <w:bCs w:val="0"/>
          <w:kern w:val="0"/>
          <w:sz w:val="22"/>
          <w:szCs w:val="22"/>
        </w:rPr>
        <w:t>take into account</w:t>
      </w:r>
      <w:proofErr w:type="gramEnd"/>
      <w:r w:rsidRPr="00DD7BD1">
        <w:rPr>
          <w:rFonts w:ascii="Calibri" w:eastAsiaTheme="minorHAnsi" w:hAnsi="Calibri" w:cs="Calibri"/>
          <w:b w:val="0"/>
          <w:bCs w:val="0"/>
          <w:kern w:val="0"/>
          <w:sz w:val="22"/>
          <w:szCs w:val="22"/>
        </w:rPr>
        <w:t xml:space="preserve"> both the </w:t>
      </w:r>
      <w:r w:rsidRPr="00DD7BD1">
        <w:rPr>
          <w:rFonts w:ascii="Calibri" w:eastAsiaTheme="minorHAnsi" w:hAnsi="Calibri" w:cs="Calibri"/>
          <w:b w:val="0"/>
          <w:bCs w:val="0"/>
          <w:kern w:val="0"/>
          <w:sz w:val="22"/>
          <w:szCs w:val="22"/>
        </w:rPr>
        <w:lastRenderedPageBreak/>
        <w:t>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w:t>
      </w:r>
      <w:proofErr w:type="gramStart"/>
      <w:r w:rsidRPr="00DD7BD1">
        <w:rPr>
          <w:rFonts w:ascii="Calibri" w:eastAsiaTheme="minorHAnsi" w:hAnsi="Calibri" w:cs="Calibri"/>
          <w:b w:val="0"/>
          <w:bCs w:val="0"/>
          <w:kern w:val="0"/>
          <w:sz w:val="22"/>
          <w:szCs w:val="22"/>
        </w:rPr>
        <w:t>) of such qualified overtime</w:t>
      </w:r>
      <w:proofErr w:type="gramEnd"/>
      <w:r w:rsidRPr="00DD7BD1">
        <w:rPr>
          <w:rFonts w:ascii="Calibri" w:eastAsiaTheme="minorHAnsi" w:hAnsi="Calibri" w:cs="Calibri"/>
          <w:b w:val="0"/>
          <w:bCs w:val="0"/>
          <w:kern w:val="0"/>
          <w:sz w:val="22"/>
          <w:szCs w:val="22"/>
        </w:rPr>
        <w:t xml:space="preserv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6C67985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Impact on Employers:</w:t>
      </w:r>
    </w:p>
    <w:p w14:paraId="5D4D6ED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54E7E7F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color w:val="C00000"/>
          <w:kern w:val="0"/>
          <w:sz w:val="22"/>
          <w:szCs w:val="22"/>
        </w:rPr>
      </w:pPr>
      <w:r w:rsidRPr="00DD7BD1">
        <w:rPr>
          <w:rFonts w:ascii="Calibri" w:eastAsiaTheme="minorHAnsi" w:hAnsi="Calibri" w:cs="Calibri"/>
          <w:kern w:val="0"/>
          <w:sz w:val="22"/>
          <w:szCs w:val="22"/>
          <w:u w:val="single"/>
        </w:rPr>
        <w:t>NOTE:</w:t>
      </w:r>
      <w:r w:rsidRPr="00DD7BD1">
        <w:rPr>
          <w:rFonts w:ascii="Calibri" w:eastAsiaTheme="minorHAnsi" w:hAnsi="Calibri" w:cs="Calibri"/>
          <w:b w:val="0"/>
          <w:bCs w:val="0"/>
          <w:kern w:val="0"/>
          <w:sz w:val="22"/>
          <w:szCs w:val="22"/>
        </w:rPr>
        <w:t xml:space="preserve"> While the qualified overtime and qualified tips deductions bring opportunities for workers across multiple industries, these provisions are temporary and </w:t>
      </w:r>
      <w:proofErr w:type="gramStart"/>
      <w:r w:rsidRPr="00DD7BD1">
        <w:rPr>
          <w:rFonts w:ascii="Calibri" w:eastAsiaTheme="minorHAnsi" w:hAnsi="Calibri" w:cs="Calibri"/>
          <w:b w:val="0"/>
          <w:bCs w:val="0"/>
          <w:kern w:val="0"/>
          <w:sz w:val="22"/>
          <w:szCs w:val="22"/>
        </w:rPr>
        <w:t>will</w:t>
      </w:r>
      <w:proofErr w:type="gramEnd"/>
      <w:r w:rsidRPr="00DD7BD1">
        <w:rPr>
          <w:rFonts w:ascii="Calibri" w:eastAsiaTheme="minorHAnsi" w:hAnsi="Calibri" w:cs="Calibri"/>
          <w:b w:val="0"/>
          <w:bCs w:val="0"/>
          <w:kern w:val="0"/>
          <w:sz w:val="22"/>
          <w:szCs w:val="22"/>
        </w:rPr>
        <w:t xml:space="preserve"> sunset on </w:t>
      </w:r>
      <w:r w:rsidRPr="00DD7BD1">
        <w:rPr>
          <w:rFonts w:ascii="Calibri" w:eastAsiaTheme="minorHAnsi" w:hAnsi="Calibri" w:cs="Calibri"/>
          <w:b w:val="0"/>
          <w:bCs w:val="0"/>
          <w:color w:val="C00000"/>
          <w:kern w:val="0"/>
          <w:sz w:val="22"/>
          <w:szCs w:val="22"/>
        </w:rPr>
        <w:t>December 31, 2028.</w:t>
      </w:r>
    </w:p>
    <w:p w14:paraId="5FBA753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F30EA8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To learn more access a recent article by </w:t>
      </w:r>
      <w:proofErr w:type="spellStart"/>
      <w:r w:rsidRPr="00DD7BD1">
        <w:rPr>
          <w:rFonts w:ascii="Calibri" w:eastAsiaTheme="minorHAnsi" w:hAnsi="Calibri" w:cs="Calibri"/>
          <w:b w:val="0"/>
          <w:bCs w:val="0"/>
          <w:kern w:val="0"/>
          <w:sz w:val="22"/>
          <w:szCs w:val="22"/>
        </w:rPr>
        <w:t>VedderPrice</w:t>
      </w:r>
      <w:proofErr w:type="spellEnd"/>
      <w:r w:rsidRPr="00DD7BD1">
        <w:rPr>
          <w:rFonts w:ascii="Calibri" w:eastAsiaTheme="minorHAnsi" w:hAnsi="Calibri" w:cs="Calibri"/>
          <w:b w:val="0"/>
          <w:bCs w:val="0"/>
          <w:kern w:val="0"/>
          <w:sz w:val="22"/>
          <w:szCs w:val="22"/>
        </w:rPr>
        <w:t xml:space="preserve"> law firm </w:t>
      </w:r>
      <w:hyperlink r:id="rId311" w:history="1">
        <w:r w:rsidRPr="00DD7BD1">
          <w:rPr>
            <w:rStyle w:val="Hyperlink"/>
            <w:rFonts w:ascii="Calibri" w:eastAsiaTheme="minorHAnsi" w:hAnsi="Calibri" w:cs="Calibri"/>
            <w:b w:val="0"/>
            <w:bCs w:val="0"/>
            <w:kern w:val="0"/>
            <w:sz w:val="22"/>
            <w:szCs w:val="22"/>
          </w:rPr>
          <w:t>HERE</w:t>
        </w:r>
      </w:hyperlink>
      <w:r w:rsidRPr="00DD7BD1">
        <w:rPr>
          <w:rFonts w:ascii="Calibri" w:eastAsiaTheme="minorHAnsi" w:hAnsi="Calibri" w:cs="Calibri"/>
          <w:b w:val="0"/>
          <w:bCs w:val="0"/>
          <w:kern w:val="0"/>
          <w:sz w:val="22"/>
          <w:szCs w:val="22"/>
        </w:rPr>
        <w:t xml:space="preserve">; </w:t>
      </w:r>
      <w:proofErr w:type="spellStart"/>
      <w:r w:rsidRPr="00DD7BD1">
        <w:rPr>
          <w:rFonts w:ascii="Calibri" w:eastAsiaTheme="minorHAnsi" w:hAnsi="Calibri" w:cs="Calibri"/>
          <w:b w:val="0"/>
          <w:bCs w:val="0"/>
          <w:kern w:val="0"/>
          <w:sz w:val="22"/>
          <w:szCs w:val="22"/>
        </w:rPr>
        <w:t>HucschBlackwell</w:t>
      </w:r>
      <w:proofErr w:type="spellEnd"/>
      <w:r w:rsidRPr="00DD7BD1">
        <w:rPr>
          <w:rFonts w:ascii="Calibri" w:eastAsiaTheme="minorHAnsi" w:hAnsi="Calibri" w:cs="Calibri"/>
          <w:b w:val="0"/>
          <w:bCs w:val="0"/>
          <w:kern w:val="0"/>
          <w:sz w:val="22"/>
          <w:szCs w:val="22"/>
        </w:rPr>
        <w:t xml:space="preserve"> law firm </w:t>
      </w:r>
      <w:hyperlink r:id="rId312" w:history="1">
        <w:r w:rsidRPr="00DD7BD1">
          <w:rPr>
            <w:rStyle w:val="Hyperlink"/>
            <w:rFonts w:ascii="Calibri" w:eastAsiaTheme="minorHAnsi" w:hAnsi="Calibri" w:cs="Calibri"/>
            <w:b w:val="0"/>
            <w:bCs w:val="0"/>
            <w:kern w:val="0"/>
            <w:sz w:val="22"/>
            <w:szCs w:val="22"/>
          </w:rPr>
          <w:t>HERE</w:t>
        </w:r>
      </w:hyperlink>
    </w:p>
    <w:p w14:paraId="62A1DB16"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5CC6B8CC"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5" w:name="_Hlk205275564"/>
    </w:p>
    <w:p w14:paraId="43979D5A"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p>
    <w:p w14:paraId="00B1B936"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p>
    <w:p w14:paraId="519CF658"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p>
    <w:p w14:paraId="547B57B6"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p>
    <w:p w14:paraId="3A431CBF" w14:textId="77777777" w:rsidR="00865E7B" w:rsidRDefault="00865E7B"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p>
    <w:p w14:paraId="765ED4F9" w14:textId="1AE0B9C3"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r w:rsidRPr="00DD7BD1">
        <w:rPr>
          <w:rFonts w:ascii="Calibri" w:eastAsiaTheme="minorHAnsi" w:hAnsi="Calibri" w:cs="Calibri"/>
          <w:kern w:val="0"/>
          <w:sz w:val="28"/>
          <w:szCs w:val="28"/>
        </w:rPr>
        <w:t>One Big Beautiful Bill Act: Expanded Telehealth Relief and Student Loan Repayment Benefits</w:t>
      </w:r>
    </w:p>
    <w:bookmarkEnd w:id="15"/>
    <w:p w14:paraId="2F1D4992"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4, the budget reconciliation bill (aka One Big Beautiful Bill Act) was signed into law, indefinitely extending two key pre-pandemic benefits, described below.</w:t>
      </w:r>
    </w:p>
    <w:p w14:paraId="119C3C49"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31C1729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roofErr w:type="gramStart"/>
      <w:r w:rsidRPr="00DD7BD1">
        <w:rPr>
          <w:rFonts w:ascii="Calibri" w:eastAsiaTheme="minorHAnsi" w:hAnsi="Calibri" w:cs="Calibri"/>
          <w:sz w:val="22"/>
          <w:szCs w:val="22"/>
        </w:rPr>
        <w:t>High Deductible</w:t>
      </w:r>
      <w:proofErr w:type="gramEnd"/>
      <w:r w:rsidRPr="00DD7BD1">
        <w:rPr>
          <w:rFonts w:ascii="Calibri" w:eastAsiaTheme="minorHAnsi" w:hAnsi="Calibri" w:cs="Calibri"/>
          <w:sz w:val="22"/>
          <w:szCs w:val="22"/>
        </w:rPr>
        <w:t xml:space="preserve"> Health Plans and Telehealth</w:t>
      </w:r>
      <w:r w:rsidRPr="00DD7BD1">
        <w:rPr>
          <w:rFonts w:ascii="Calibri" w:eastAsiaTheme="minorHAnsi" w:hAnsi="Calibri" w:cs="Calibri"/>
          <w:b w:val="0"/>
          <w:bCs w:val="0"/>
          <w:sz w:val="22"/>
          <w:szCs w:val="22"/>
        </w:rPr>
        <w:br/>
        <w:t xml:space="preserve">For </w:t>
      </w:r>
      <w:proofErr w:type="gramStart"/>
      <w:r w:rsidRPr="00DD7BD1">
        <w:rPr>
          <w:rFonts w:ascii="Calibri" w:eastAsiaTheme="minorHAnsi" w:hAnsi="Calibri" w:cs="Calibri"/>
          <w:b w:val="0"/>
          <w:bCs w:val="0"/>
          <w:sz w:val="22"/>
          <w:szCs w:val="22"/>
        </w:rPr>
        <w:t>high deductible</w:t>
      </w:r>
      <w:proofErr w:type="gramEnd"/>
      <w:r w:rsidRPr="00DD7BD1">
        <w:rPr>
          <w:rFonts w:ascii="Calibri" w:eastAsiaTheme="minorHAnsi" w:hAnsi="Calibri" w:cs="Calibri"/>
          <w:b w:val="0"/>
          <w:bCs w:val="0"/>
          <w:sz w:val="22"/>
          <w:szCs w:val="22"/>
        </w:rPr>
        <w:t xml:space="preserve"> health plans (HDHPs) that began after December 31, 2024, telehealth (virtual) or remote care can be covered </w:t>
      </w:r>
      <w:r w:rsidRPr="00DD7BD1">
        <w:rPr>
          <w:rFonts w:ascii="Calibri" w:eastAsiaTheme="minorHAnsi" w:hAnsi="Calibri" w:cs="Calibri"/>
          <w:b w:val="0"/>
          <w:bCs w:val="0"/>
          <w:i/>
          <w:iCs/>
          <w:sz w:val="22"/>
          <w:szCs w:val="22"/>
        </w:rPr>
        <w:t>before</w:t>
      </w:r>
      <w:r w:rsidRPr="00DD7BD1">
        <w:rPr>
          <w:rFonts w:ascii="Calibri" w:eastAsiaTheme="minorHAnsi" w:hAnsi="Calibri" w:cs="Calibri"/>
          <w:b w:val="0"/>
          <w:bCs w:val="0"/>
          <w:sz w:val="22"/>
          <w:szCs w:val="22"/>
        </w:rPr>
        <w:t xml:space="preserve"> your employees meet their deductible without impacting their eligibility to contribute to a health savings account (HSA).  </w:t>
      </w:r>
    </w:p>
    <w:p w14:paraId="6556F6C8"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54463943"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2ADC8CB"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sz w:val="22"/>
          <w:szCs w:val="22"/>
        </w:rPr>
        <w:t>Student Loan Reimbursement</w:t>
      </w:r>
      <w:r w:rsidRPr="00DD7BD1">
        <w:rPr>
          <w:rFonts w:ascii="Calibri" w:eastAsiaTheme="minorHAnsi" w:hAnsi="Calibri" w:cs="Calibr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A076D8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42D538B7" w14:textId="72AE61FA" w:rsidR="00D62A5D" w:rsidRPr="00DD7BD1" w:rsidRDefault="001D3D04" w:rsidP="00E43496">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To read more, access a recent article from the Bradley law firm </w:t>
      </w:r>
      <w:hyperlink r:id="rId313" w:history="1">
        <w:r w:rsidRPr="00DD7BD1">
          <w:rPr>
            <w:rStyle w:val="Hyperlink"/>
            <w:rFonts w:ascii="Calibri" w:eastAsiaTheme="minorHAnsi" w:hAnsi="Calibri" w:cs="Calibri"/>
            <w:b w:val="0"/>
            <w:bCs w:val="0"/>
            <w:sz w:val="22"/>
            <w:szCs w:val="22"/>
          </w:rPr>
          <w:t>HERE</w:t>
        </w:r>
      </w:hyperlink>
    </w:p>
    <w:p w14:paraId="1E894558" w14:textId="77777777" w:rsidR="00D62A5D" w:rsidRPr="00DD7BD1" w:rsidRDefault="00D62A5D"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06B672A5" w14:textId="08ED9C13"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16" w:name="_Hlk205275557"/>
      <w:r w:rsidRPr="00DD7BD1">
        <w:rPr>
          <w:rFonts w:ascii="Calibri" w:eastAsiaTheme="minorHAnsi" w:hAnsi="Calibri" w:cs="Calibri"/>
          <w:kern w:val="0"/>
          <w:sz w:val="28"/>
          <w:szCs w:val="28"/>
        </w:rPr>
        <w:t>One Big Beautiful Bill Act: Workplace Immigration Enforcement</w:t>
      </w:r>
    </w:p>
    <w:bookmarkEnd w:id="16"/>
    <w:p w14:paraId="2058DE50"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kern w:val="0"/>
          <w:sz w:val="22"/>
          <w:szCs w:val="22"/>
        </w:rPr>
      </w:pPr>
    </w:p>
    <w:p w14:paraId="0C5569A6"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i/>
          <w:iCs/>
          <w:kern w:val="0"/>
          <w:sz w:val="22"/>
          <w:szCs w:val="22"/>
        </w:rPr>
      </w:pPr>
      <w:r w:rsidRPr="00DD7BD1">
        <w:rPr>
          <w:rFonts w:ascii="Calibri" w:eastAsiaTheme="minorHAnsi" w:hAnsi="Calibri" w:cs="Calibri"/>
          <w:i/>
          <w:iCs/>
          <w:kern w:val="0"/>
          <w:sz w:val="22"/>
          <w:szCs w:val="22"/>
        </w:rPr>
        <w:t xml:space="preserve">A July 23, 2025, Foley &amp; Lardner, LLP article below and accessible </w:t>
      </w:r>
      <w:hyperlink r:id="rId314" w:history="1">
        <w:r w:rsidRPr="00DD7BD1">
          <w:rPr>
            <w:rStyle w:val="Hyperlink"/>
            <w:rFonts w:ascii="Calibri" w:eastAsiaTheme="minorHAnsi" w:hAnsi="Calibri" w:cs="Calibri"/>
            <w:i/>
            <w:iCs/>
            <w:kern w:val="0"/>
            <w:sz w:val="22"/>
            <w:szCs w:val="22"/>
          </w:rPr>
          <w:t>HERE</w:t>
        </w:r>
      </w:hyperlink>
    </w:p>
    <w:p w14:paraId="43C2BCD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20D2DB5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w:t>
      </w:r>
      <w:hyperlink r:id="rId315" w:tgtFrame="_blank" w:history="1">
        <w:r w:rsidRPr="00DD7BD1">
          <w:rPr>
            <w:rStyle w:val="Hyperlink"/>
            <w:rFonts w:ascii="Calibri" w:eastAsiaTheme="minorHAnsi" w:hAnsi="Calibri" w:cs="Calibri"/>
            <w:b w:val="0"/>
            <w:bCs w:val="0"/>
            <w:sz w:val="22"/>
            <w:szCs w:val="22"/>
          </w:rPr>
          <w:t>One Big Beautiful Bill Act</w:t>
        </w:r>
      </w:hyperlink>
      <w:r w:rsidRPr="00DD7BD1">
        <w:rPr>
          <w:rFonts w:ascii="Calibri" w:eastAsiaTheme="minorHAnsi" w:hAnsi="Calibri" w:cs="Calibr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Immigration-Related Spending Allocations</w:t>
      </w:r>
    </w:p>
    <w:p w14:paraId="28480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D930FE7"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legislation’s spending allocations are directly in line with the Trump Administration’s priority on immigration enforcement. In a May 19,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w:t>
      </w:r>
      <w:hyperlink r:id="rId316" w:tgtFrame="_blank" w:history="1">
        <w:r w:rsidRPr="00DD7BD1">
          <w:rPr>
            <w:rStyle w:val="Hyperlink"/>
            <w:rFonts w:ascii="Calibri" w:eastAsiaTheme="minorHAnsi" w:hAnsi="Calibri" w:cs="Calibri"/>
            <w:b w:val="0"/>
            <w:bCs w:val="0"/>
            <w:sz w:val="22"/>
            <w:szCs w:val="22"/>
          </w:rPr>
          <w:t>press release</w:t>
        </w:r>
      </w:hyperlink>
      <w:r w:rsidRPr="00DD7BD1">
        <w:rPr>
          <w:rFonts w:ascii="Calibri" w:eastAsiaTheme="minorHAnsi" w:hAnsi="Calibri" w:cs="Calibr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317" w:tgtFrame="_blank" w:history="1">
        <w:r w:rsidRPr="00DD7BD1">
          <w:rPr>
            <w:rStyle w:val="Hyperlink"/>
            <w:rFonts w:ascii="Calibri" w:eastAsiaTheme="minorHAnsi" w:hAnsi="Calibri" w:cs="Calibri"/>
            <w:b w:val="0"/>
            <w:bCs w:val="0"/>
            <w:sz w:val="22"/>
            <w:szCs w:val="22"/>
          </w:rPr>
          <w:t>assisted with arrests</w:t>
        </w:r>
      </w:hyperlink>
      <w:r w:rsidRPr="00DD7BD1">
        <w:rPr>
          <w:rFonts w:ascii="Calibri" w:eastAsiaTheme="minorHAnsi" w:hAnsi="Calibri" w:cs="Calibri"/>
          <w:b w:val="0"/>
          <w:bCs w:val="0"/>
          <w:sz w:val="22"/>
          <w:szCs w:val="22"/>
        </w:rPr>
        <w:t> of unauthorized workers. </w:t>
      </w:r>
    </w:p>
    <w:p w14:paraId="3DD6031C"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6421C1E"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Impact on Large Companies</w:t>
      </w:r>
    </w:p>
    <w:p w14:paraId="413D87A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increased immigration-related spending allocations will likely have a direct impact on certain companies and their legal liability. Just last month, Border Czar Tom Homan </w:t>
      </w:r>
      <w:hyperlink r:id="rId318" w:tgtFrame="_blank" w:history="1">
        <w:r w:rsidRPr="00DD7BD1">
          <w:rPr>
            <w:rStyle w:val="Hyperlink"/>
            <w:rFonts w:ascii="Calibri" w:eastAsiaTheme="minorHAnsi" w:hAnsi="Calibri" w:cs="Calibri"/>
            <w:b w:val="0"/>
            <w:bCs w:val="0"/>
            <w:sz w:val="22"/>
            <w:szCs w:val="22"/>
          </w:rPr>
          <w:t>stated</w:t>
        </w:r>
      </w:hyperlink>
      <w:r w:rsidRPr="00DD7BD1">
        <w:rPr>
          <w:rFonts w:ascii="Calibri" w:eastAsiaTheme="minorHAnsi" w:hAnsi="Calibri" w:cs="Calibri"/>
          <w:b w:val="0"/>
          <w:bCs w:val="0"/>
          <w:sz w:val="22"/>
          <w:szCs w:val="22"/>
        </w:rPr>
        <w:t> that “[w]</w:t>
      </w:r>
      <w:proofErr w:type="spellStart"/>
      <w:r w:rsidRPr="00DD7BD1">
        <w:rPr>
          <w:rFonts w:ascii="Calibri" w:eastAsiaTheme="minorHAnsi" w:hAnsi="Calibri" w:cs="Calibri"/>
          <w:b w:val="0"/>
          <w:bCs w:val="0"/>
          <w:sz w:val="22"/>
          <w:szCs w:val="22"/>
        </w:rPr>
        <w:t>orksite</w:t>
      </w:r>
      <w:proofErr w:type="spellEnd"/>
      <w:r w:rsidRPr="00DD7BD1">
        <w:rPr>
          <w:rFonts w:ascii="Calibri" w:eastAsiaTheme="minorHAnsi" w:hAnsi="Calibri" w:cs="Calibri"/>
          <w:b w:val="0"/>
          <w:bCs w:val="0"/>
          <w:sz w:val="22"/>
          <w:szCs w:val="22"/>
        </w:rPr>
        <w:t xml:space="preserv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00DE700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496876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319" w:tgtFrame="_blank" w:history="1">
        <w:r w:rsidRPr="00DD7BD1">
          <w:rPr>
            <w:rStyle w:val="Hyperlink"/>
            <w:rFonts w:ascii="Calibri" w:eastAsiaTheme="minorHAnsi" w:hAnsi="Calibri" w:cs="Calibri"/>
            <w:b w:val="0"/>
            <w:bCs w:val="0"/>
            <w:sz w:val="22"/>
            <w:szCs w:val="22"/>
          </w:rPr>
          <w:t>E-Verify system has certain vulnerabilities</w:t>
        </w:r>
      </w:hyperlink>
      <w:r w:rsidRPr="00DD7BD1">
        <w:rPr>
          <w:rFonts w:ascii="Calibri" w:eastAsiaTheme="minorHAnsi" w:hAnsi="Calibri" w:cs="Calibr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AC380CF"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87EF8A2"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Addressing the Risks</w:t>
      </w:r>
    </w:p>
    <w:p w14:paraId="5A15125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p>
    <w:p w14:paraId="6F93F4D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A6AF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Most importantly, companies should implement a clear policy and procedure to respond to immigration enforcement raids similar to the recent raids </w:t>
      </w:r>
      <w:hyperlink r:id="rId320" w:tgtFrame="_blank" w:history="1">
        <w:r w:rsidRPr="00DD7BD1">
          <w:rPr>
            <w:rStyle w:val="Hyperlink"/>
            <w:rFonts w:ascii="Calibri" w:eastAsiaTheme="minorHAnsi" w:hAnsi="Calibri" w:cs="Calibri"/>
            <w:b w:val="0"/>
            <w:bCs w:val="0"/>
            <w:sz w:val="22"/>
            <w:szCs w:val="22"/>
          </w:rPr>
          <w:t>in Tallahassee, Florida</w:t>
        </w:r>
      </w:hyperlink>
      <w:r w:rsidRPr="00DD7BD1">
        <w:rPr>
          <w:rFonts w:ascii="Calibri" w:eastAsiaTheme="minorHAnsi" w:hAnsi="Calibri" w:cs="Calibri"/>
          <w:b w:val="0"/>
          <w:bCs w:val="0"/>
          <w:sz w:val="22"/>
          <w:szCs w:val="22"/>
        </w:rPr>
        <w:t> and </w:t>
      </w:r>
      <w:hyperlink r:id="rId321" w:tgtFrame="_blank" w:history="1">
        <w:r w:rsidRPr="00DD7BD1">
          <w:rPr>
            <w:rStyle w:val="Hyperlink"/>
            <w:rFonts w:ascii="Calibri" w:eastAsiaTheme="minorHAnsi" w:hAnsi="Calibri" w:cs="Calibri"/>
            <w:b w:val="0"/>
            <w:bCs w:val="0"/>
            <w:sz w:val="22"/>
            <w:szCs w:val="22"/>
          </w:rPr>
          <w:t>near Camarillo, California</w:t>
        </w:r>
      </w:hyperlink>
      <w:r w:rsidRPr="00DD7BD1">
        <w:rPr>
          <w:rFonts w:ascii="Calibri" w:eastAsiaTheme="minorHAnsi" w:hAnsi="Calibri" w:cs="Calibr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7DFCCC8A" w14:textId="08AFAC39"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bookmarkStart w:id="17" w:name="_Hlk205275534"/>
      <w:r w:rsidRPr="00DD7BD1">
        <w:rPr>
          <w:rFonts w:ascii="Calibri" w:eastAsiaTheme="minorHAnsi" w:hAnsi="Calibri" w:cs="Calibri"/>
          <w:kern w:val="0"/>
          <w:sz w:val="28"/>
          <w:szCs w:val="28"/>
        </w:rPr>
        <w:t>OSHA Issues Updated Penalty &amp; Debt Collection Guidelines to Support Small Businesses – Eff July 14, 2025</w:t>
      </w:r>
    </w:p>
    <w:bookmarkEnd w:id="17"/>
    <w:p w14:paraId="663FC1F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BAA748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Notably, under the new guidelines, the threshold for small employer penalty reductions has been </w:t>
      </w:r>
      <w:proofErr w:type="gramStart"/>
      <w:r w:rsidRPr="00DD7BD1">
        <w:rPr>
          <w:rFonts w:ascii="Calibri" w:eastAsiaTheme="minorHAnsi" w:hAnsi="Calibri" w:cs="Calibri"/>
          <w:b w:val="0"/>
          <w:bCs w:val="0"/>
          <w:sz w:val="22"/>
          <w:szCs w:val="22"/>
        </w:rPr>
        <w:t>raised—</w:t>
      </w:r>
      <w:proofErr w:type="gramEnd"/>
      <w:r w:rsidRPr="00DD7BD1">
        <w:rPr>
          <w:rFonts w:ascii="Calibri" w:eastAsiaTheme="minorHAnsi" w:hAnsi="Calibri" w:cs="Calibri"/>
          <w:b w:val="0"/>
          <w:bCs w:val="0"/>
          <w:sz w:val="22"/>
          <w:szCs w:val="22"/>
        </w:rPr>
        <w:t>businesses with up to 25 employees (previously 10) can now qualify for a 70% penalty reduction.</w:t>
      </w:r>
    </w:p>
    <w:p w14:paraId="7544B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77F2FC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Additionally, employers that promptly correct hazards may receive a new 15% reduction under OSHA’s “Quick-Fix” credit. To qualify, the hazard must be corrected within five days of discovery and employee exposure to the hazard must be prevented during that time. If more than five days </w:t>
      </w:r>
      <w:proofErr w:type="gramStart"/>
      <w:r w:rsidRPr="00DD7BD1">
        <w:rPr>
          <w:rFonts w:ascii="Calibri" w:eastAsiaTheme="minorHAnsi" w:hAnsi="Calibri" w:cs="Calibri"/>
          <w:b w:val="0"/>
          <w:bCs w:val="0"/>
          <w:sz w:val="22"/>
          <w:szCs w:val="22"/>
        </w:rPr>
        <w:t>is</w:t>
      </w:r>
      <w:proofErr w:type="gramEnd"/>
      <w:r w:rsidRPr="00DD7BD1">
        <w:rPr>
          <w:rFonts w:ascii="Calibri" w:eastAsiaTheme="minorHAnsi" w:hAnsi="Calibri" w:cs="Calibri"/>
          <w:b w:val="0"/>
          <w:bCs w:val="0"/>
          <w:sz w:val="22"/>
          <w:szCs w:val="22"/>
        </w:rPr>
        <w:t xml:space="preserve">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273DC4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Been inspected by federal OSHA or a State Plan within the past five years and were found in compliance or cited only for other-than-serious violations; or</w:t>
      </w:r>
    </w:p>
    <w:p w14:paraId="7332B813"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Never been inspected by OSHA or a State Plan.</w:t>
      </w:r>
    </w:p>
    <w:p w14:paraId="7BCCA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451DCE6"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changes aim to reward good-faith compliance efforts while maintaining accountability for workplace safety.</w:t>
      </w:r>
    </w:p>
    <w:p w14:paraId="039451A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70B5735" w14:textId="38C63A5B" w:rsidR="001D3D04" w:rsidRPr="00DD7BD1" w:rsidRDefault="001D3D04" w:rsidP="00636C21">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Employers with open OSHA investigations should consult experienced workplace safety counsel to determine how these changes</w:t>
      </w:r>
      <w:r w:rsidRPr="00DD7BD1">
        <w:rPr>
          <w:rFonts w:ascii="Calibri" w:eastAsiaTheme="minorHAnsi" w:hAnsi="Calibri" w:cs="Calibri"/>
          <w:sz w:val="22"/>
          <w:szCs w:val="22"/>
        </w:rPr>
        <w:t xml:space="preserve"> may impact their case and to ensure they are taking full advantage of the updated policies.</w:t>
      </w:r>
    </w:p>
    <w:p w14:paraId="091D86F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4CD05FC4" w14:textId="77777777" w:rsidR="001D3D04" w:rsidRPr="00DD7BD1" w:rsidRDefault="001D3D04" w:rsidP="001D3D04">
      <w:pPr>
        <w:pStyle w:val="Heading1"/>
        <w:shd w:val="clear" w:color="auto" w:fill="FFFFFF"/>
        <w:spacing w:before="0" w:beforeAutospacing="0" w:after="0" w:afterAutospacing="0"/>
        <w:jc w:val="center"/>
        <w:rPr>
          <w:rFonts w:ascii="Calibri" w:hAnsi="Calibri" w:cs="Calibri"/>
          <w:b w:val="0"/>
          <w:bCs w:val="0"/>
          <w:color w:val="C0000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 </w:t>
      </w:r>
      <w:bookmarkStart w:id="18" w:name="_Hlk202781170"/>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bookmarkEnd w:id="18"/>
    <w:p w14:paraId="70F6C37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p>
    <w:p w14:paraId="45B556DD"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9" w:name="_Hlk202781193"/>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bookmarkEnd w:id="19"/>
    <w:p w14:paraId="68FBE404" w14:textId="77777777" w:rsidR="001D3D04" w:rsidRPr="00DD7BD1" w:rsidRDefault="001D3D04" w:rsidP="001558B8">
      <w:pPr>
        <w:pStyle w:val="BodyText"/>
        <w:spacing w:after="0" w:line="240" w:lineRule="auto"/>
        <w:ind w:right="274"/>
        <w:rPr>
          <w:rFonts w:eastAsiaTheme="minorHAnsi" w:cs="Calibri"/>
          <w:b/>
          <w:bCs/>
          <w:color w:val="auto"/>
          <w:kern w:val="36"/>
          <w:szCs w:val="22"/>
        </w:rPr>
      </w:pPr>
    </w:p>
    <w:p w14:paraId="4C40BD00"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777C1608" w14:textId="4C9005F1" w:rsidR="00D62A5D" w:rsidRPr="00DD7BD1" w:rsidRDefault="00D62A5D"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June Articles</w:t>
      </w:r>
    </w:p>
    <w:p w14:paraId="7828ECEF" w14:textId="686A2EBD" w:rsidR="00D62A5D" w:rsidRPr="00DD7BD1" w:rsidRDefault="00D62A5D" w:rsidP="00D62A5D">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lastRenderedPageBreak/>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5516899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5CA8DD3D" w14:textId="77777777" w:rsidR="00D62A5D" w:rsidRPr="00DD7BD1" w:rsidRDefault="00D62A5D" w:rsidP="00D62A5D">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3C4B45"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0520754E"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322" w:tgtFrame="_blank" w:history="1">
        <w:r w:rsidRPr="00DD7BD1">
          <w:rPr>
            <w:rStyle w:val="Hyperlink"/>
            <w:rFonts w:ascii="Calibri" w:eastAsiaTheme="minorHAnsi" w:hAnsi="Calibri" w:cs="Calibri"/>
            <w:b w:val="0"/>
            <w:bCs w:val="0"/>
            <w:sz w:val="22"/>
            <w:szCs w:val="22"/>
          </w:rPr>
          <w:t xml:space="preserve">June 23, </w:t>
        </w:r>
        <w:proofErr w:type="gramStart"/>
        <w:r w:rsidRPr="00DD7BD1">
          <w:rPr>
            <w:rStyle w:val="Hyperlink"/>
            <w:rFonts w:ascii="Calibri" w:eastAsiaTheme="minorHAnsi" w:hAnsi="Calibri" w:cs="Calibri"/>
            <w:b w:val="0"/>
            <w:bCs w:val="0"/>
            <w:sz w:val="22"/>
            <w:szCs w:val="22"/>
          </w:rPr>
          <w:t>2025</w:t>
        </w:r>
        <w:proofErr w:type="gramEnd"/>
        <w:r w:rsidRPr="00DD7BD1">
          <w:rPr>
            <w:rStyle w:val="Hyperlink"/>
            <w:rFonts w:ascii="Calibri" w:eastAsiaTheme="minorHAnsi" w:hAnsi="Calibri" w:cs="Calibri"/>
            <w:b w:val="0"/>
            <w:bCs w:val="0"/>
            <w:sz w:val="22"/>
            <w:szCs w:val="22"/>
          </w:rPr>
          <w:t xml:space="preserve"> guidance issued on the E-Verify website</w:t>
        </w:r>
      </w:hyperlink>
      <w:r w:rsidRPr="00DD7BD1">
        <w:rPr>
          <w:rFonts w:ascii="Calibri" w:eastAsiaTheme="minorHAnsi" w:hAnsi="Calibri" w:cs="Calibr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xml:space="preserve"> would be reflected in Status Change Reports available as of June 20, 2025.</w:t>
      </w:r>
    </w:p>
    <w:p w14:paraId="4940DFA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58D07A28"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color w:val="C00000"/>
          <w:kern w:val="0"/>
          <w:sz w:val="16"/>
          <w:szCs w:val="16"/>
        </w:rPr>
      </w:pPr>
    </w:p>
    <w:p w14:paraId="6B1295AB" w14:textId="77777777"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4304C00D" w14:textId="77777777" w:rsidR="00D62A5D" w:rsidRPr="00DD7BD1" w:rsidRDefault="00D62A5D" w:rsidP="00D62A5D">
      <w:pPr>
        <w:spacing w:after="0" w:line="240" w:lineRule="auto"/>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DD7BD1" w:rsidRDefault="00D62A5D" w:rsidP="00D62A5D">
      <w:pPr>
        <w:spacing w:after="0" w:line="240" w:lineRule="auto"/>
        <w:rPr>
          <w:rFonts w:ascii="Calibri" w:hAnsi="Calibri" w:cs="Calibri"/>
        </w:rPr>
      </w:pPr>
    </w:p>
    <w:p w14:paraId="009055A5" w14:textId="77777777" w:rsidR="00D62A5D" w:rsidRPr="00DD7BD1" w:rsidRDefault="00D62A5D" w:rsidP="00D62A5D">
      <w:pPr>
        <w:spacing w:after="0" w:line="240" w:lineRule="auto"/>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323" w:tgtFrame="_blank" w:history="1">
        <w:r w:rsidRPr="00DD7BD1">
          <w:rPr>
            <w:rStyle w:val="Hyperlink"/>
            <w:rFonts w:ascii="Calibri" w:hAnsi="Calibri" w:cs="Calibri"/>
            <w:bCs/>
          </w:rPr>
          <w:t>here.</w:t>
        </w:r>
      </w:hyperlink>
    </w:p>
    <w:p w14:paraId="3C325A8E" w14:textId="77777777" w:rsidR="00D62A5D" w:rsidRPr="00DD7BD1" w:rsidRDefault="00D62A5D" w:rsidP="00D62A5D">
      <w:pPr>
        <w:spacing w:after="0" w:line="240" w:lineRule="auto"/>
        <w:rPr>
          <w:rFonts w:ascii="Calibri" w:hAnsi="Calibri" w:cs="Calibri"/>
        </w:rPr>
      </w:pPr>
    </w:p>
    <w:p w14:paraId="72C8DB97"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 xml:space="preserve">Payment is due by July 31 of the year following the last day of the plan year. </w:t>
      </w:r>
    </w:p>
    <w:p w14:paraId="1E9D2BA4"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For plan years ending in 2024, the PCORI fees are due by July 31, 2025.</w:t>
      </w:r>
    </w:p>
    <w:p w14:paraId="0E9FE8C1" w14:textId="77777777" w:rsidR="00D62A5D" w:rsidRPr="00DD7BD1" w:rsidRDefault="00D62A5D" w:rsidP="00D62A5D">
      <w:pPr>
        <w:spacing w:after="0" w:line="240" w:lineRule="auto"/>
        <w:rPr>
          <w:rFonts w:ascii="Calibri" w:hAnsi="Calibri" w:cs="Calibri"/>
        </w:rPr>
      </w:pPr>
    </w:p>
    <w:p w14:paraId="27B0F41B" w14:textId="77777777" w:rsidR="00D62A5D" w:rsidRPr="00DD7BD1" w:rsidRDefault="00D62A5D" w:rsidP="00D62A5D">
      <w:pPr>
        <w:spacing w:after="0" w:line="240" w:lineRule="auto"/>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DD7BD1" w:rsidRDefault="00D62A5D" w:rsidP="00D62A5D">
      <w:pPr>
        <w:spacing w:after="0" w:line="240" w:lineRule="auto"/>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DD7BD1" w:rsidRDefault="00D62A5D" w:rsidP="00D62A5D">
      <w:pPr>
        <w:spacing w:after="0" w:line="240" w:lineRule="auto"/>
        <w:rPr>
          <w:rFonts w:ascii="Calibri" w:hAnsi="Calibri" w:cs="Calibri"/>
        </w:rPr>
      </w:pPr>
      <w:r w:rsidRPr="00DD7BD1">
        <w:rPr>
          <w:rFonts w:ascii="Calibri" w:hAnsi="Calibri" w:cs="Calibri"/>
        </w:rPr>
        <w:t> </w:t>
      </w:r>
    </w:p>
    <w:p w14:paraId="6DCD0B69" w14:textId="77777777" w:rsidR="00D62A5D" w:rsidRPr="00DD7BD1" w:rsidRDefault="00D62A5D" w:rsidP="00D62A5D">
      <w:pPr>
        <w:spacing w:after="0" w:line="240" w:lineRule="auto"/>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6E3BA098"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008CE554" w14:textId="24F81CC5"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0134479C" w14:textId="77777777" w:rsidR="00D62A5D" w:rsidRPr="00DD7BD1" w:rsidRDefault="00D62A5D" w:rsidP="00D62A5D">
      <w:pPr>
        <w:pStyle w:val="NormalWeb"/>
        <w:shd w:val="clear" w:color="auto" w:fill="FFFFFF"/>
        <w:spacing w:before="0" w:beforeAutospacing="0" w:after="0" w:afterAutospacing="0"/>
        <w:rPr>
          <w:rFonts w:ascii="Calibri" w:hAnsi="Calibri" w:cs="Calibri"/>
          <w:color w:val="292929"/>
          <w:spacing w:val="3"/>
          <w:sz w:val="22"/>
          <w:szCs w:val="22"/>
        </w:rPr>
      </w:pPr>
    </w:p>
    <w:p w14:paraId="4DABD063" w14:textId="77777777" w:rsidR="00D62A5D" w:rsidRPr="00DD7BD1" w:rsidRDefault="00D62A5D" w:rsidP="00D62A5D">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w:t>
      </w:r>
      <w:proofErr w:type="gramStart"/>
      <w:r w:rsidRPr="00DD7BD1">
        <w:rPr>
          <w:rFonts w:ascii="Calibri" w:eastAsiaTheme="minorHAnsi" w:hAnsi="Calibri" w:cs="Calibri"/>
          <w:color w:val="C00000"/>
          <w:kern w:val="0"/>
          <w:sz w:val="28"/>
          <w:szCs w:val="28"/>
        </w:rPr>
        <w:t>2025</w:t>
      </w:r>
      <w:proofErr w:type="gramEnd"/>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Filing Deadline</w:t>
      </w:r>
    </w:p>
    <w:p w14:paraId="53663FF4"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w:t>
      </w:r>
      <w:r w:rsidRPr="00DD7BD1">
        <w:rPr>
          <w:rFonts w:eastAsiaTheme="minorHAnsi" w:cs="Calibri"/>
          <w:b/>
          <w:bCs/>
          <w:color w:val="auto"/>
          <w:kern w:val="36"/>
          <w:szCs w:val="22"/>
          <w:u w:val="single"/>
        </w:rPr>
        <w:t xml:space="preserve">data for </w:t>
      </w:r>
      <w:r w:rsidRPr="00DD7BD1">
        <w:rPr>
          <w:rFonts w:eastAsiaTheme="minorHAnsi" w:cs="Calibri"/>
          <w:b/>
          <w:bCs/>
          <w:color w:val="C00000"/>
          <w:kern w:val="36"/>
          <w:szCs w:val="22"/>
          <w:u w:val="single"/>
        </w:rPr>
        <w:t>2024</w:t>
      </w:r>
      <w:r w:rsidRPr="00DD7BD1">
        <w:rPr>
          <w:rFonts w:eastAsiaTheme="minorHAnsi" w:cs="Calibri"/>
          <w:b/>
          <w:bCs/>
          <w:color w:val="auto"/>
          <w:kern w:val="36"/>
          <w:szCs w:val="22"/>
          <w:u w:val="single"/>
        </w:rPr>
        <w:t>.</w:t>
      </w:r>
    </w:p>
    <w:p w14:paraId="14B05EB7" w14:textId="77777777" w:rsidR="00D62A5D" w:rsidRPr="00DD7BD1" w:rsidRDefault="00D62A5D" w:rsidP="00D62A5D">
      <w:pPr>
        <w:pStyle w:val="BodyText"/>
        <w:spacing w:after="0" w:line="240" w:lineRule="auto"/>
        <w:ind w:right="274"/>
        <w:rPr>
          <w:rFonts w:eastAsiaTheme="minorHAnsi" w:cs="Calibri"/>
          <w:color w:val="auto"/>
          <w:kern w:val="36"/>
          <w:sz w:val="16"/>
          <w:szCs w:val="16"/>
        </w:rPr>
      </w:pPr>
    </w:p>
    <w:p w14:paraId="4D2E5B9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lastRenderedPageBreak/>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w:t>
      </w:r>
      <w:proofErr w:type="gramStart"/>
      <w:r w:rsidRPr="00DD7BD1">
        <w:rPr>
          <w:rFonts w:eastAsiaTheme="minorHAnsi" w:cs="Calibri"/>
          <w:color w:val="auto"/>
          <w:kern w:val="36"/>
          <w:szCs w:val="22"/>
        </w:rPr>
        <w:t>third party</w:t>
      </w:r>
      <w:proofErr w:type="gramEnd"/>
      <w:r w:rsidRPr="00DD7BD1">
        <w:rPr>
          <w:rFonts w:eastAsiaTheme="minorHAnsi" w:cs="Calibri"/>
          <w:color w:val="auto"/>
          <w:kern w:val="36"/>
          <w:szCs w:val="22"/>
        </w:rPr>
        <w:t xml:space="preserve"> support services </w:t>
      </w:r>
      <w:proofErr w:type="gramStart"/>
      <w:r w:rsidRPr="00DD7BD1">
        <w:rPr>
          <w:rFonts w:eastAsiaTheme="minorHAnsi" w:cs="Calibri"/>
          <w:color w:val="auto"/>
          <w:kern w:val="36"/>
          <w:szCs w:val="22"/>
        </w:rPr>
        <w:t>addresses</w:t>
      </w:r>
      <w:proofErr w:type="gramEnd"/>
      <w:r w:rsidRPr="00DD7BD1">
        <w:rPr>
          <w:rFonts w:eastAsiaTheme="minorHAnsi" w:cs="Calibri"/>
          <w:color w:val="auto"/>
          <w:kern w:val="36"/>
          <w:szCs w:val="22"/>
        </w:rPr>
        <w:t xml:space="preserve">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067D544E"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1117E5A4" w14:textId="15D4EF96" w:rsidR="00D62A5D" w:rsidRPr="00DD7BD1" w:rsidRDefault="00D62A5D" w:rsidP="00D62A5D">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5CD18BF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w:t>
      </w:r>
      <w:proofErr w:type="gramStart"/>
      <w:r w:rsidRPr="00DD7BD1">
        <w:rPr>
          <w:rFonts w:eastAsiaTheme="minorHAnsi" w:cs="Calibri"/>
          <w:color w:val="auto"/>
          <w:kern w:val="36"/>
          <w:szCs w:val="22"/>
        </w:rPr>
        <w:t>how it would apply statutes and regulations</w:t>
      </w:r>
      <w:proofErr w:type="gramEnd"/>
      <w:r w:rsidRPr="00DD7BD1">
        <w:rPr>
          <w:rFonts w:eastAsiaTheme="minorHAnsi" w:cs="Calibri"/>
          <w:color w:val="auto"/>
          <w:kern w:val="36"/>
          <w:szCs w:val="22"/>
        </w:rPr>
        <w:t xml:space="preserve">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6DF4205B"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498A2CC8"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54E4D9E2"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6A879C2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6F7E50F8"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Employee Benefits Security Administration will release advisory opinions and </w:t>
      </w:r>
      <w:proofErr w:type="gramStart"/>
      <w:r w:rsidRPr="00DD7BD1">
        <w:rPr>
          <w:rFonts w:eastAsiaTheme="minorHAnsi" w:cs="Calibri"/>
          <w:color w:val="auto"/>
          <w:kern w:val="36"/>
          <w:szCs w:val="22"/>
        </w:rPr>
        <w:t>information letters</w:t>
      </w:r>
      <w:proofErr w:type="gramEnd"/>
      <w:r w:rsidRPr="00DD7BD1">
        <w:rPr>
          <w:rFonts w:eastAsiaTheme="minorHAnsi" w:cs="Calibri"/>
          <w:color w:val="auto"/>
          <w:kern w:val="36"/>
          <w:szCs w:val="22"/>
        </w:rPr>
        <w:t>.</w:t>
      </w:r>
    </w:p>
    <w:p w14:paraId="5BF51AE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35D9940A" w14:textId="60E394EB"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61AA8E97"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09F53C81" w14:textId="6E663274" w:rsidR="001558B8" w:rsidRPr="00DD7BD1" w:rsidRDefault="001558B8"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May Articles:</w:t>
      </w:r>
    </w:p>
    <w:p w14:paraId="07CE21D9" w14:textId="77777777" w:rsidR="001558B8" w:rsidRPr="00DD7BD1" w:rsidRDefault="001558B8"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p>
    <w:p w14:paraId="17F719C7" w14:textId="77777777" w:rsidR="008631FB" w:rsidRPr="00DD7BD1" w:rsidRDefault="008631FB" w:rsidP="008631FB">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7DA4B0F2"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322522F5" w14:textId="77777777" w:rsidR="008631FB" w:rsidRPr="00DD7BD1" w:rsidRDefault="008631FB" w:rsidP="008631FB">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BAF256"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7FEFA534"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324" w:tgtFrame="_blank" w:history="1">
        <w:r w:rsidRPr="00DD7BD1">
          <w:rPr>
            <w:rStyle w:val="Hyperlink"/>
            <w:rFonts w:ascii="Calibri" w:eastAsiaTheme="minorHAnsi" w:hAnsi="Calibri" w:cs="Calibri"/>
            <w:b w:val="0"/>
            <w:bCs w:val="0"/>
            <w:sz w:val="22"/>
            <w:szCs w:val="22"/>
          </w:rPr>
          <w:t xml:space="preserve">June 23, </w:t>
        </w:r>
        <w:proofErr w:type="gramStart"/>
        <w:r w:rsidRPr="00DD7BD1">
          <w:rPr>
            <w:rStyle w:val="Hyperlink"/>
            <w:rFonts w:ascii="Calibri" w:eastAsiaTheme="minorHAnsi" w:hAnsi="Calibri" w:cs="Calibri"/>
            <w:b w:val="0"/>
            <w:bCs w:val="0"/>
            <w:sz w:val="22"/>
            <w:szCs w:val="22"/>
          </w:rPr>
          <w:t>2025</w:t>
        </w:r>
        <w:proofErr w:type="gramEnd"/>
        <w:r w:rsidRPr="00DD7BD1">
          <w:rPr>
            <w:rStyle w:val="Hyperlink"/>
            <w:rFonts w:ascii="Calibri" w:eastAsiaTheme="minorHAnsi" w:hAnsi="Calibri" w:cs="Calibri"/>
            <w:b w:val="0"/>
            <w:bCs w:val="0"/>
            <w:sz w:val="22"/>
            <w:szCs w:val="22"/>
          </w:rPr>
          <w:t xml:space="preserve"> guidance issued on the E-Verify website</w:t>
        </w:r>
      </w:hyperlink>
      <w:r w:rsidRPr="00DD7BD1">
        <w:rPr>
          <w:rFonts w:ascii="Calibri" w:eastAsiaTheme="minorHAnsi" w:hAnsi="Calibri" w:cs="Calibr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xml:space="preserve"> would be reflected in Status Change Reports available as of June 20, 2025.</w:t>
      </w:r>
    </w:p>
    <w:p w14:paraId="27A1C589"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0423E62D"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p>
    <w:p w14:paraId="00CB28D5" w14:textId="598CAE69"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0D2699A4" w14:textId="27B97CEB" w:rsidR="008631FB" w:rsidRPr="00DD7BD1" w:rsidRDefault="008631FB" w:rsidP="008631FB">
      <w:pPr>
        <w:rPr>
          <w:rFonts w:ascii="Calibri" w:hAnsi="Calibri" w:cs="Calibri"/>
        </w:rPr>
      </w:pPr>
      <w:r w:rsidRPr="00DD7BD1">
        <w:rPr>
          <w:rFonts w:ascii="Calibri" w:hAnsi="Calibri" w:cs="Calibri"/>
        </w:rPr>
        <w:lastRenderedPageBreak/>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DD7BD1" w:rsidRDefault="008631FB" w:rsidP="008631FB">
      <w:pPr>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325" w:tgtFrame="_blank" w:history="1">
        <w:r w:rsidRPr="00DD7BD1">
          <w:rPr>
            <w:rStyle w:val="Hyperlink"/>
            <w:rFonts w:ascii="Calibri" w:hAnsi="Calibri" w:cs="Calibri"/>
            <w:bCs/>
          </w:rPr>
          <w:t>here.</w:t>
        </w:r>
      </w:hyperlink>
    </w:p>
    <w:p w14:paraId="2261F3BA" w14:textId="77777777" w:rsidR="008631FB" w:rsidRPr="00DD7BD1" w:rsidRDefault="008631FB" w:rsidP="008631FB">
      <w:pPr>
        <w:rPr>
          <w:rFonts w:ascii="Calibri" w:hAnsi="Calibri" w:cs="Calibri"/>
          <w:b/>
          <w:bCs/>
        </w:rPr>
      </w:pPr>
      <w:r w:rsidRPr="00DD7BD1">
        <w:rPr>
          <w:rFonts w:ascii="Calibri" w:hAnsi="Calibri" w:cs="Calibri"/>
          <w:b/>
          <w:bCs/>
        </w:rPr>
        <w:t xml:space="preserve">Payment is due by July 31 of the year following the last day of the plan year. </w:t>
      </w:r>
    </w:p>
    <w:p w14:paraId="1B378CAC" w14:textId="3249A0F3" w:rsidR="008631FB" w:rsidRPr="00DD7BD1" w:rsidRDefault="008631FB" w:rsidP="008631FB">
      <w:pPr>
        <w:rPr>
          <w:rFonts w:ascii="Calibri" w:hAnsi="Calibri" w:cs="Calibri"/>
          <w:b/>
          <w:bCs/>
        </w:rPr>
      </w:pPr>
      <w:r w:rsidRPr="00DD7BD1">
        <w:rPr>
          <w:rFonts w:ascii="Calibri" w:hAnsi="Calibri" w:cs="Calibri"/>
          <w:b/>
          <w:bCs/>
        </w:rPr>
        <w:t>For plan years ending in 2024, the PCORI fees are due by July 31, 2025.</w:t>
      </w:r>
    </w:p>
    <w:p w14:paraId="3D1C5D74" w14:textId="77777777" w:rsidR="008631FB" w:rsidRPr="00DD7BD1" w:rsidRDefault="008631FB" w:rsidP="008631FB">
      <w:pPr>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DD7BD1" w:rsidRDefault="008631FB" w:rsidP="008631FB">
      <w:pPr>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DD7BD1" w:rsidRDefault="008631FB" w:rsidP="008631FB">
      <w:pPr>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0E34A464" w14:textId="77E1CE5C"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719FBBDE" w14:textId="77777777"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p>
    <w:p w14:paraId="40822F3B" w14:textId="14934A8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2024 EEO-1 Reporting - Expected May 20-June 24</w:t>
      </w:r>
    </w:p>
    <w:p w14:paraId="5D5ACF36"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 xml:space="preserve">Private employers </w:t>
      </w:r>
    </w:p>
    <w:p w14:paraId="5762B9DF"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With </w:t>
      </w:r>
      <w:r w:rsidRPr="00DD7BD1">
        <w:rPr>
          <w:rFonts w:ascii="Calibri" w:eastAsiaTheme="minorHAnsi" w:hAnsi="Calibri" w:cs="Calibri"/>
          <w:b w:val="0"/>
          <w:bCs w:val="0"/>
          <w:kern w:val="0"/>
          <w:sz w:val="22"/>
          <w:szCs w:val="22"/>
          <w:u w:val="single"/>
        </w:rPr>
        <w:t>at least 100 employees and federal contractors with at least 50 employees</w:t>
      </w:r>
      <w:r w:rsidRPr="00DD7BD1">
        <w:rPr>
          <w:rFonts w:ascii="Calibri" w:eastAsiaTheme="minorHAnsi" w:hAnsi="Calibri" w:cs="Calibri"/>
          <w:b w:val="0"/>
          <w:bCs w:val="0"/>
          <w:kern w:val="0"/>
          <w:sz w:val="22"/>
          <w:szCs w:val="22"/>
        </w:rPr>
        <w:t xml:space="preserve"> should prepare to sort company data by employee </w:t>
      </w:r>
      <w:r w:rsidRPr="00DD7BD1">
        <w:rPr>
          <w:rFonts w:ascii="Calibri" w:eastAsiaTheme="minorHAnsi" w:hAnsi="Calibri" w:cs="Calibri"/>
          <w:kern w:val="0"/>
          <w:sz w:val="22"/>
          <w:szCs w:val="22"/>
        </w:rPr>
        <w:t>job category, as well as by sex and race/ethnicity</w:t>
      </w:r>
      <w:r w:rsidRPr="00DD7BD1">
        <w:rPr>
          <w:rFonts w:ascii="Calibri" w:eastAsiaTheme="minorHAnsi" w:hAnsi="Calibri" w:cs="Calibri"/>
          <w:b w:val="0"/>
          <w:bCs w:val="0"/>
          <w:kern w:val="0"/>
          <w:sz w:val="22"/>
          <w:szCs w:val="22"/>
        </w:rPr>
        <w:t xml:space="preserve">, to turn over to the EEOC between </w:t>
      </w:r>
      <w:r w:rsidRPr="00DD7BD1">
        <w:rPr>
          <w:rFonts w:ascii="Calibri" w:eastAsiaTheme="minorHAnsi" w:hAnsi="Calibri" w:cs="Calibri"/>
          <w:b w:val="0"/>
          <w:bCs w:val="0"/>
          <w:color w:val="C00000"/>
          <w:kern w:val="0"/>
          <w:sz w:val="22"/>
          <w:szCs w:val="22"/>
        </w:rPr>
        <w:t>May 20 and June 24</w:t>
      </w:r>
      <w:r w:rsidRPr="00DD7BD1">
        <w:rPr>
          <w:rFonts w:ascii="Calibri" w:eastAsiaTheme="minorHAnsi" w:hAnsi="Calibri" w:cs="Calibri"/>
          <w:b w:val="0"/>
          <w:bCs w:val="0"/>
          <w:kern w:val="0"/>
          <w:sz w:val="22"/>
          <w:szCs w:val="22"/>
        </w:rPr>
        <w:t xml:space="preserve">. </w:t>
      </w:r>
    </w:p>
    <w:p w14:paraId="01817EA6"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While these dates may change, the final opening and deadline dates will be posted on the </w:t>
      </w:r>
      <w:hyperlink r:id="rId326" w:history="1">
        <w:r w:rsidRPr="00DD7BD1">
          <w:rPr>
            <w:rStyle w:val="Hyperlink"/>
            <w:rFonts w:ascii="Calibri" w:eastAsiaTheme="minorHAnsi" w:hAnsi="Calibri" w:cs="Calibri"/>
            <w:b w:val="0"/>
            <w:bCs w:val="0"/>
            <w:kern w:val="0"/>
            <w:sz w:val="22"/>
            <w:szCs w:val="22"/>
          </w:rPr>
          <w:t>EEOC’s dedicated website for its EEO-1 Component 1 data collection</w:t>
        </w:r>
      </w:hyperlink>
      <w:r w:rsidRPr="00DD7BD1">
        <w:rPr>
          <w:rFonts w:ascii="Calibri" w:eastAsiaTheme="minorHAnsi" w:hAnsi="Calibri" w:cs="Calibri"/>
          <w:b w:val="0"/>
          <w:bCs w:val="0"/>
          <w:kern w:val="0"/>
          <w:sz w:val="22"/>
          <w:szCs w:val="22"/>
        </w:rPr>
        <w:t>.</w:t>
      </w:r>
    </w:p>
    <w:p w14:paraId="5FE4699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Federal contractors</w:t>
      </w:r>
      <w:r w:rsidRPr="00DD7BD1">
        <w:rPr>
          <w:rFonts w:ascii="Calibri" w:eastAsiaTheme="minorHAnsi" w:hAnsi="Calibri" w:cs="Calibri"/>
          <w:b w:val="0"/>
          <w:bCs w:val="0"/>
          <w:kern w:val="0"/>
          <w:sz w:val="22"/>
          <w:szCs w:val="22"/>
        </w:rPr>
        <w:t xml:space="preserve"> </w:t>
      </w:r>
    </w:p>
    <w:p w14:paraId="58B3A40A"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proofErr w:type="gramStart"/>
      <w:r w:rsidRPr="00DD7BD1">
        <w:rPr>
          <w:rFonts w:ascii="Calibri" w:eastAsiaTheme="minorHAnsi" w:hAnsi="Calibri" w:cs="Calibri"/>
          <w:b w:val="0"/>
          <w:bCs w:val="0"/>
          <w:kern w:val="0"/>
          <w:sz w:val="22"/>
          <w:szCs w:val="22"/>
        </w:rPr>
        <w:t>With 50</w:t>
      </w:r>
      <w:proofErr w:type="gramEnd"/>
      <w:r w:rsidRPr="00DD7BD1">
        <w:rPr>
          <w:rFonts w:ascii="Calibri" w:eastAsiaTheme="minorHAnsi" w:hAnsi="Calibri" w:cs="Calibri"/>
          <w:b w:val="0"/>
          <w:bCs w:val="0"/>
          <w:kern w:val="0"/>
          <w:sz w:val="22"/>
          <w:szCs w:val="22"/>
        </w:rPr>
        <w:t>-100 employees are still uncertain whether they will be required to file an EEO-1 this year. Until we have further guidance from the EEOC or OFCCP, we cannot be sure whether federal contractors falling in this window will have an EEO-1 filing obligation this year.</w:t>
      </w:r>
    </w:p>
    <w:p w14:paraId="7EA9054C"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No Pay Data Collection &amp; Reporting Obligations</w:t>
      </w:r>
    </w:p>
    <w:p w14:paraId="353D238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As predicted, the new Trump EEOC has shelved any plans to collect employee pay data with 2024 EEO reporting obligations.</w:t>
      </w:r>
    </w:p>
    <w:p w14:paraId="0587DF1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EEO-1 Next Steps</w:t>
      </w:r>
    </w:p>
    <w:p w14:paraId="4887077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w:t>
      </w:r>
      <w:proofErr w:type="gramStart"/>
      <w:r w:rsidRPr="00DD7BD1">
        <w:rPr>
          <w:rFonts w:ascii="Calibri" w:eastAsiaTheme="minorHAnsi" w:hAnsi="Calibri" w:cs="Calibri"/>
          <w:b w:val="0"/>
          <w:bCs w:val="0"/>
          <w:kern w:val="0"/>
          <w:sz w:val="22"/>
          <w:szCs w:val="22"/>
        </w:rPr>
        <w:t>in order to</w:t>
      </w:r>
      <w:proofErr w:type="gramEnd"/>
      <w:r w:rsidRPr="00DD7BD1">
        <w:rPr>
          <w:rFonts w:ascii="Calibri" w:eastAsiaTheme="minorHAnsi" w:hAnsi="Calibri" w:cs="Calibri"/>
          <w:b w:val="0"/>
          <w:bCs w:val="0"/>
          <w:kern w:val="0"/>
          <w:sz w:val="22"/>
          <w:szCs w:val="22"/>
        </w:rPr>
        <w:t xml:space="preserve"> avoid EEO-1 reporting. If you reached 100 or more employees during </w:t>
      </w:r>
      <w:r w:rsidRPr="00DD7BD1">
        <w:rPr>
          <w:rFonts w:ascii="Calibri" w:eastAsiaTheme="minorHAnsi" w:hAnsi="Calibri" w:cs="Calibri"/>
          <w:b w:val="0"/>
          <w:bCs w:val="0"/>
          <w:kern w:val="0"/>
          <w:sz w:val="22"/>
          <w:szCs w:val="22"/>
          <w:u w:val="single"/>
        </w:rPr>
        <w:t>any</w:t>
      </w:r>
      <w:r w:rsidRPr="00DD7BD1">
        <w:rPr>
          <w:rFonts w:ascii="Calibri" w:eastAsiaTheme="minorHAnsi" w:hAnsi="Calibri" w:cs="Calibri"/>
          <w:b w:val="0"/>
          <w:bCs w:val="0"/>
          <w:kern w:val="0"/>
          <w:sz w:val="22"/>
          <w:szCs w:val="22"/>
        </w:rPr>
        <w:t> </w:t>
      </w:r>
      <w:r w:rsidRPr="00DD7BD1">
        <w:rPr>
          <w:rFonts w:ascii="Calibri" w:eastAsiaTheme="minorHAnsi" w:hAnsi="Calibri" w:cs="Calibri"/>
          <w:b w:val="0"/>
          <w:bCs w:val="0"/>
          <w:kern w:val="0"/>
          <w:sz w:val="22"/>
          <w:szCs w:val="22"/>
          <w:u w:val="single"/>
        </w:rPr>
        <w:t>point of the fourth quarter of 2024</w:t>
      </w:r>
      <w:r w:rsidRPr="00DD7BD1">
        <w:rPr>
          <w:rFonts w:ascii="Calibri" w:eastAsiaTheme="minorHAnsi" w:hAnsi="Calibri" w:cs="Calibri"/>
          <w:b w:val="0"/>
          <w:bCs w:val="0"/>
          <w:kern w:val="0"/>
          <w:sz w:val="22"/>
          <w:szCs w:val="22"/>
        </w:rPr>
        <w:t>, EEO-1 reporting is required.</w:t>
      </w:r>
    </w:p>
    <w:p w14:paraId="7F3564D2" w14:textId="77777777" w:rsidR="007D0B93" w:rsidRPr="00DD7BD1" w:rsidRDefault="007D0B93">
      <w:pPr>
        <w:pStyle w:val="NormalWeb"/>
        <w:numPr>
          <w:ilvl w:val="0"/>
          <w:numId w:val="160"/>
        </w:numPr>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Ensure that your job titles are categorized correctly and consistently. </w:t>
      </w:r>
    </w:p>
    <w:p w14:paraId="3E69C646" w14:textId="77777777" w:rsidR="007D0B93" w:rsidRPr="00DD7BD1" w:rsidRDefault="007D0B93" w:rsidP="007D0B93">
      <w:pPr>
        <w:pStyle w:val="NormalWeb"/>
        <w:shd w:val="clear" w:color="auto" w:fill="FFFFFF"/>
        <w:spacing w:before="0" w:beforeAutospacing="0" w:after="0" w:afterAutospacing="0"/>
        <w:ind w:left="720"/>
        <w:rPr>
          <w:rFonts w:ascii="Calibri" w:hAnsi="Calibri" w:cs="Calibri"/>
          <w:spacing w:val="3"/>
          <w:sz w:val="22"/>
          <w:szCs w:val="22"/>
        </w:rPr>
      </w:pPr>
      <w:r w:rsidRPr="00DD7BD1">
        <w:rPr>
          <w:rFonts w:ascii="Calibri" w:hAnsi="Calibri" w:cs="Calibri"/>
          <w:spacing w:val="3"/>
          <w:sz w:val="22"/>
          <w:szCs w:val="22"/>
        </w:rPr>
        <w:t>The EEO job categories are:</w:t>
      </w:r>
    </w:p>
    <w:p w14:paraId="7AE83A2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(1.1) Executive/Senior-level officials and managers</w:t>
      </w:r>
    </w:p>
    <w:p w14:paraId="3A0CCCE1"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(1.2) First/Mid-level officials and managers</w:t>
      </w:r>
    </w:p>
    <w:p w14:paraId="181CA96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(2) Professionals</w:t>
      </w:r>
    </w:p>
    <w:p w14:paraId="1E9ADFAF"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(3) Technicians</w:t>
      </w:r>
    </w:p>
    <w:p w14:paraId="3683F033"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(4) Sales workers</w:t>
      </w:r>
    </w:p>
    <w:p w14:paraId="7EA2B42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lastRenderedPageBreak/>
        <w:t>(5) Administrative support workers</w:t>
      </w:r>
    </w:p>
    <w:p w14:paraId="42E573D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(6) Craft workers</w:t>
      </w:r>
    </w:p>
    <w:p w14:paraId="779AB45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(7) Operatives</w:t>
      </w:r>
    </w:p>
    <w:p w14:paraId="050512EC"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(8) Laborers and helpers</w:t>
      </w:r>
    </w:p>
    <w:p w14:paraId="2EB3ACE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(9) Service workers</w:t>
      </w:r>
    </w:p>
    <w:p w14:paraId="3DFC99C5"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Ensure data reflects race/ethnicity categories</w:t>
      </w:r>
    </w:p>
    <w:p w14:paraId="1EA3E679"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Hispanic or Latino:</w:t>
      </w:r>
      <w:r w:rsidRPr="00DD7BD1">
        <w:rPr>
          <w:rFonts w:ascii="Calibri" w:eastAsia="Times New Roman" w:hAnsi="Calibri" w:cs="Calibri"/>
          <w:color w:val="292929"/>
          <w:spacing w:val="3"/>
        </w:rPr>
        <w:t> A person of Cuban, Mexican, Puerto Rican, South or Central American, or other Spanish culture or origin regardless of race.</w:t>
      </w:r>
    </w:p>
    <w:p w14:paraId="10CD6383"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White (Not Hispanic or Latino): </w:t>
      </w:r>
      <w:r w:rsidRPr="00DD7BD1">
        <w:rPr>
          <w:rFonts w:ascii="Calibri" w:eastAsia="Times New Roman" w:hAnsi="Calibri" w:cs="Calibri"/>
          <w:color w:val="292929"/>
          <w:spacing w:val="3"/>
        </w:rPr>
        <w:t>A person having origins in any of the original peoples of Europe, the Middle East, or North Africa.</w:t>
      </w:r>
    </w:p>
    <w:p w14:paraId="326F4ADE"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Black or African American (Not Hispanic or Latino): </w:t>
      </w:r>
      <w:r w:rsidRPr="00DD7BD1">
        <w:rPr>
          <w:rFonts w:ascii="Calibri" w:eastAsia="Times New Roman" w:hAnsi="Calibri" w:cs="Calibri"/>
          <w:color w:val="292929"/>
          <w:spacing w:val="3"/>
        </w:rPr>
        <w:t>A person having origins in any of the black racial groups of Africa.</w:t>
      </w:r>
    </w:p>
    <w:p w14:paraId="7297FBEA"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Native Hawaiian or Other Pacific Islander (Not Hispanic or Latino): </w:t>
      </w:r>
      <w:r w:rsidRPr="00DD7BD1">
        <w:rPr>
          <w:rFonts w:ascii="Calibri" w:eastAsia="Times New Roman" w:hAnsi="Calibri" w:cs="Calibri"/>
          <w:color w:val="292929"/>
          <w:spacing w:val="3"/>
        </w:rPr>
        <w:t>A person having origins in any of the peoples of Hawaii, Guam, Samoa, or other Pacific Islands.</w:t>
      </w:r>
    </w:p>
    <w:p w14:paraId="4BA834F8"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Asian (Not Hispanic or Latino): </w:t>
      </w:r>
      <w:r w:rsidRPr="00DD7BD1">
        <w:rPr>
          <w:rFonts w:ascii="Calibri" w:eastAsia="Times New Roman" w:hAnsi="Calibri" w:cs="Calibri"/>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American Indian or Alaska Native (Not Hispanic or Latino): </w:t>
      </w:r>
      <w:r w:rsidRPr="00DD7BD1">
        <w:rPr>
          <w:rFonts w:ascii="Calibri" w:eastAsia="Times New Roman" w:hAnsi="Calibri" w:cs="Calibri"/>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Two or More Races (Not Hispanic or Latino): </w:t>
      </w:r>
      <w:r w:rsidRPr="00DD7BD1">
        <w:rPr>
          <w:rFonts w:ascii="Calibri" w:eastAsia="Times New Roman" w:hAnsi="Calibri" w:cs="Calibri"/>
          <w:color w:val="292929"/>
          <w:spacing w:val="3"/>
        </w:rPr>
        <w:t>All persons who identify with more than one of the above five races.</w:t>
      </w:r>
    </w:p>
    <w:p w14:paraId="351E434F" w14:textId="44E8340A"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rPr>
        <w:t xml:space="preserve"> Employers subject to EEO-1 requirements should begin preparing now to ensure compliance by the anticipated June deadline as it appears employers will have until June 24 to file. In the past, the EEO-1 reporting system has slowed down significantly as the deadline approached, which makes filing more challenging. Allow sufficient time before the deadline to avoid last minute scrambling should there be technical challenges.</w:t>
      </w:r>
    </w:p>
    <w:p w14:paraId="23AD0AC0" w14:textId="77777777"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16"/>
          <w:szCs w:val="16"/>
        </w:rPr>
      </w:pPr>
    </w:p>
    <w:p w14:paraId="4DCA4724" w14:textId="77777777" w:rsidR="00865E7B" w:rsidRDefault="00865E7B"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09D6C752" w14:textId="77777777" w:rsidR="00865E7B" w:rsidRDefault="00865E7B"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6E964FBB" w14:textId="77777777" w:rsidR="00865E7B" w:rsidRDefault="00865E7B"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29116AE3" w14:textId="0FA957B4" w:rsidR="007D0B93" w:rsidRPr="00DD7BD1" w:rsidRDefault="007D0B93"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w:t>
      </w:r>
      <w:proofErr w:type="gramStart"/>
      <w:r w:rsidRPr="00DD7BD1">
        <w:rPr>
          <w:rFonts w:ascii="Calibri" w:eastAsiaTheme="minorHAnsi" w:hAnsi="Calibri" w:cs="Calibri"/>
          <w:color w:val="C00000"/>
          <w:kern w:val="0"/>
          <w:sz w:val="28"/>
          <w:szCs w:val="28"/>
        </w:rPr>
        <w:t>2025</w:t>
      </w:r>
      <w:proofErr w:type="gramEnd"/>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Filing Deadline</w:t>
      </w:r>
    </w:p>
    <w:p w14:paraId="1C3E43FC"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data for </w:t>
      </w:r>
      <w:r w:rsidRPr="00DD7BD1">
        <w:rPr>
          <w:rFonts w:eastAsiaTheme="minorHAnsi" w:cs="Calibri"/>
          <w:color w:val="C00000"/>
          <w:kern w:val="36"/>
          <w:szCs w:val="22"/>
        </w:rPr>
        <w:t>2024</w:t>
      </w:r>
      <w:r w:rsidRPr="00DD7BD1">
        <w:rPr>
          <w:rFonts w:eastAsiaTheme="minorHAnsi" w:cs="Calibri"/>
          <w:color w:val="auto"/>
          <w:kern w:val="36"/>
          <w:szCs w:val="22"/>
        </w:rPr>
        <w:t>.</w:t>
      </w:r>
    </w:p>
    <w:p w14:paraId="1BC2D2E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C216573"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7F424EE5"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00C157B" w14:textId="77777777" w:rsidR="007D0B93" w:rsidRPr="00DD7BD1" w:rsidRDefault="007D0B93" w:rsidP="007D0B93">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Resources:</w:t>
      </w:r>
    </w:p>
    <w:p w14:paraId="3AA0D0DF" w14:textId="77777777" w:rsidR="007D0B93" w:rsidRPr="00DD7BD1" w:rsidRDefault="007D0B93" w:rsidP="007D0B93">
      <w:pPr>
        <w:pStyle w:val="BulletListText"/>
        <w:spacing w:after="0"/>
        <w:ind w:left="273" w:hanging="187"/>
        <w:jc w:val="left"/>
        <w:rPr>
          <w:rFonts w:cs="Calibri"/>
        </w:rPr>
      </w:pPr>
      <w:r w:rsidRPr="00DD7BD1">
        <w:rPr>
          <w:rFonts w:cs="Calibri"/>
          <w:color w:val="auto"/>
        </w:rPr>
        <w:t xml:space="preserve">RxDC reporting </w:t>
      </w:r>
      <w:hyperlink r:id="rId327" w:history="1">
        <w:r w:rsidRPr="00DD7BD1">
          <w:rPr>
            <w:rStyle w:val="Hyperlink"/>
            <w:rFonts w:eastAsiaTheme="majorEastAsia" w:cs="Calibri"/>
          </w:rPr>
          <w:t>webpage</w:t>
        </w:r>
      </w:hyperlink>
      <w:r w:rsidRPr="00DD7BD1">
        <w:rPr>
          <w:rFonts w:cs="Calibri"/>
        </w:rPr>
        <w:t xml:space="preserve"> </w:t>
      </w:r>
      <w:r w:rsidRPr="00DD7BD1">
        <w:rPr>
          <w:rFonts w:cs="Calibri"/>
          <w:color w:val="auto"/>
        </w:rPr>
        <w:t>(with links to reporting resources)</w:t>
      </w:r>
    </w:p>
    <w:p w14:paraId="4679D5E6" w14:textId="77777777" w:rsidR="007D0B93" w:rsidRPr="00DD7BD1" w:rsidRDefault="007D0B93" w:rsidP="007D0B93">
      <w:pPr>
        <w:pStyle w:val="BulletListText"/>
        <w:spacing w:after="0"/>
        <w:ind w:left="273" w:hanging="187"/>
        <w:jc w:val="left"/>
        <w:rPr>
          <w:rFonts w:cs="Calibri"/>
        </w:rPr>
      </w:pPr>
      <w:hyperlink r:id="rId328" w:history="1">
        <w:r w:rsidRPr="00DD7BD1">
          <w:rPr>
            <w:rStyle w:val="Hyperlink"/>
            <w:rFonts w:eastAsiaTheme="majorEastAsia" w:cs="Calibri"/>
          </w:rPr>
          <w:t>Frequently Asked Questions</w:t>
        </w:r>
      </w:hyperlink>
    </w:p>
    <w:p w14:paraId="4B0FBF0E" w14:textId="77777777" w:rsidR="007D0B93" w:rsidRPr="00DD7BD1" w:rsidRDefault="007D0B93" w:rsidP="007D0B93">
      <w:pPr>
        <w:pStyle w:val="BulletListText"/>
        <w:spacing w:after="0"/>
        <w:ind w:left="273" w:hanging="187"/>
        <w:jc w:val="left"/>
        <w:rPr>
          <w:rFonts w:cs="Calibri"/>
        </w:rPr>
      </w:pPr>
      <w:hyperlink r:id="rId329" w:history="1">
        <w:r w:rsidRPr="00DD7BD1">
          <w:rPr>
            <w:rStyle w:val="Hyperlink"/>
            <w:rFonts w:eastAsiaTheme="majorEastAsia" w:cs="Calibri"/>
          </w:rPr>
          <w:t>Reporting instructions</w:t>
        </w:r>
      </w:hyperlink>
      <w:r w:rsidRPr="00DD7BD1">
        <w:rPr>
          <w:rFonts w:cs="Calibri"/>
        </w:rPr>
        <w:t xml:space="preserve"> </w:t>
      </w:r>
      <w:r w:rsidRPr="00DD7BD1">
        <w:rPr>
          <w:rFonts w:cs="Calibri"/>
          <w:color w:val="auto"/>
        </w:rPr>
        <w:t>(updated January 2025, no changes from last year)</w:t>
      </w:r>
    </w:p>
    <w:p w14:paraId="36216882" w14:textId="77777777" w:rsidR="007D0B93" w:rsidRPr="00DD7BD1" w:rsidRDefault="007D0B93" w:rsidP="007D0B93">
      <w:pPr>
        <w:pStyle w:val="BulletListText"/>
        <w:spacing w:after="0"/>
        <w:ind w:left="273" w:hanging="187"/>
        <w:jc w:val="left"/>
        <w:rPr>
          <w:rFonts w:cs="Calibri"/>
        </w:rPr>
      </w:pPr>
      <w:hyperlink r:id="rId330" w:history="1">
        <w:r w:rsidRPr="00DD7BD1">
          <w:rPr>
            <w:rStyle w:val="Hyperlink"/>
            <w:rFonts w:eastAsiaTheme="majorEastAsia" w:cs="Calibri"/>
          </w:rPr>
          <w:t>User Manual</w:t>
        </w:r>
      </w:hyperlink>
      <w:r w:rsidRPr="00DD7BD1">
        <w:rPr>
          <w:rFonts w:cs="Calibri"/>
        </w:rPr>
        <w:t xml:space="preserve"> </w:t>
      </w:r>
      <w:r w:rsidRPr="00DD7BD1">
        <w:rPr>
          <w:rFonts w:cs="Calibri"/>
          <w:color w:val="auto"/>
        </w:rPr>
        <w:t xml:space="preserve">for submitting RxDC reports </w:t>
      </w:r>
    </w:p>
    <w:p w14:paraId="3AB316B3"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037A91D8"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w:t>
      </w:r>
      <w:proofErr w:type="gramStart"/>
      <w:r w:rsidRPr="00DD7BD1">
        <w:rPr>
          <w:rFonts w:eastAsiaTheme="minorHAnsi" w:cs="Calibri"/>
          <w:color w:val="auto"/>
          <w:kern w:val="36"/>
          <w:szCs w:val="22"/>
        </w:rPr>
        <w:t>third party</w:t>
      </w:r>
      <w:proofErr w:type="gramEnd"/>
      <w:r w:rsidRPr="00DD7BD1">
        <w:rPr>
          <w:rFonts w:eastAsiaTheme="minorHAnsi" w:cs="Calibri"/>
          <w:color w:val="auto"/>
          <w:kern w:val="36"/>
          <w:szCs w:val="22"/>
        </w:rPr>
        <w:t xml:space="preserve"> support services </w:t>
      </w:r>
      <w:proofErr w:type="gramStart"/>
      <w:r w:rsidRPr="00DD7BD1">
        <w:rPr>
          <w:rFonts w:eastAsiaTheme="minorHAnsi" w:cs="Calibri"/>
          <w:color w:val="auto"/>
          <w:kern w:val="36"/>
          <w:szCs w:val="22"/>
        </w:rPr>
        <w:t>addresses</w:t>
      </w:r>
      <w:proofErr w:type="gramEnd"/>
      <w:r w:rsidRPr="00DD7BD1">
        <w:rPr>
          <w:rFonts w:eastAsiaTheme="minorHAnsi" w:cs="Calibri"/>
          <w:color w:val="auto"/>
          <w:kern w:val="36"/>
          <w:szCs w:val="22"/>
        </w:rPr>
        <w:t xml:space="preserve">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6C6FEEAD" w14:textId="77777777" w:rsidR="008631FB" w:rsidRPr="00DD7BD1" w:rsidRDefault="008631FB" w:rsidP="007D0B93">
      <w:pPr>
        <w:pStyle w:val="BodyText"/>
        <w:spacing w:after="0" w:line="240" w:lineRule="auto"/>
        <w:ind w:right="274"/>
        <w:rPr>
          <w:rFonts w:eastAsiaTheme="minorHAnsi" w:cs="Calibri"/>
          <w:color w:val="auto"/>
          <w:kern w:val="36"/>
          <w:szCs w:val="22"/>
        </w:rPr>
      </w:pPr>
    </w:p>
    <w:p w14:paraId="4860D1FA" w14:textId="77777777" w:rsidR="008631FB" w:rsidRPr="00DD7BD1" w:rsidRDefault="008631FB" w:rsidP="008631FB">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45643977"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w:t>
      </w:r>
      <w:proofErr w:type="gramStart"/>
      <w:r w:rsidRPr="00DD7BD1">
        <w:rPr>
          <w:rFonts w:eastAsiaTheme="minorHAnsi" w:cs="Calibri"/>
          <w:color w:val="auto"/>
          <w:kern w:val="36"/>
          <w:szCs w:val="22"/>
        </w:rPr>
        <w:t>how it would apply statutes and regulations</w:t>
      </w:r>
      <w:proofErr w:type="gramEnd"/>
      <w:r w:rsidRPr="00DD7BD1">
        <w:rPr>
          <w:rFonts w:eastAsiaTheme="minorHAnsi" w:cs="Calibri"/>
          <w:color w:val="auto"/>
          <w:kern w:val="36"/>
          <w:szCs w:val="22"/>
        </w:rPr>
        <w:t xml:space="preserve">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30FD554F" w14:textId="77777777" w:rsidR="008631FB" w:rsidRPr="00DD7BD1" w:rsidRDefault="008631FB" w:rsidP="008631FB">
      <w:pPr>
        <w:pStyle w:val="BodyText"/>
        <w:spacing w:after="0" w:line="240" w:lineRule="auto"/>
        <w:ind w:right="274"/>
        <w:rPr>
          <w:rFonts w:eastAsiaTheme="minorHAnsi" w:cs="Calibri"/>
          <w:color w:val="auto"/>
          <w:kern w:val="36"/>
          <w:szCs w:val="22"/>
        </w:rPr>
      </w:pPr>
    </w:p>
    <w:p w14:paraId="01BE91B1"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06E7EC8D"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0A6A8803"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33F09AB2"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Employee Benefits Security Administration will release advisory opinions and </w:t>
      </w:r>
      <w:proofErr w:type="gramStart"/>
      <w:r w:rsidRPr="00DD7BD1">
        <w:rPr>
          <w:rFonts w:eastAsiaTheme="minorHAnsi" w:cs="Calibri"/>
          <w:color w:val="auto"/>
          <w:kern w:val="36"/>
          <w:szCs w:val="22"/>
        </w:rPr>
        <w:t>information letters</w:t>
      </w:r>
      <w:proofErr w:type="gramEnd"/>
      <w:r w:rsidRPr="00DD7BD1">
        <w:rPr>
          <w:rFonts w:eastAsiaTheme="minorHAnsi" w:cs="Calibri"/>
          <w:color w:val="auto"/>
          <w:kern w:val="36"/>
          <w:szCs w:val="22"/>
        </w:rPr>
        <w:t>.</w:t>
      </w:r>
    </w:p>
    <w:p w14:paraId="306B716A"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160491FA" w14:textId="25BF3489"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082D56F1" w14:textId="77777777" w:rsidR="001558B8" w:rsidRPr="00DD7BD1" w:rsidRDefault="001558B8" w:rsidP="007D0B93">
      <w:pPr>
        <w:pStyle w:val="BodyText"/>
        <w:spacing w:after="0" w:line="240" w:lineRule="auto"/>
        <w:ind w:right="274"/>
        <w:rPr>
          <w:rFonts w:eastAsiaTheme="minorHAnsi" w:cs="Calibri"/>
          <w:color w:val="auto"/>
          <w:kern w:val="36"/>
          <w:szCs w:val="22"/>
        </w:rPr>
      </w:pPr>
    </w:p>
    <w:p w14:paraId="4C654EC6" w14:textId="77777777" w:rsidR="00865E7B" w:rsidRDefault="00865E7B" w:rsidP="001558B8">
      <w:pPr>
        <w:pStyle w:val="BodyText"/>
        <w:spacing w:after="0" w:line="240" w:lineRule="auto"/>
        <w:ind w:right="274"/>
        <w:jc w:val="center"/>
        <w:rPr>
          <w:rFonts w:eastAsiaTheme="minorHAnsi" w:cs="Calibri"/>
          <w:b/>
          <w:bCs/>
          <w:color w:val="auto"/>
          <w:kern w:val="36"/>
          <w:sz w:val="28"/>
          <w:szCs w:val="28"/>
        </w:rPr>
      </w:pPr>
    </w:p>
    <w:p w14:paraId="40EE0C93" w14:textId="77777777" w:rsidR="00865E7B" w:rsidRDefault="00865E7B" w:rsidP="001558B8">
      <w:pPr>
        <w:pStyle w:val="BodyText"/>
        <w:spacing w:after="0" w:line="240" w:lineRule="auto"/>
        <w:ind w:right="274"/>
        <w:jc w:val="center"/>
        <w:rPr>
          <w:rFonts w:eastAsiaTheme="minorHAnsi" w:cs="Calibri"/>
          <w:b/>
          <w:bCs/>
          <w:color w:val="auto"/>
          <w:kern w:val="36"/>
          <w:sz w:val="28"/>
          <w:szCs w:val="28"/>
        </w:rPr>
      </w:pPr>
    </w:p>
    <w:p w14:paraId="535E1483" w14:textId="77777777" w:rsidR="00865E7B" w:rsidRDefault="00865E7B" w:rsidP="001558B8">
      <w:pPr>
        <w:pStyle w:val="BodyText"/>
        <w:spacing w:after="0" w:line="240" w:lineRule="auto"/>
        <w:ind w:right="274"/>
        <w:jc w:val="center"/>
        <w:rPr>
          <w:rFonts w:eastAsiaTheme="minorHAnsi" w:cs="Calibri"/>
          <w:b/>
          <w:bCs/>
          <w:color w:val="auto"/>
          <w:kern w:val="36"/>
          <w:sz w:val="28"/>
          <w:szCs w:val="28"/>
        </w:rPr>
      </w:pPr>
    </w:p>
    <w:p w14:paraId="1E8E47F8" w14:textId="77777777" w:rsidR="00865E7B" w:rsidRDefault="00865E7B" w:rsidP="001558B8">
      <w:pPr>
        <w:pStyle w:val="BodyText"/>
        <w:spacing w:after="0" w:line="240" w:lineRule="auto"/>
        <w:ind w:right="274"/>
        <w:jc w:val="center"/>
        <w:rPr>
          <w:rFonts w:eastAsiaTheme="minorHAnsi" w:cs="Calibri"/>
          <w:b/>
          <w:bCs/>
          <w:color w:val="auto"/>
          <w:kern w:val="36"/>
          <w:sz w:val="28"/>
          <w:szCs w:val="28"/>
        </w:rPr>
      </w:pPr>
    </w:p>
    <w:p w14:paraId="1DF500C6" w14:textId="5B45C473" w:rsidR="001558B8" w:rsidRPr="00DD7BD1" w:rsidRDefault="001558B8" w:rsidP="001558B8">
      <w:pPr>
        <w:pStyle w:val="BodyText"/>
        <w:spacing w:after="0" w:line="240" w:lineRule="auto"/>
        <w:ind w:right="274"/>
        <w:jc w:val="center"/>
        <w:rPr>
          <w:rFonts w:eastAsiaTheme="minorHAnsi" w:cs="Calibri"/>
          <w:b/>
          <w:bCs/>
          <w:color w:val="auto"/>
          <w:kern w:val="36"/>
          <w:sz w:val="28"/>
          <w:szCs w:val="28"/>
        </w:rPr>
      </w:pPr>
      <w:r w:rsidRPr="00DD7BD1">
        <w:rPr>
          <w:rFonts w:eastAsiaTheme="minorHAnsi" w:cs="Calibri"/>
          <w:b/>
          <w:bCs/>
          <w:color w:val="auto"/>
          <w:kern w:val="36"/>
          <w:sz w:val="28"/>
          <w:szCs w:val="28"/>
        </w:rPr>
        <w:t>Executive Order: Aim to Reduce Drug Costs</w:t>
      </w:r>
    </w:p>
    <w:p w14:paraId="5B2B658C" w14:textId="77777777" w:rsidR="001558B8" w:rsidRPr="00DD7BD1" w:rsidRDefault="001558B8" w:rsidP="001558B8">
      <w:pPr>
        <w:pStyle w:val="ParagraphBasic"/>
        <w:spacing w:after="120"/>
        <w:rPr>
          <w:rFonts w:ascii="Calibri" w:hAnsi="Calibri" w:cs="Calibri"/>
        </w:rPr>
      </w:pPr>
      <w:r w:rsidRPr="00DD7BD1">
        <w:rPr>
          <w:rFonts w:ascii="Calibri" w:hAnsi="Calibri" w:cs="Calibri"/>
        </w:rPr>
        <w:t xml:space="preserve">On May 12, 2025, President Donald Trump issued an </w:t>
      </w:r>
      <w:hyperlink r:id="rId331" w:history="1">
        <w:r w:rsidRPr="00DD7BD1">
          <w:rPr>
            <w:rStyle w:val="Hyperlink"/>
            <w:rFonts w:ascii="Calibri" w:hAnsi="Calibri" w:cs="Calibri"/>
          </w:rPr>
          <w:t>executive order</w:t>
        </w:r>
      </w:hyperlink>
      <w:r w:rsidRPr="00DD7BD1">
        <w:rPr>
          <w:rFonts w:ascii="Calibri" w:hAnsi="Calibri" w:cs="Calibri"/>
        </w:rPr>
        <w:t xml:space="preserve"> (EO) that aims to bring the prices Americans pay for prescription drugs in line with those paid by similar nations. According to a White House </w:t>
      </w:r>
      <w:hyperlink r:id="rId332" w:history="1">
        <w:r w:rsidRPr="00DD7BD1">
          <w:rPr>
            <w:rStyle w:val="Hyperlink"/>
            <w:rFonts w:ascii="Calibri" w:hAnsi="Calibri" w:cs="Calibri"/>
          </w:rPr>
          <w:t>fact sheet</w:t>
        </w:r>
      </w:hyperlink>
      <w:r w:rsidRPr="00DD7BD1">
        <w:rPr>
          <w:rFonts w:ascii="Calibri" w:hAnsi="Calibri" w:cs="Calibri"/>
        </w:rPr>
        <w:t>, the prices Americans pay for brand-name drugs are more than three times the price other nations pay.</w:t>
      </w:r>
    </w:p>
    <w:p w14:paraId="2AE39FDA"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directs HHS to communicate most-favored-nation price targets to pharmaceutical manufacturers within 30 days.</w:t>
      </w:r>
    </w:p>
    <w:p w14:paraId="79782890" w14:textId="77777777" w:rsidR="001558B8" w:rsidRPr="00DD7BD1" w:rsidRDefault="001558B8" w:rsidP="001558B8">
      <w:pPr>
        <w:pStyle w:val="BList1"/>
        <w:numPr>
          <w:ilvl w:val="0"/>
          <w:numId w:val="0"/>
        </w:numPr>
        <w:ind w:left="720"/>
        <w:rPr>
          <w:rFonts w:ascii="Calibri" w:hAnsi="Calibri" w:cs="Calibri"/>
        </w:rPr>
      </w:pPr>
    </w:p>
    <w:p w14:paraId="11B90943"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is expected to face legal challenges, so the immediate impact on drug costs remains to be seen.</w:t>
      </w:r>
    </w:p>
    <w:p w14:paraId="02A50704" w14:textId="77777777" w:rsidR="001558B8" w:rsidRPr="00DD7BD1" w:rsidRDefault="001558B8" w:rsidP="001558B8">
      <w:pPr>
        <w:pStyle w:val="BList1"/>
        <w:numPr>
          <w:ilvl w:val="0"/>
          <w:numId w:val="0"/>
        </w:numPr>
        <w:ind w:left="360"/>
        <w:rPr>
          <w:rFonts w:ascii="Calibri" w:hAnsi="Calibri" w:cs="Calibri"/>
          <w:b/>
          <w:bCs/>
          <w:sz w:val="16"/>
          <w:szCs w:val="16"/>
        </w:rPr>
      </w:pPr>
    </w:p>
    <w:p w14:paraId="100AD65C" w14:textId="77777777" w:rsidR="001558B8" w:rsidRPr="00DD7BD1" w:rsidRDefault="001558B8" w:rsidP="001558B8">
      <w:pPr>
        <w:pStyle w:val="BList1"/>
        <w:numPr>
          <w:ilvl w:val="0"/>
          <w:numId w:val="0"/>
        </w:numPr>
        <w:rPr>
          <w:rFonts w:ascii="Calibri" w:hAnsi="Calibri" w:cs="Calibri"/>
          <w:b/>
          <w:bCs/>
        </w:rPr>
      </w:pPr>
      <w:r w:rsidRPr="00DD7BD1">
        <w:rPr>
          <w:rFonts w:ascii="Calibri" w:hAnsi="Calibri" w:cs="Calibri"/>
          <w:b/>
          <w:bCs/>
        </w:rPr>
        <w:t>Potential Legal Hurdles</w:t>
      </w:r>
    </w:p>
    <w:p w14:paraId="0ACE39DB" w14:textId="77777777" w:rsidR="001558B8" w:rsidRPr="00DD7BD1" w:rsidRDefault="001558B8" w:rsidP="001558B8">
      <w:pPr>
        <w:pStyle w:val="BList1"/>
        <w:numPr>
          <w:ilvl w:val="0"/>
          <w:numId w:val="0"/>
        </w:numPr>
        <w:rPr>
          <w:rFonts w:ascii="Calibri" w:hAnsi="Calibri" w:cs="Calibri"/>
        </w:rPr>
      </w:pPr>
      <w:r w:rsidRPr="00DD7BD1">
        <w:rPr>
          <w:rFonts w:ascii="Calibri" w:hAnsi="Calibri" w:cs="Calibri"/>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DD7BD1" w:rsidRDefault="001558B8" w:rsidP="001558B8">
      <w:pPr>
        <w:pStyle w:val="BList1"/>
        <w:numPr>
          <w:ilvl w:val="0"/>
          <w:numId w:val="0"/>
        </w:numPr>
        <w:spacing w:line="259" w:lineRule="auto"/>
        <w:rPr>
          <w:rFonts w:ascii="Calibri" w:hAnsi="Calibri" w:cs="Calibri"/>
          <w:sz w:val="16"/>
          <w:szCs w:val="16"/>
        </w:rPr>
      </w:pPr>
    </w:p>
    <w:p w14:paraId="7E6F4749" w14:textId="21A8C7C9" w:rsidR="001558B8" w:rsidRPr="00DD7BD1" w:rsidRDefault="001558B8" w:rsidP="001558B8">
      <w:pPr>
        <w:pStyle w:val="BList1"/>
        <w:numPr>
          <w:ilvl w:val="0"/>
          <w:numId w:val="0"/>
        </w:numPr>
        <w:spacing w:before="0" w:after="0" w:line="240" w:lineRule="auto"/>
        <w:jc w:val="center"/>
        <w:rPr>
          <w:rFonts w:ascii="Calibri" w:hAnsi="Calibri" w:cs="Calibri"/>
          <w:b/>
          <w:bCs/>
          <w:sz w:val="28"/>
          <w:szCs w:val="28"/>
        </w:rPr>
      </w:pPr>
      <w:r w:rsidRPr="00DD7BD1">
        <w:rPr>
          <w:rFonts w:ascii="Calibri" w:hAnsi="Calibri" w:cs="Calibri"/>
          <w:b/>
          <w:bCs/>
          <w:sz w:val="28"/>
          <w:szCs w:val="28"/>
        </w:rPr>
        <w:t>Trump Administration Will Not Enforce Final Rule on Mental Health Parity</w:t>
      </w:r>
    </w:p>
    <w:p w14:paraId="0E0EABB1" w14:textId="77777777" w:rsidR="001558B8" w:rsidRPr="00DD7BD1" w:rsidRDefault="001558B8" w:rsidP="001558B8">
      <w:pPr>
        <w:pStyle w:val="ParagraphBasic"/>
        <w:spacing w:after="0" w:line="240" w:lineRule="auto"/>
        <w:rPr>
          <w:rFonts w:ascii="Calibri" w:hAnsi="Calibri" w:cs="Calibri"/>
        </w:rPr>
      </w:pPr>
      <w:r w:rsidRPr="00DD7BD1">
        <w:rPr>
          <w:rFonts w:ascii="Calibri" w:hAnsi="Calibri" w:cs="Calibri"/>
        </w:rPr>
        <w:lastRenderedPageBreak/>
        <w:t xml:space="preserve">On May 15, 2025, the U.S. Departments of Labor, Health and Human Services, and the Treasury (Departments) released a </w:t>
      </w:r>
      <w:hyperlink r:id="rId333" w:history="1">
        <w:r w:rsidRPr="00DD7BD1">
          <w:rPr>
            <w:rStyle w:val="Hyperlink"/>
            <w:rFonts w:ascii="Calibri" w:hAnsi="Calibri" w:cs="Calibri"/>
          </w:rPr>
          <w:t>statement</w:t>
        </w:r>
      </w:hyperlink>
      <w:r w:rsidRPr="00DD7BD1">
        <w:rPr>
          <w:rFonts w:ascii="Calibri" w:hAnsi="Calibri" w:cs="Calibri"/>
        </w:rPr>
        <w:t xml:space="preserve"> regarding nonenforcement of the </w:t>
      </w:r>
      <w:hyperlink r:id="rId334" w:history="1">
        <w:r w:rsidRPr="00DD7BD1">
          <w:rPr>
            <w:rStyle w:val="Hyperlink"/>
            <w:rFonts w:ascii="Calibri" w:hAnsi="Calibri" w:cs="Calibri"/>
          </w:rPr>
          <w:t>2024 final rule</w:t>
        </w:r>
      </w:hyperlink>
      <w:r w:rsidRPr="00DD7BD1">
        <w:rPr>
          <w:rFonts w:ascii="Calibri" w:hAnsi="Calibri" w:cs="Calibri"/>
        </w:rPr>
        <w:t xml:space="preserve"> under the Mental Health Parity and Addiction Equity Act (MHPAEA).</w:t>
      </w:r>
    </w:p>
    <w:p w14:paraId="63DD55A1"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Federal agencies are reconsidering a final rule on mental health parity that was issued in 2024.</w:t>
      </w:r>
    </w:p>
    <w:p w14:paraId="3D2AE166"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Critics of the final rule have argued its </w:t>
      </w:r>
      <w:r w:rsidRPr="00DD7BD1">
        <w:rPr>
          <w:rFonts w:cs="Calibri"/>
          <w:color w:val="auto"/>
          <w:kern w:val="36"/>
          <w:szCs w:val="22"/>
          <w:u w:val="single"/>
        </w:rPr>
        <w:t>requirements are “unworkable” and could cause employers to drop MH/SUD coverage entirely</w:t>
      </w:r>
      <w:r w:rsidRPr="00DD7BD1">
        <w:rPr>
          <w:rFonts w:cs="Calibri"/>
          <w:color w:val="auto"/>
          <w:kern w:val="36"/>
          <w:szCs w:val="22"/>
        </w:rPr>
        <w:t>.</w:t>
      </w:r>
    </w:p>
    <w:p w14:paraId="3115CCB7"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The federal government has adopted a </w:t>
      </w:r>
      <w:r w:rsidRPr="00DD7BD1">
        <w:rPr>
          <w:rFonts w:cs="Calibri"/>
          <w:color w:val="auto"/>
          <w:kern w:val="36"/>
          <w:szCs w:val="22"/>
          <w:u w:val="single"/>
        </w:rPr>
        <w:t>temporary nonenforcement policy</w:t>
      </w:r>
      <w:r w:rsidRPr="00DD7BD1">
        <w:rPr>
          <w:rFonts w:cs="Calibri"/>
          <w:color w:val="auto"/>
          <w:kern w:val="36"/>
          <w:szCs w:val="22"/>
        </w:rPr>
        <w:t xml:space="preserve"> for the </w:t>
      </w:r>
      <w:proofErr w:type="gramStart"/>
      <w:r w:rsidRPr="00DD7BD1">
        <w:rPr>
          <w:rFonts w:cs="Calibri"/>
          <w:color w:val="auto"/>
          <w:kern w:val="36"/>
          <w:szCs w:val="22"/>
        </w:rPr>
        <w:t>2024 final</w:t>
      </w:r>
      <w:proofErr w:type="gramEnd"/>
      <w:r w:rsidRPr="00DD7BD1">
        <w:rPr>
          <w:rFonts w:cs="Calibri"/>
          <w:color w:val="auto"/>
          <w:kern w:val="36"/>
          <w:szCs w:val="22"/>
        </w:rPr>
        <w:t xml:space="preserve"> rule. </w:t>
      </w:r>
    </w:p>
    <w:p w14:paraId="2C5B46F9"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u w:val="single"/>
        </w:rPr>
        <w:t>Health plans should continue to comply with MPHAEA’s statutory requirements</w:t>
      </w:r>
      <w:r w:rsidRPr="00DD7BD1">
        <w:rPr>
          <w:rFonts w:cs="Calibri"/>
          <w:color w:val="auto"/>
          <w:kern w:val="36"/>
          <w:szCs w:val="22"/>
        </w:rPr>
        <w:t xml:space="preserve"> and refer to the prior final rule from 2013.</w:t>
      </w:r>
    </w:p>
    <w:p w14:paraId="44BE84AA"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highlight w:val="lightGray"/>
        </w:rPr>
        <w:t>Employer Takeaway</w:t>
      </w:r>
      <w:r w:rsidRPr="00DD7BD1">
        <w:rPr>
          <w:rFonts w:cs="Calibri"/>
          <w:color w:val="auto"/>
          <w:kern w:val="36"/>
          <w:szCs w:val="22"/>
        </w:rPr>
        <w:t>: Employer-sponsored health plans should c</w:t>
      </w:r>
      <w:r w:rsidRPr="00DD7BD1">
        <w:rPr>
          <w:rFonts w:cs="Calibri"/>
          <w:color w:val="auto"/>
          <w:kern w:val="36"/>
          <w:szCs w:val="22"/>
          <w:u w:val="single"/>
        </w:rPr>
        <w:t>ontinue to comply with MHPAEA’s statutory requirements</w:t>
      </w:r>
      <w:r w:rsidRPr="00DD7BD1">
        <w:rPr>
          <w:rFonts w:cs="Calibri"/>
          <w:color w:val="auto"/>
          <w:kern w:val="36"/>
          <w:szCs w:val="22"/>
        </w:rPr>
        <w:t xml:space="preserve"> and refer to the </w:t>
      </w:r>
      <w:hyperlink r:id="rId335" w:history="1">
        <w:r w:rsidRPr="00DD7BD1">
          <w:rPr>
            <w:rStyle w:val="Hyperlink"/>
            <w:rFonts w:cs="Calibri"/>
            <w:kern w:val="36"/>
            <w:szCs w:val="22"/>
          </w:rPr>
          <w:t>2013 final rule</w:t>
        </w:r>
      </w:hyperlink>
      <w:r w:rsidRPr="00DD7BD1">
        <w:rPr>
          <w:rFonts w:cs="Calibri"/>
          <w:kern w:val="36"/>
          <w:szCs w:val="22"/>
        </w:rPr>
        <w:t xml:space="preserve"> </w:t>
      </w:r>
      <w:r w:rsidRPr="00DD7BD1">
        <w:rPr>
          <w:rFonts w:cs="Calibri"/>
          <w:color w:val="auto"/>
          <w:kern w:val="36"/>
          <w:szCs w:val="22"/>
        </w:rPr>
        <w:t>for guidance. Employers should also monitor updates regarding any modifications to the 2024 final rule</w:t>
      </w:r>
    </w:p>
    <w:p w14:paraId="5BF44F2A" w14:textId="77777777" w:rsidR="001558B8" w:rsidRPr="00DD7BD1" w:rsidRDefault="001558B8" w:rsidP="001558B8">
      <w:pPr>
        <w:pStyle w:val="BodyText"/>
        <w:spacing w:after="0" w:line="240" w:lineRule="auto"/>
        <w:ind w:right="274"/>
        <w:rPr>
          <w:rFonts w:cs="Calibri"/>
          <w:color w:val="auto"/>
          <w:kern w:val="36"/>
        </w:rPr>
      </w:pPr>
    </w:p>
    <w:p w14:paraId="468DDD31" w14:textId="35FC0DC3" w:rsidR="001558B8" w:rsidRPr="00DD7BD1" w:rsidRDefault="001558B8" w:rsidP="001558B8">
      <w:pPr>
        <w:pStyle w:val="BodyText"/>
        <w:spacing w:after="0"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Retracts Biden-Era Independent Contractor Classification Rule</w:t>
      </w:r>
    </w:p>
    <w:p w14:paraId="4B6B7FF6"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On May 1, 2025, the United States Department of Labor’s (“DOL”) </w:t>
      </w:r>
      <w:hyperlink r:id="rId336" w:tgtFrame="_blank" w:history="1">
        <w:r w:rsidRPr="00DD7BD1">
          <w:rPr>
            <w:rStyle w:val="Hyperlink"/>
            <w:rFonts w:eastAsiaTheme="minorHAnsi" w:cs="Calibri"/>
            <w:kern w:val="36"/>
            <w:szCs w:val="22"/>
          </w:rPr>
          <w:t>Wage and Hour Division announced</w:t>
        </w:r>
      </w:hyperlink>
      <w:r w:rsidRPr="00DD7BD1">
        <w:rPr>
          <w:rFonts w:eastAsiaTheme="minorHAnsi" w:cs="Calibri"/>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DD7BD1" w:rsidRDefault="001558B8" w:rsidP="001558B8">
      <w:pPr>
        <w:pStyle w:val="BodyText"/>
        <w:spacing w:after="0" w:line="240" w:lineRule="auto"/>
        <w:ind w:right="274"/>
        <w:rPr>
          <w:rFonts w:eastAsiaTheme="minorHAnsi" w:cs="Calibri"/>
          <w:color w:val="auto"/>
          <w:kern w:val="36"/>
          <w:szCs w:val="22"/>
        </w:rPr>
      </w:pPr>
    </w:p>
    <w:p w14:paraId="30A649E1"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takeaways:</w:t>
      </w:r>
      <w:r w:rsidRPr="00DD7BD1">
        <w:rPr>
          <w:rFonts w:eastAsiaTheme="minorHAnsi" w:cs="Calibri"/>
          <w:color w:val="auto"/>
          <w:kern w:val="36"/>
          <w:szCs w:val="22"/>
        </w:rPr>
        <w:t xml:space="preserve"> </w:t>
      </w:r>
    </w:p>
    <w:p w14:paraId="766CFF32"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DOL’s announcement will y make it easier for employers to classify workers as independent contractors at the federal level. </w:t>
      </w:r>
    </w:p>
    <w:p w14:paraId="4E8725C9"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While the 2024 Rule does remain in effect for private litigation and certain state-specific tests still impose higher worker classification standards than the current federal guidelines. For example, certain states’ classification standards </w:t>
      </w:r>
      <w:proofErr w:type="spellStart"/>
      <w:r w:rsidRPr="00DD7BD1">
        <w:rPr>
          <w:rFonts w:eastAsiaTheme="minorHAnsi" w:cs="Calibri"/>
          <w:color w:val="auto"/>
          <w:kern w:val="36"/>
          <w:szCs w:val="22"/>
        </w:rPr>
        <w:t>far</w:t>
      </w:r>
      <w:proofErr w:type="spellEnd"/>
      <w:r w:rsidRPr="00DD7BD1">
        <w:rPr>
          <w:rFonts w:eastAsiaTheme="minorHAnsi" w:cs="Calibri"/>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DD7BD1" w:rsidRDefault="001558B8" w:rsidP="001558B8">
      <w:pPr>
        <w:pStyle w:val="BodyText"/>
        <w:spacing w:after="0" w:line="240" w:lineRule="auto"/>
        <w:ind w:left="720" w:right="274"/>
        <w:rPr>
          <w:rFonts w:eastAsiaTheme="minorHAnsi" w:cs="Calibri"/>
          <w:color w:val="auto"/>
          <w:kern w:val="36"/>
          <w:szCs w:val="22"/>
        </w:rPr>
      </w:pPr>
    </w:p>
    <w:p w14:paraId="68BAE655" w14:textId="77777777" w:rsidR="00865E7B" w:rsidRDefault="00865E7B" w:rsidP="001558B8">
      <w:pPr>
        <w:jc w:val="center"/>
        <w:rPr>
          <w:rFonts w:ascii="Calibri" w:hAnsi="Calibri" w:cs="Calibri"/>
          <w:b/>
          <w:bCs/>
          <w:sz w:val="28"/>
          <w:szCs w:val="28"/>
          <w:shd w:val="clear" w:color="auto" w:fill="FFFFFF"/>
          <w:lang w:val="en"/>
        </w:rPr>
      </w:pPr>
    </w:p>
    <w:p w14:paraId="130A7893" w14:textId="77777777" w:rsidR="00865E7B" w:rsidRDefault="00865E7B" w:rsidP="001558B8">
      <w:pPr>
        <w:jc w:val="center"/>
        <w:rPr>
          <w:rFonts w:ascii="Calibri" w:hAnsi="Calibri" w:cs="Calibri"/>
          <w:b/>
          <w:bCs/>
          <w:sz w:val="28"/>
          <w:szCs w:val="28"/>
          <w:shd w:val="clear" w:color="auto" w:fill="FFFFFF"/>
          <w:lang w:val="en"/>
        </w:rPr>
      </w:pPr>
    </w:p>
    <w:p w14:paraId="56D61547" w14:textId="77777777" w:rsidR="00865E7B" w:rsidRDefault="00865E7B" w:rsidP="001558B8">
      <w:pPr>
        <w:jc w:val="center"/>
        <w:rPr>
          <w:rFonts w:ascii="Calibri" w:hAnsi="Calibri" w:cs="Calibri"/>
          <w:b/>
          <w:bCs/>
          <w:sz w:val="28"/>
          <w:szCs w:val="28"/>
          <w:shd w:val="clear" w:color="auto" w:fill="FFFFFF"/>
          <w:lang w:val="en"/>
        </w:rPr>
      </w:pPr>
    </w:p>
    <w:p w14:paraId="787FA22D" w14:textId="13C06457" w:rsidR="001558B8" w:rsidRPr="00DD7BD1" w:rsidRDefault="001558B8" w:rsidP="001558B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Court Scraps EEOC Guidance on Pronouns, Restrooms &amp; Dress</w:t>
      </w:r>
    </w:p>
    <w:p w14:paraId="15ADFB40" w14:textId="4D7306BA" w:rsidR="001558B8" w:rsidRPr="00DD7BD1" w:rsidRDefault="001558B8" w:rsidP="001558B8">
      <w:pPr>
        <w:rPr>
          <w:rFonts w:ascii="Calibri" w:hAnsi="Calibri" w:cs="Calibri"/>
          <w:shd w:val="clear" w:color="auto" w:fill="FFFFFF"/>
        </w:rPr>
      </w:pPr>
      <w:r w:rsidRPr="00DD7BD1">
        <w:rPr>
          <w:rFonts w:ascii="Calibri" w:hAnsi="Calibri" w:cs="Calibri"/>
          <w:shd w:val="clear" w:color="auto" w:fill="FFFFFF"/>
        </w:rPr>
        <w:t xml:space="preserve">In April 2024, the U.S. Equal Employment Opportunity Commission </w:t>
      </w:r>
      <w:r w:rsidRPr="00DD7BD1">
        <w:rPr>
          <w:rFonts w:ascii="Calibri" w:hAnsi="Calibri" w:cs="Calibri"/>
          <w:color w:val="C00000"/>
          <w:shd w:val="clear" w:color="auto" w:fill="FFFFFF"/>
        </w:rPr>
        <w:t>issued </w:t>
      </w:r>
      <w:hyperlink r:id="rId337" w:tgtFrame="_blank" w:history="1">
        <w:r w:rsidRPr="00DD7BD1">
          <w:rPr>
            <w:rStyle w:val="Hyperlink"/>
            <w:rFonts w:ascii="Calibri" w:hAnsi="Calibri" w:cs="Calibri"/>
            <w:i/>
            <w:iCs/>
            <w:shd w:val="clear" w:color="auto" w:fill="FFFFFF"/>
          </w:rPr>
          <w:t>Enforcement Guidance on Harassment in the Workplace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DD7BD1" w:rsidRDefault="001558B8" w:rsidP="001558B8">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sz w:val="22"/>
          <w:szCs w:val="22"/>
        </w:rPr>
        <w:t xml:space="preserve">You may be wondering what you, as an employer, should be doing now. The answer, </w:t>
      </w:r>
      <w:proofErr w:type="gramStart"/>
      <w:r w:rsidRPr="00DD7BD1">
        <w:rPr>
          <w:rFonts w:ascii="Calibri" w:hAnsi="Calibri" w:cs="Calibri"/>
          <w:sz w:val="22"/>
          <w:szCs w:val="22"/>
        </w:rPr>
        <w:t>in all likelihood</w:t>
      </w:r>
      <w:proofErr w:type="gramEnd"/>
      <w:r w:rsidRPr="00DD7BD1">
        <w:rPr>
          <w:rFonts w:ascii="Calibri" w:hAnsi="Calibri" w:cs="Calibri"/>
          <w:sz w:val="22"/>
          <w:szCs w:val="22"/>
        </w:rPr>
        <w:t>, is “stay the course but relax a bit":</w:t>
      </w:r>
    </w:p>
    <w:p w14:paraId="7E1846E3"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your harassment policy prohibits discrimination or harassment based on sexual orientation or gender identity, keep it in place.</w:t>
      </w:r>
      <w:r w:rsidRPr="00DD7BD1">
        <w:rPr>
          <w:rFonts w:ascii="Calibri" w:hAnsi="Calibri" w:cs="Calibri"/>
        </w:rPr>
        <w:t> It’s still fine (and recommended) to prohibit bias or harassment based on these characteristics. And, depending on your location, you may still be required to do it under state or local law.</w:t>
      </w:r>
    </w:p>
    <w:p w14:paraId="04646077"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proofErr w:type="gramStart"/>
      <w:r w:rsidRPr="00DD7BD1">
        <w:rPr>
          <w:rFonts w:ascii="Calibri" w:hAnsi="Calibri" w:cs="Calibri"/>
        </w:rPr>
        <w:t>Despite the fact that</w:t>
      </w:r>
      <w:proofErr w:type="gramEnd"/>
      <w:r w:rsidRPr="00DD7BD1">
        <w:rPr>
          <w:rFonts w:ascii="Calibri" w:hAnsi="Calibri" w:cs="Calibri"/>
        </w:rPr>
        <w:t xml:space="preserve"> the EEOC’s guidance on pronouns has been vacated, </w:t>
      </w:r>
      <w:r w:rsidRPr="00DD7BD1">
        <w:rPr>
          <w:rStyle w:val="Strong"/>
          <w:rFonts w:ascii="Calibri" w:hAnsi="Calibri" w:cs="Calibri"/>
        </w:rPr>
        <w:t>continue being considerate and respectful of the pronoun preferences of transgender and nonbinary employees,</w:t>
      </w:r>
      <w:r w:rsidRPr="00DD7BD1">
        <w:rPr>
          <w:rFonts w:ascii="Calibri" w:hAnsi="Calibri" w:cs="Calibri"/>
        </w:rPr>
        <w:t xml:space="preserve"> and their preferred names. But if you (or your employees) slip up, or if the transgender or nonbinary person has not legally changed their name and you need to use the “dead name"* on tax forms, I-9s, and other legal documents, you won’t need to be overly concerned – at least, not </w:t>
      </w:r>
      <w:r w:rsidRPr="00DD7BD1">
        <w:rPr>
          <w:rFonts w:ascii="Calibri" w:hAnsi="Calibri" w:cs="Calibri"/>
        </w:rPr>
        <w:lastRenderedPageBreak/>
        <w:t>from a federal law violation standpoint. *”Dead-naming” is using a transgender person’s birth name rather than the current, preferred name.</w:t>
      </w:r>
    </w:p>
    <w:p w14:paraId="19D55B39"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 have, say, a transgender female employee who dresses like a woman, you can continue to allow that. But if you </w:t>
      </w:r>
      <w:r w:rsidRPr="00DD7BD1">
        <w:rPr>
          <w:rStyle w:val="Emphasis"/>
          <w:rFonts w:ascii="Calibri" w:hAnsi="Calibri" w:cs="Calibri"/>
          <w:b/>
          <w:bCs/>
        </w:rPr>
        <w:t>don’t</w:t>
      </w:r>
      <w:r w:rsidRPr="00DD7BD1">
        <w:rPr>
          <w:rStyle w:val="Strong"/>
          <w:rFonts w:ascii="Calibri" w:hAnsi="Calibri" w:cs="Calibri"/>
        </w:rPr>
        <w:t> want to allow it, confer with your employment counsel first.</w:t>
      </w:r>
      <w:r w:rsidRPr="00DD7BD1">
        <w:rPr>
          <w:rFonts w:ascii="Calibri" w:hAnsi="Calibri" w:cs="Calibri"/>
        </w:rPr>
        <w:t> The companion case to </w:t>
      </w:r>
      <w:r w:rsidRPr="00DD7BD1">
        <w:rPr>
          <w:rStyle w:val="Emphasis"/>
          <w:rFonts w:ascii="Calibri" w:hAnsi="Calibri" w:cs="Calibri"/>
        </w:rPr>
        <w:t>Bostock</w:t>
      </w:r>
      <w:r w:rsidRPr="00DD7BD1">
        <w:rPr>
          <w:rFonts w:ascii="Calibri" w:hAnsi="Calibri" w:cs="Calibri"/>
        </w:rPr>
        <w:t xml:space="preserve">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w:t>
      </w:r>
      <w:proofErr w:type="gramStart"/>
      <w:r w:rsidRPr="00DD7BD1">
        <w:rPr>
          <w:rFonts w:ascii="Calibri" w:hAnsi="Calibri" w:cs="Calibri"/>
        </w:rPr>
        <w:t>definitely before</w:t>
      </w:r>
      <w:proofErr w:type="gramEnd"/>
      <w:r w:rsidRPr="00DD7BD1">
        <w:rPr>
          <w:rFonts w:ascii="Calibri" w:hAnsi="Calibri" w:cs="Calibri"/>
        </w:rPr>
        <w:t xml:space="preserve"> you discipline or discharge a transgender employee for this reason.</w:t>
      </w:r>
    </w:p>
    <w:p w14:paraId="291950B5"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Fonts w:ascii="Calibri" w:hAnsi="Calibri" w:cs="Calibri"/>
        </w:rPr>
        <w:t>As I’ve been recommending for some time now, </w:t>
      </w:r>
      <w:r w:rsidRPr="00DD7BD1">
        <w:rPr>
          <w:rStyle w:val="Strong"/>
          <w:rFonts w:ascii="Calibri" w:hAnsi="Calibri" w:cs="Calibri"/>
        </w:rPr>
        <w:t>be sure to consider making accommodations for employees</w:t>
      </w:r>
      <w:r w:rsidRPr="00DD7BD1">
        <w:rPr>
          <w:rFonts w:ascii="Calibri" w:hAnsi="Calibri" w:cs="Calibri"/>
        </w:rPr>
        <w:t> who say that it violates their religious beliefs to address an XY person as a “she” or an XX person as a “he.” And, if you get such a request for accommodation, consult with your attorney before making any decisions that may come back to bite you.</w:t>
      </w:r>
    </w:p>
    <w:p w14:paraId="4B39EFAB" w14:textId="77777777" w:rsidR="001558B8" w:rsidRPr="00DD7BD1" w:rsidRDefault="001558B8" w:rsidP="001558B8">
      <w:pPr>
        <w:shd w:val="clear" w:color="auto" w:fill="FFFFFF"/>
        <w:spacing w:before="100" w:beforeAutospacing="1" w:after="100" w:afterAutospacing="1"/>
        <w:ind w:left="360"/>
        <w:rPr>
          <w:rFonts w:ascii="Calibri" w:hAnsi="Calibri" w:cs="Calibri"/>
          <w:color w:val="333333"/>
        </w:rPr>
      </w:pPr>
      <w:r w:rsidRPr="00DD7BD1">
        <w:rPr>
          <w:rFonts w:ascii="Calibri" w:hAnsi="Calibri" w:cs="Calibri"/>
        </w:rPr>
        <w:t>Extracted from the May 23</w:t>
      </w:r>
      <w:r w:rsidRPr="00DD7BD1">
        <w:rPr>
          <w:rFonts w:ascii="Calibri" w:hAnsi="Calibri" w:cs="Calibri"/>
          <w:vertAlign w:val="superscript"/>
        </w:rPr>
        <w:t>rd</w:t>
      </w:r>
      <w:r w:rsidRPr="00DD7BD1">
        <w:rPr>
          <w:rFonts w:ascii="Calibri" w:hAnsi="Calibri" w:cs="Calibri"/>
        </w:rPr>
        <w:t xml:space="preserve"> online article released by Constancy, Brooks, Smith &amp; Prophete, LLP which can be access </w:t>
      </w:r>
      <w:hyperlink r:id="rId338" w:history="1">
        <w:r w:rsidRPr="00DD7BD1">
          <w:rPr>
            <w:rStyle w:val="Hyperlink"/>
            <w:rFonts w:ascii="Calibri" w:hAnsi="Calibri" w:cs="Calibri"/>
          </w:rPr>
          <w:t>HERE</w:t>
        </w:r>
      </w:hyperlink>
    </w:p>
    <w:p w14:paraId="08AC4AA4" w14:textId="2F93A022" w:rsidR="001558B8" w:rsidRPr="00DD7BD1" w:rsidRDefault="001558B8" w:rsidP="001558B8">
      <w:pPr>
        <w:pStyle w:val="ListParagraph"/>
        <w:ind w:left="27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State Court Ruling with Multistate Employer Considerations –</w:t>
      </w:r>
    </w:p>
    <w:p w14:paraId="54B82F0C" w14:textId="77777777" w:rsidR="001558B8" w:rsidRPr="00DD7BD1" w:rsidRDefault="001558B8" w:rsidP="001558B8">
      <w:pPr>
        <w:pStyle w:val="ListParagraph"/>
        <w:ind w:left="270"/>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shd w:val="clear" w:color="auto" w:fill="FFFFFF"/>
          <w:lang w:val="en"/>
        </w:rPr>
        <w:t>Remote Employee Sues Massachusetts Employer for Violating MA Employment Laws</w:t>
      </w:r>
    </w:p>
    <w:p w14:paraId="38F1C56A" w14:textId="77777777" w:rsidR="001558B8" w:rsidRPr="00DD7BD1" w:rsidRDefault="001558B8" w:rsidP="001558B8">
      <w:pPr>
        <w:pStyle w:val="ListParagraph"/>
        <w:ind w:left="270"/>
        <w:rPr>
          <w:rFonts w:ascii="Calibri" w:hAnsi="Calibri" w:cs="Calibri"/>
        </w:rPr>
      </w:pPr>
      <w:r w:rsidRPr="00DD7BD1">
        <w:rPr>
          <w:rFonts w:ascii="Calibri" w:hAnsi="Calibri" w:cs="Calibri"/>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DD7BD1" w:rsidRDefault="001558B8" w:rsidP="001558B8">
      <w:pPr>
        <w:pStyle w:val="ListParagraph"/>
        <w:ind w:left="270"/>
        <w:rPr>
          <w:rFonts w:ascii="Calibri" w:hAnsi="Calibri" w:cs="Calibri"/>
          <w:sz w:val="16"/>
          <w:szCs w:val="16"/>
        </w:rPr>
      </w:pPr>
    </w:p>
    <w:p w14:paraId="643C0918" w14:textId="77777777" w:rsidR="001558B8" w:rsidRPr="00DD7BD1" w:rsidRDefault="001558B8" w:rsidP="001558B8">
      <w:pPr>
        <w:pStyle w:val="ListParagraph"/>
        <w:ind w:left="270"/>
        <w:rPr>
          <w:rFonts w:ascii="Calibri" w:hAnsi="Calibri" w:cs="Calibri"/>
          <w:b/>
          <w:bCs/>
        </w:rPr>
      </w:pPr>
      <w:r w:rsidRPr="00DD7BD1">
        <w:rPr>
          <w:rFonts w:ascii="Calibri" w:hAnsi="Calibri" w:cs="Calibri"/>
          <w:b/>
          <w:bCs/>
        </w:rPr>
        <w:t>The Background</w:t>
      </w:r>
    </w:p>
    <w:p w14:paraId="6E35C2A5" w14:textId="77777777" w:rsidR="001558B8" w:rsidRPr="00DD7BD1" w:rsidRDefault="001558B8" w:rsidP="001558B8">
      <w:pPr>
        <w:pStyle w:val="ListParagraph"/>
        <w:ind w:left="270"/>
        <w:rPr>
          <w:rFonts w:ascii="Calibri" w:hAnsi="Calibri" w:cs="Calibri"/>
        </w:rPr>
      </w:pPr>
      <w:r w:rsidRPr="00DD7BD1">
        <w:rPr>
          <w:rFonts w:ascii="Calibri" w:hAnsi="Calibri" w:cs="Calibri"/>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DD7BD1" w:rsidRDefault="001558B8" w:rsidP="001558B8">
      <w:pPr>
        <w:pStyle w:val="ListParagraph"/>
        <w:ind w:left="270"/>
        <w:rPr>
          <w:rFonts w:ascii="Calibri" w:hAnsi="Calibri" w:cs="Calibri"/>
          <w:sz w:val="16"/>
          <w:szCs w:val="16"/>
        </w:rPr>
      </w:pPr>
    </w:p>
    <w:p w14:paraId="05EC771F"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The Decision</w:t>
      </w:r>
    </w:p>
    <w:p w14:paraId="5BA2A724" w14:textId="77777777" w:rsidR="001558B8" w:rsidRPr="00DD7BD1" w:rsidRDefault="001558B8" w:rsidP="001558B8">
      <w:pPr>
        <w:pStyle w:val="ListParagraph"/>
        <w:ind w:left="270"/>
        <w:rPr>
          <w:rFonts w:ascii="Calibri" w:hAnsi="Calibri" w:cs="Calibri"/>
        </w:rPr>
      </w:pPr>
      <w:r w:rsidRPr="00DD7BD1">
        <w:rPr>
          <w:rFonts w:ascii="Calibri" w:hAnsi="Calibri" w:cs="Calibri"/>
        </w:rPr>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w:t>
      </w:r>
      <w:r w:rsidRPr="00DD7BD1">
        <w:rPr>
          <w:rFonts w:ascii="Calibri" w:hAnsi="Calibri" w:cs="Calibri"/>
        </w:rPr>
        <w:lastRenderedPageBreak/>
        <w:t>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DD7BD1" w:rsidRDefault="001558B8" w:rsidP="001558B8">
      <w:pPr>
        <w:pStyle w:val="ListParagraph"/>
        <w:ind w:left="270"/>
        <w:rPr>
          <w:rFonts w:ascii="Calibri" w:hAnsi="Calibri" w:cs="Calibri"/>
          <w:b/>
          <w:bCs/>
          <w:sz w:val="16"/>
          <w:szCs w:val="16"/>
        </w:rPr>
      </w:pPr>
    </w:p>
    <w:p w14:paraId="1AC1EAD0"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Employer Takeaways</w:t>
      </w:r>
    </w:p>
    <w:p w14:paraId="1C59DB92"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As readers are aware, the Massachusetts Wage Act and the Massachusetts Paid Family and Medical Leave (“PFML”) law are two of the most </w:t>
      </w:r>
      <w:r w:rsidRPr="00DD7BD1">
        <w:rPr>
          <w:rFonts w:ascii="Calibri" w:hAnsi="Calibri" w:cs="Calibri"/>
          <w:u w:val="single"/>
        </w:rPr>
        <w:t>employee-friendly laws</w:t>
      </w:r>
      <w:r w:rsidRPr="00DD7BD1">
        <w:rPr>
          <w:rFonts w:ascii="Calibri" w:hAnsi="Calibri" w:cs="Calibri"/>
        </w:rPr>
        <w:t xml:space="preserve"> in the entire country. Because of this, to the extent possible, </w:t>
      </w:r>
      <w:r w:rsidRPr="00DD7BD1">
        <w:rPr>
          <w:rFonts w:ascii="Calibri" w:hAnsi="Calibri" w:cs="Calibri"/>
          <w:u w:val="single"/>
        </w:rPr>
        <w:t>employers should steer clear of litigation related to these laws</w:t>
      </w:r>
      <w:r w:rsidRPr="00DD7BD1">
        <w:rPr>
          <w:rFonts w:ascii="Calibri" w:hAnsi="Calibri" w:cs="Calibri"/>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DD7BD1">
        <w:rPr>
          <w:rFonts w:ascii="Calibri" w:hAnsi="Calibri" w:cs="Calibri"/>
          <w:b/>
          <w:bCs/>
          <w:u w:val="single"/>
        </w:rPr>
        <w:t>employers should make it clear in offer letters and other employment-related documents and agreements that the law of the employee’s home state applies to the employment relationship.</w:t>
      </w:r>
      <w:r w:rsidRPr="00DD7BD1">
        <w:rPr>
          <w:rFonts w:ascii="Calibri" w:hAnsi="Calibri" w:cs="Calibri"/>
        </w:rPr>
        <w:t xml:space="preserve"> The employer should also provide remote employees living in another state with </w:t>
      </w:r>
      <w:r w:rsidRPr="00DD7BD1">
        <w:rPr>
          <w:rFonts w:ascii="Calibri" w:hAnsi="Calibri" w:cs="Calibri"/>
          <w:u w:val="single"/>
        </w:rPr>
        <w:t>handbook supplements that explain the employment laws of their home state</w:t>
      </w:r>
      <w:r w:rsidRPr="00DD7BD1">
        <w:rPr>
          <w:rFonts w:ascii="Calibri" w:hAnsi="Calibri" w:cs="Calibri"/>
        </w:rPr>
        <w:t xml:space="preserve">. Finally, employers should have all </w:t>
      </w:r>
      <w:r w:rsidRPr="00DD7BD1">
        <w:rPr>
          <w:rFonts w:ascii="Calibri" w:hAnsi="Calibri" w:cs="Calibri"/>
          <w:u w:val="single"/>
        </w:rPr>
        <w:t>employment-related agreements reviewed by employment counsel to ensure the most appropriate choice-of-law provisions are in place</w:t>
      </w:r>
      <w:r w:rsidRPr="00DD7BD1">
        <w:rPr>
          <w:rFonts w:ascii="Calibri" w:hAnsi="Calibri" w:cs="Calibri"/>
        </w:rPr>
        <w:t>.</w:t>
      </w:r>
    </w:p>
    <w:p w14:paraId="3E4937BF" w14:textId="77777777" w:rsidR="001558B8" w:rsidRPr="00DD7BD1" w:rsidRDefault="001558B8" w:rsidP="001558B8">
      <w:pPr>
        <w:pStyle w:val="ListParagraph"/>
        <w:ind w:left="270"/>
        <w:rPr>
          <w:rFonts w:ascii="Calibri" w:hAnsi="Calibri" w:cs="Calibri"/>
          <w:sz w:val="16"/>
          <w:szCs w:val="16"/>
        </w:rPr>
      </w:pPr>
    </w:p>
    <w:p w14:paraId="3E9C47B3" w14:textId="33C1A878" w:rsidR="00636C21" w:rsidRPr="00DD7BD1" w:rsidRDefault="001558B8" w:rsidP="00601C66">
      <w:pPr>
        <w:pStyle w:val="ListParagraph"/>
        <w:ind w:left="270"/>
        <w:rPr>
          <w:rFonts w:ascii="Calibri" w:hAnsi="Calibri" w:cs="Calibri"/>
        </w:rPr>
      </w:pPr>
      <w:r w:rsidRPr="00DD7BD1">
        <w:rPr>
          <w:rFonts w:ascii="Calibri" w:hAnsi="Calibri" w:cs="Calibri"/>
        </w:rPr>
        <w:t xml:space="preserve">-May 20, 2025, blog article by John S. Gannon - </w:t>
      </w:r>
      <w:proofErr w:type="spellStart"/>
      <w:r w:rsidRPr="00DD7BD1">
        <w:rPr>
          <w:rFonts w:ascii="Calibri" w:hAnsi="Calibri" w:cs="Calibri"/>
        </w:rPr>
        <w:t>Skoler</w:t>
      </w:r>
      <w:proofErr w:type="spellEnd"/>
      <w:r w:rsidRPr="00DD7BD1">
        <w:rPr>
          <w:rFonts w:ascii="Calibri" w:hAnsi="Calibri" w:cs="Calibri"/>
        </w:rPr>
        <w:t xml:space="preserve"> Abbott P.C. can be access </w:t>
      </w:r>
      <w:hyperlink r:id="rId339" w:history="1">
        <w:r w:rsidRPr="00DD7BD1">
          <w:rPr>
            <w:rStyle w:val="Hyperlink"/>
            <w:rFonts w:ascii="Calibri" w:hAnsi="Calibri" w:cs="Calibri"/>
          </w:rPr>
          <w:t>HERE</w:t>
        </w:r>
      </w:hyperlink>
    </w:p>
    <w:p w14:paraId="57726AFA" w14:textId="19B9DD02"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ADA Accommodations, Even If Employees Can Perform Essential Functions</w:t>
      </w:r>
    </w:p>
    <w:p w14:paraId="5B7ED9ED"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March 25, 2025, the Second Circuit Court of Appeals ruled in </w:t>
      </w:r>
      <w:hyperlink r:id="rId340" w:anchor="xml=https://ww3.ca2.uscourts.gov/decisions/isysquery/059b42af-2a54-48a5-96ae-4881228286fc/5/hilite/" w:history="1">
        <w:r w:rsidRPr="00DD7BD1">
          <w:rPr>
            <w:rStyle w:val="Hyperlink"/>
            <w:rFonts w:ascii="Calibri" w:eastAsiaTheme="minorHAnsi" w:hAnsi="Calibri" w:cs="Calibri"/>
            <w:b w:val="0"/>
            <w:bCs w:val="0"/>
            <w:i/>
            <w:iCs/>
            <w:kern w:val="0"/>
            <w:sz w:val="22"/>
            <w:szCs w:val="22"/>
          </w:rPr>
          <w:t>Tudor v. Whitehall Central School District</w:t>
        </w:r>
      </w:hyperlink>
      <w:r w:rsidRPr="00DD7BD1">
        <w:rPr>
          <w:rFonts w:ascii="Calibri" w:eastAsiaTheme="minorHAnsi" w:hAnsi="Calibri" w:cs="Calibri"/>
          <w:b w:val="0"/>
          <w:bCs w:val="0"/>
          <w:kern w:val="0"/>
          <w:sz w:val="22"/>
          <w:szCs w:val="22"/>
        </w:rPr>
        <w:t xml:space="preserve">, that an employee with a disability may qualify for a reasonable accommodation under the Americans with Disabilities Act (the “ADA”), </w:t>
      </w:r>
      <w:r w:rsidRPr="00DD7BD1">
        <w:rPr>
          <w:rFonts w:ascii="Calibri" w:eastAsiaTheme="minorHAnsi" w:hAnsi="Calibri" w:cs="Calibri"/>
          <w:b w:val="0"/>
          <w:bCs w:val="0"/>
          <w:kern w:val="0"/>
          <w:sz w:val="22"/>
          <w:szCs w:val="22"/>
          <w:u w:val="single"/>
        </w:rPr>
        <w:t>even if they can perform the essential functions of their job without accommodation</w:t>
      </w:r>
      <w:r w:rsidRPr="00DD7BD1">
        <w:rPr>
          <w:rFonts w:ascii="Calibri" w:eastAsiaTheme="minorHAnsi" w:hAnsi="Calibri" w:cs="Calibri"/>
          <w:b w:val="0"/>
          <w:bCs w:val="0"/>
          <w:kern w:val="0"/>
          <w:sz w:val="22"/>
          <w:szCs w:val="22"/>
        </w:rPr>
        <w:t>.</w:t>
      </w:r>
    </w:p>
    <w:p w14:paraId="2C7B4286"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7A998D86" w14:textId="6E6906A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highlight w:val="lightGray"/>
        </w:rPr>
        <w:t>:</w:t>
      </w:r>
      <w:r w:rsidRPr="00DD7BD1">
        <w:rPr>
          <w:rFonts w:ascii="Calibri" w:eastAsiaTheme="minorHAnsi" w:hAnsi="Calibri" w:cs="Calibri"/>
          <w:b w:val="0"/>
          <w:bCs w:val="0"/>
          <w:kern w:val="0"/>
          <w:sz w:val="22"/>
          <w:szCs w:val="22"/>
        </w:rPr>
        <w:t xml:space="preserve"> Employers subject to the ADA in </w:t>
      </w:r>
      <w:r w:rsidRPr="00DD7BD1">
        <w:rPr>
          <w:rFonts w:ascii="Calibri" w:eastAsiaTheme="minorHAnsi" w:hAnsi="Calibri" w:cs="Calibri"/>
          <w:b w:val="0"/>
          <w:bCs w:val="0"/>
          <w:kern w:val="0"/>
          <w:sz w:val="22"/>
          <w:szCs w:val="22"/>
          <w:u w:val="single"/>
        </w:rPr>
        <w:t>New York, Connecticut, and Vermont</w:t>
      </w:r>
      <w:r w:rsidRPr="00DD7BD1">
        <w:rPr>
          <w:rFonts w:ascii="Calibri" w:eastAsiaTheme="minorHAnsi" w:hAnsi="Calibri" w:cs="Calibri"/>
          <w:b w:val="0"/>
          <w:bCs w:val="0"/>
          <w:kern w:val="0"/>
          <w:sz w:val="22"/>
          <w:szCs w:val="22"/>
        </w:rPr>
        <w:t xml:space="preserve"> specifically, due to the Second Circuit’s recent ruling, should aware that regardless of whether their employees with disabilities can perform the essential functions of the job without accommodation, they are nevertheless required to provide qualified employees with </w:t>
      </w:r>
      <w:r w:rsidRPr="00DD7BD1">
        <w:rPr>
          <w:rFonts w:ascii="Calibri" w:eastAsiaTheme="minorHAnsi" w:hAnsi="Calibri" w:cs="Calibri"/>
          <w:b w:val="0"/>
          <w:bCs w:val="0"/>
          <w:i/>
          <w:iCs/>
          <w:kern w:val="0"/>
          <w:sz w:val="22"/>
          <w:szCs w:val="22"/>
        </w:rPr>
        <w:t>reasonable</w:t>
      </w:r>
      <w:r w:rsidRPr="00DD7BD1">
        <w:rPr>
          <w:rFonts w:ascii="Calibri" w:eastAsiaTheme="minorHAnsi" w:hAnsi="Calibri" w:cs="Calibri"/>
          <w:b w:val="0"/>
          <w:bCs w:val="0"/>
          <w:kern w:val="0"/>
          <w:sz w:val="22"/>
          <w:szCs w:val="22"/>
        </w:rPr>
        <w:t> accommodation, unless doing so would impose an undue hardship.</w:t>
      </w:r>
    </w:p>
    <w:p w14:paraId="64DBDE37"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2972E8DC" w14:textId="19A8100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bookmarkStart w:id="20" w:name="_Hlk197515784"/>
      <w:r w:rsidRPr="00DD7BD1">
        <w:rPr>
          <w:rFonts w:ascii="Calibri" w:eastAsiaTheme="minorHAnsi" w:hAnsi="Calibri" w:cs="Calibri"/>
          <w:kern w:val="0"/>
          <w:sz w:val="28"/>
          <w:szCs w:val="28"/>
        </w:rPr>
        <w:t xml:space="preserve">President Trump Issues Executive Order Aimed at Eliminating Disparate Impact Liability </w:t>
      </w:r>
    </w:p>
    <w:bookmarkEnd w:id="20"/>
    <w:p w14:paraId="385C059B"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April 23, 2025, the White House </w:t>
      </w:r>
      <w:hyperlink r:id="rId341" w:tgtFrame="_blank" w:history="1">
        <w:r w:rsidRPr="00DD7BD1">
          <w:rPr>
            <w:rStyle w:val="Hyperlink"/>
            <w:rFonts w:ascii="Calibri" w:eastAsiaTheme="minorHAnsi" w:hAnsi="Calibri" w:cs="Calibri"/>
            <w:b w:val="0"/>
            <w:bCs w:val="0"/>
            <w:kern w:val="0"/>
            <w:sz w:val="22"/>
            <w:szCs w:val="22"/>
          </w:rPr>
          <w:t>issued an Executive Order</w:t>
        </w:r>
      </w:hyperlink>
      <w:r w:rsidRPr="00DD7BD1">
        <w:rPr>
          <w:rFonts w:ascii="Calibri" w:eastAsiaTheme="minorHAnsi" w:hAnsi="Calibri" w:cs="Calibr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First recognized under Title VII of the Civil Rights Act of 1964 (“Title VII”) by the U.S. Supreme Court in </w:t>
      </w:r>
      <w:hyperlink r:id="rId342" w:tgtFrame="_blank" w:history="1">
        <w:r w:rsidRPr="00DD7BD1">
          <w:rPr>
            <w:rStyle w:val="Hyperlink"/>
            <w:rFonts w:ascii="Calibri" w:eastAsiaTheme="minorHAnsi" w:hAnsi="Calibri" w:cs="Calibri"/>
            <w:b w:val="0"/>
            <w:bCs w:val="0"/>
            <w:i/>
            <w:iCs/>
            <w:kern w:val="0"/>
            <w:sz w:val="22"/>
            <w:szCs w:val="22"/>
          </w:rPr>
          <w:t>Griggs v. Duke Power Co.</w:t>
        </w:r>
      </w:hyperlink>
      <w:r w:rsidRPr="00DD7BD1">
        <w:rPr>
          <w:rFonts w:ascii="Calibri" w:eastAsiaTheme="minorHAnsi" w:hAnsi="Calibri" w:cs="Calibr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p>
    <w:p w14:paraId="3CA97964"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001FDCD" w14:textId="5F7C893B"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color w:val="333333"/>
          <w:kern w:val="0"/>
          <w:sz w:val="23"/>
          <w:szCs w:val="23"/>
          <w:shd w:val="clear" w:color="auto" w:fill="FFFFFF"/>
        </w:rPr>
        <w:t xml:space="preserve"> </w:t>
      </w:r>
      <w:r w:rsidRPr="00DD7BD1">
        <w:rPr>
          <w:rFonts w:ascii="Calibri" w:eastAsiaTheme="minorHAnsi" w:hAnsi="Calibri" w:cs="Calibr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73AF65B" w14:textId="6FD741BE"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Status Update: </w:t>
      </w:r>
      <w:r w:rsidRPr="00DD7BD1">
        <w:rPr>
          <w:rFonts w:ascii="Calibri" w:eastAsiaTheme="minorHAnsi" w:hAnsi="Calibri" w:cs="Calibri"/>
          <w:kern w:val="0"/>
          <w:sz w:val="28"/>
          <w:szCs w:val="28"/>
        </w:rPr>
        <w:t>President Trump &amp; DEI Executive Orders</w:t>
      </w:r>
    </w:p>
    <w:p w14:paraId="6C09CA7C"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March 14, 2025, the U.S. Court of Appeals for the 4th Circuit </w:t>
      </w:r>
      <w:hyperlink r:id="rId343" w:history="1">
        <w:r w:rsidRPr="00DD7BD1">
          <w:rPr>
            <w:rStyle w:val="Hyperlink"/>
            <w:rFonts w:ascii="Calibri" w:hAnsi="Calibri" w:cs="Calibri"/>
            <w:b w:val="0"/>
            <w:bCs w:val="0"/>
            <w:sz w:val="22"/>
            <w:szCs w:val="22"/>
          </w:rPr>
          <w:t>stayed</w:t>
        </w:r>
      </w:hyperlink>
      <w:r w:rsidRPr="00DD7BD1">
        <w:rPr>
          <w:rFonts w:ascii="Calibri" w:hAnsi="Calibri" w:cs="Calibri"/>
          <w:b w:val="0"/>
          <w:bCs w:val="0"/>
          <w:color w:val="000000" w:themeColor="text1"/>
          <w:sz w:val="22"/>
          <w:szCs w:val="22"/>
        </w:rPr>
        <w:t xml:space="preserve"> a nationwide preliminary injunction that temporarily blocked certain provisions of Executive Orders (EO) </w:t>
      </w:r>
      <w:hyperlink r:id="rId344" w:history="1">
        <w:r w:rsidRPr="00DD7BD1">
          <w:rPr>
            <w:rStyle w:val="Hyperlink"/>
            <w:rFonts w:ascii="Calibri" w:hAnsi="Calibri" w:cs="Calibri"/>
            <w:b w:val="0"/>
            <w:bCs w:val="0"/>
            <w:sz w:val="22"/>
            <w:szCs w:val="22"/>
          </w:rPr>
          <w:t>14151</w:t>
        </w:r>
      </w:hyperlink>
      <w:r w:rsidRPr="00DD7BD1">
        <w:rPr>
          <w:rFonts w:ascii="Calibri" w:hAnsi="Calibri" w:cs="Calibri"/>
          <w:b w:val="0"/>
          <w:bCs w:val="0"/>
          <w:color w:val="000000" w:themeColor="text1"/>
          <w:sz w:val="22"/>
          <w:szCs w:val="22"/>
        </w:rPr>
        <w:t xml:space="preserve"> and </w:t>
      </w:r>
      <w:hyperlink r:id="rId345" w:history="1">
        <w:r w:rsidRPr="00DD7BD1">
          <w:rPr>
            <w:rStyle w:val="Hyperlink"/>
            <w:rFonts w:ascii="Calibri" w:hAnsi="Calibri" w:cs="Calibri"/>
            <w:b w:val="0"/>
            <w:bCs w:val="0"/>
            <w:sz w:val="22"/>
            <w:szCs w:val="22"/>
          </w:rPr>
          <w:t>14173</w:t>
        </w:r>
      </w:hyperlink>
      <w:r w:rsidRPr="00DD7BD1">
        <w:rPr>
          <w:rFonts w:ascii="Calibri" w:hAnsi="Calibri" w:cs="Calibri"/>
          <w:b w:val="0"/>
          <w:bCs w:val="0"/>
          <w:color w:val="000000" w:themeColor="text1"/>
          <w:sz w:val="22"/>
          <w:szCs w:val="22"/>
        </w:rPr>
        <w:t xml:space="preserve"> issued by President Donald Trump on Jan. 20, 2025, and Jan. 21, 2025, respectively. To recap, these EOs aim to combat “illegal diversity, equity and inclusion (DEI) programs” in the federal and private sectors. </w:t>
      </w:r>
    </w:p>
    <w:p w14:paraId="4EA9F78C" w14:textId="77777777" w:rsidR="00052D10" w:rsidRPr="00DD7BD1" w:rsidRDefault="00052D10" w:rsidP="00052D10">
      <w:pPr>
        <w:pStyle w:val="Heading1"/>
        <w:shd w:val="clear" w:color="auto" w:fill="FFFFFF"/>
        <w:spacing w:after="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With the March 14, 2025, ruling, the 4th Circuit granted the government’s request to stay the nationwide preliminary injunction. Therefore, the Trump administration </w:t>
      </w:r>
      <w:r w:rsidRPr="00DD7BD1">
        <w:rPr>
          <w:rFonts w:ascii="Calibri" w:hAnsi="Calibri" w:cs="Calibri"/>
          <w:color w:val="000000" w:themeColor="text1"/>
          <w:sz w:val="22"/>
          <w:szCs w:val="22"/>
        </w:rPr>
        <w:t>may continue</w:t>
      </w:r>
      <w:r w:rsidRPr="00DD7BD1">
        <w:rPr>
          <w:rFonts w:ascii="Calibri" w:hAnsi="Calibri" w:cs="Calibri"/>
          <w:b w:val="0"/>
          <w:bCs w:val="0"/>
          <w:color w:val="000000" w:themeColor="text1"/>
          <w:sz w:val="22"/>
          <w:szCs w:val="22"/>
        </w:rPr>
        <w:t xml:space="preserve"> to enforce the previously blocked provisions of the EOs, including the </w:t>
      </w:r>
      <w:r w:rsidRPr="00DD7BD1">
        <w:rPr>
          <w:rFonts w:ascii="Calibri" w:hAnsi="Calibri" w:cs="Calibri"/>
          <w:b w:val="0"/>
          <w:bCs w:val="0"/>
          <w:color w:val="000000" w:themeColor="text1"/>
          <w:sz w:val="22"/>
          <w:szCs w:val="22"/>
        </w:rPr>
        <w:lastRenderedPageBreak/>
        <w:t xml:space="preserve">Termination and Certification Provisions for government contractors, employers , while the court considers the merits of the case. </w:t>
      </w:r>
    </w:p>
    <w:p w14:paraId="698AA37A"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06AE759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Prepare for uncertainty as the case is still pending, and such provisions may yet be blocked in a final ruling on the merits. </w:t>
      </w:r>
    </w:p>
    <w:p w14:paraId="6DE0BA8D"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Keep in mind that </w:t>
      </w:r>
      <w:r w:rsidRPr="00DD7BD1">
        <w:rPr>
          <w:rFonts w:ascii="Calibri" w:hAnsi="Calibri" w:cs="Calibri"/>
          <w:b w:val="0"/>
          <w:bCs w:val="0"/>
          <w:color w:val="000000" w:themeColor="text1"/>
          <w:sz w:val="22"/>
          <w:szCs w:val="22"/>
          <w:u w:val="single"/>
        </w:rPr>
        <w:t>neither</w:t>
      </w:r>
      <w:r w:rsidRPr="00DD7BD1">
        <w:rPr>
          <w:rFonts w:ascii="Calibri" w:hAnsi="Calibri" w:cs="Calibri"/>
          <w:b w:val="0"/>
          <w:bCs w:val="0"/>
          <w:color w:val="000000" w:themeColor="text1"/>
          <w:sz w:val="22"/>
          <w:szCs w:val="22"/>
        </w:rPr>
        <w:t xml:space="preserve"> the initial EOs nor the 4th Circuit ruling </w:t>
      </w:r>
      <w:r w:rsidRPr="00DD7BD1">
        <w:rPr>
          <w:rFonts w:ascii="Calibri" w:hAnsi="Calibri" w:cs="Calibri"/>
          <w:color w:val="000000" w:themeColor="text1"/>
          <w:sz w:val="22"/>
          <w:szCs w:val="22"/>
          <w:u w:val="single"/>
        </w:rPr>
        <w:t>alter employers’ legal obligations, as employers are still prohibited from considering an individual’s protected trait</w:t>
      </w:r>
      <w:r w:rsidRPr="00DD7BD1">
        <w:rPr>
          <w:rFonts w:ascii="Calibri" w:hAnsi="Calibri" w:cs="Calibri"/>
          <w:b w:val="0"/>
          <w:bCs w:val="0"/>
          <w:color w:val="000000" w:themeColor="text1"/>
          <w:sz w:val="22"/>
          <w:szCs w:val="22"/>
        </w:rPr>
        <w:t xml:space="preserve"> (e.g., race, color, sex, religion, age or national origin) in employment decisions. </w:t>
      </w:r>
    </w:p>
    <w:p w14:paraId="616197A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Employers may consider reviewing existing DEI practices to ensure they do not discriminate </w:t>
      </w:r>
      <w:proofErr w:type="gramStart"/>
      <w:r w:rsidRPr="00DD7BD1">
        <w:rPr>
          <w:rFonts w:ascii="Calibri" w:hAnsi="Calibri" w:cs="Calibri"/>
          <w:b w:val="0"/>
          <w:bCs w:val="0"/>
          <w:color w:val="000000" w:themeColor="text1"/>
          <w:sz w:val="22"/>
          <w:szCs w:val="22"/>
        </w:rPr>
        <w:t>on the basis of</w:t>
      </w:r>
      <w:proofErr w:type="gramEnd"/>
      <w:r w:rsidRPr="00DD7BD1">
        <w:rPr>
          <w:rFonts w:ascii="Calibri" w:hAnsi="Calibri" w:cs="Calibri"/>
          <w:b w:val="0"/>
          <w:bCs w:val="0"/>
          <w:color w:val="000000" w:themeColor="text1"/>
          <w:sz w:val="22"/>
          <w:szCs w:val="22"/>
        </w:rPr>
        <w:t xml:space="preserve"> a federally protected trait.</w:t>
      </w:r>
      <w:r w:rsidRPr="00DD7BD1">
        <w:rPr>
          <w:rFonts w:ascii="Calibri" w:hAnsi="Calibri" w:cs="Calibri"/>
          <w:color w:val="000000" w:themeColor="text1"/>
        </w:rPr>
        <w:t xml:space="preserve"> </w:t>
      </w:r>
    </w:p>
    <w:p w14:paraId="7802BE3F" w14:textId="77777777" w:rsidR="00052D10" w:rsidRPr="00DD7BD1" w:rsidRDefault="00052D10" w:rsidP="00052D10">
      <w:pPr>
        <w:pStyle w:val="Heading1"/>
        <w:shd w:val="clear" w:color="auto" w:fill="FFFFFF"/>
        <w:spacing w:before="0" w:beforeAutospacing="0" w:after="0" w:afterAutospacing="0"/>
        <w:ind w:left="720"/>
        <w:rPr>
          <w:rFonts w:ascii="Calibri" w:hAnsi="Calibri" w:cs="Calibri"/>
          <w:b w:val="0"/>
          <w:bCs w:val="0"/>
          <w:color w:val="000000" w:themeColor="text1"/>
          <w:sz w:val="22"/>
          <w:szCs w:val="22"/>
        </w:rPr>
      </w:pPr>
    </w:p>
    <w:p w14:paraId="1C497106"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Guidance: </w:t>
      </w:r>
      <w:r w:rsidRPr="00DD7BD1">
        <w:rPr>
          <w:rFonts w:ascii="Calibri" w:eastAsiaTheme="minorHAnsi" w:hAnsi="Calibri" w:cs="Calibri"/>
          <w:kern w:val="0"/>
          <w:sz w:val="28"/>
          <w:szCs w:val="28"/>
        </w:rPr>
        <w:t>EEOC and DOJ Issue Guidance on DEI-related Discrimination</w:t>
      </w:r>
    </w:p>
    <w:p w14:paraId="4881A9A7" w14:textId="77777777" w:rsidR="00052D10" w:rsidRPr="00DD7BD1" w:rsidRDefault="00052D10" w:rsidP="00052D10">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Reminder:</w:t>
      </w:r>
    </w:p>
    <w:p w14:paraId="3156478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DD7BD1">
        <w:rPr>
          <w:rFonts w:ascii="Calibri" w:hAnsi="Calibri" w:cs="Calibri"/>
          <w:sz w:val="22"/>
          <w:szCs w:val="22"/>
        </w:rPr>
        <w:t xml:space="preserve"> government</w:t>
      </w:r>
      <w:r w:rsidRPr="00DD7BD1">
        <w:rPr>
          <w:rFonts w:ascii="Calibri" w:hAnsi="Calibri" w:cs="Calibri"/>
          <w:b w:val="0"/>
          <w:bCs w:val="0"/>
          <w:sz w:val="22"/>
          <w:szCs w:val="22"/>
        </w:rPr>
        <w:t xml:space="preserve"> - federal executive branch agencies, departments, commissions, and their heads, officers, agents, and subdivisions. </w:t>
      </w:r>
      <w:r w:rsidRPr="00DD7BD1">
        <w:rPr>
          <w:rFonts w:ascii="Calibri" w:hAnsi="Calibri" w:cs="Calibri"/>
          <w:b w:val="0"/>
          <w:bCs w:val="0"/>
          <w:i/>
          <w:iCs/>
          <w:sz w:val="22"/>
          <w:szCs w:val="22"/>
        </w:rPr>
        <w:t>National Association of Diversity Officers in Higher Education et al. v. Trump et al.,</w:t>
      </w:r>
      <w:r w:rsidRPr="00DD7BD1">
        <w:rPr>
          <w:rFonts w:ascii="Calibri" w:hAnsi="Calibri" w:cs="Calibri"/>
          <w:b w:val="0"/>
          <w:bCs w:val="0"/>
          <w:sz w:val="22"/>
          <w:szCs w:val="22"/>
        </w:rPr>
        <w:t> No. 1:25-cv-00333 (D. Md.).</w:t>
      </w:r>
    </w:p>
    <w:p w14:paraId="5602FA6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continue assessing their DEI programming.</w:t>
      </w:r>
    </w:p>
    <w:p w14:paraId="4B4D44FE"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6E5C9C9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19, 2025, the U.S. Equal Employment Opportunity Commission (EEOC) and the U.S. Department of Justice (DOJ) issued joint </w:t>
      </w:r>
      <w:hyperlink r:id="rId346" w:history="1">
        <w:r w:rsidRPr="00DD7BD1">
          <w:rPr>
            <w:rStyle w:val="Hyperlink"/>
            <w:rFonts w:ascii="Calibri" w:hAnsi="Calibri" w:cs="Calibri"/>
            <w:b w:val="0"/>
            <w:bCs w:val="0"/>
            <w:sz w:val="22"/>
            <w:szCs w:val="22"/>
          </w:rPr>
          <w:t>guidance</w:t>
        </w:r>
      </w:hyperlink>
      <w:r w:rsidRPr="00DD7BD1">
        <w:rPr>
          <w:rFonts w:ascii="Calibri" w:hAnsi="Calibri" w:cs="Calibri"/>
          <w:b w:val="0"/>
          <w:bCs w:val="0"/>
          <w:sz w:val="22"/>
          <w:szCs w:val="22"/>
        </w:rPr>
        <w:t xml:space="preserve"> on illegal and discriminatory diversity, equity and inclusion (DEI) practices. </w:t>
      </w:r>
    </w:p>
    <w:p w14:paraId="71F112CA"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486AD4FB"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EEOC FAQs and the EEOC and DOJ joint guidance state that </w:t>
      </w:r>
      <w:r w:rsidRPr="00DD7BD1">
        <w:rPr>
          <w:rFonts w:ascii="Calibri" w:hAnsi="Calibri" w:cs="Calibri"/>
          <w:sz w:val="22"/>
          <w:szCs w:val="22"/>
        </w:rPr>
        <w:t>DEI programs may be unlawful under Title VII if they are motivated, in whole or in part, by an employee’s protected trait</w:t>
      </w:r>
      <w:r w:rsidRPr="00DD7BD1">
        <w:rPr>
          <w:rFonts w:ascii="Calibri" w:hAnsi="Calibri" w:cs="Calibri"/>
          <w:b w:val="0"/>
          <w:bCs w:val="0"/>
          <w:sz w:val="22"/>
          <w:szCs w:val="22"/>
        </w:rPr>
        <w:t xml:space="preserve">. </w:t>
      </w:r>
    </w:p>
    <w:p w14:paraId="457975E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5FADEFA5"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guidance identifies specific instances of potential DEI-related discrimination in the workplace, including:</w:t>
      </w:r>
    </w:p>
    <w:p w14:paraId="2ECF7205"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Disparate treatment</w:t>
      </w:r>
      <w:r w:rsidRPr="00DD7BD1">
        <w:rPr>
          <w:rFonts w:ascii="Calibri" w:hAnsi="Calibri" w:cs="Calibri"/>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Limiting, segregating or classifying</w:t>
      </w:r>
      <w:r w:rsidRPr="00DD7BD1">
        <w:rPr>
          <w:rFonts w:ascii="Calibri" w:hAnsi="Calibri" w:cs="Calibri"/>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Engaging in workplace </w:t>
      </w:r>
      <w:r w:rsidRPr="00DD7BD1">
        <w:rPr>
          <w:rFonts w:ascii="Calibri" w:hAnsi="Calibri" w:cs="Calibri"/>
          <w:sz w:val="22"/>
          <w:szCs w:val="22"/>
        </w:rPr>
        <w:t>harassment</w:t>
      </w:r>
      <w:r w:rsidRPr="00DD7BD1">
        <w:rPr>
          <w:rFonts w:ascii="Calibri" w:hAnsi="Calibri" w:cs="Calibri"/>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 xml:space="preserve">Retaliating </w:t>
      </w:r>
      <w:r w:rsidRPr="00DD7BD1">
        <w:rPr>
          <w:rFonts w:ascii="Calibri" w:hAnsi="Calibri" w:cs="Calibri"/>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Pr="00DD7BD1" w:rsidRDefault="00052D10" w:rsidP="00052D10">
      <w:pPr>
        <w:pStyle w:val="Heading1"/>
        <w:shd w:val="clear" w:color="auto" w:fill="FFFFFF"/>
        <w:spacing w:after="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Additionally, employers may </w:t>
      </w:r>
      <w:r w:rsidRPr="00DD7BD1">
        <w:rPr>
          <w:rFonts w:ascii="Calibri" w:eastAsiaTheme="minorHAnsi" w:hAnsi="Calibri" w:cs="Calibri"/>
          <w:kern w:val="0"/>
          <w:sz w:val="22"/>
          <w:szCs w:val="22"/>
        </w:rPr>
        <w:t>not</w:t>
      </w:r>
      <w:r w:rsidRPr="00DD7BD1">
        <w:rPr>
          <w:rFonts w:ascii="Calibri" w:eastAsiaTheme="minorHAnsi" w:hAnsi="Calibri" w:cs="Calibri"/>
          <w:b w:val="0"/>
          <w:bCs w:val="0"/>
          <w:kern w:val="0"/>
          <w:sz w:val="22"/>
          <w:szCs w:val="22"/>
        </w:rPr>
        <w:t xml:space="preserve"> justify taking </w:t>
      </w:r>
      <w:r w:rsidRPr="00DD7BD1">
        <w:rPr>
          <w:rFonts w:ascii="Calibri" w:eastAsiaTheme="minorHAnsi" w:hAnsi="Calibri" w:cs="Calibri"/>
          <w:kern w:val="0"/>
          <w:sz w:val="22"/>
          <w:szCs w:val="22"/>
        </w:rPr>
        <w:t xml:space="preserve">an employment action </w:t>
      </w:r>
      <w:proofErr w:type="gramStart"/>
      <w:r w:rsidRPr="00DD7BD1">
        <w:rPr>
          <w:rFonts w:ascii="Calibri" w:eastAsiaTheme="minorHAnsi" w:hAnsi="Calibri" w:cs="Calibri"/>
          <w:kern w:val="0"/>
          <w:sz w:val="22"/>
          <w:szCs w:val="22"/>
        </w:rPr>
        <w:t>on the basis of</w:t>
      </w:r>
      <w:proofErr w:type="gramEnd"/>
      <w:r w:rsidRPr="00DD7BD1">
        <w:rPr>
          <w:rFonts w:ascii="Calibri" w:eastAsiaTheme="minorHAnsi" w:hAnsi="Calibri" w:cs="Calibri"/>
          <w:kern w:val="0"/>
          <w:sz w:val="22"/>
          <w:szCs w:val="22"/>
        </w:rPr>
        <w:t xml:space="preserve"> a protected trait because they have a business interest in diversity, including a client or customer preference</w:t>
      </w:r>
      <w:r w:rsidRPr="00DD7BD1">
        <w:rPr>
          <w:rFonts w:ascii="Calibri" w:eastAsiaTheme="minorHAnsi" w:hAnsi="Calibri" w:cs="Calibri"/>
          <w:b w:val="0"/>
          <w:bCs w:val="0"/>
          <w:kern w:val="0"/>
          <w:sz w:val="22"/>
          <w:szCs w:val="22"/>
        </w:rPr>
        <w:t>.</w:t>
      </w:r>
    </w:p>
    <w:p w14:paraId="12B43021"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Documents released by the joint efforts include guidance aimed at educating Employees: </w:t>
      </w:r>
    </w:p>
    <w:p w14:paraId="25A728F3"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347" w:tgtFrame="_blank" w:history="1">
        <w:r w:rsidRPr="00DD7BD1">
          <w:rPr>
            <w:rStyle w:val="Hyperlink"/>
            <w:rFonts w:ascii="Calibri" w:eastAsiaTheme="minorHAnsi" w:hAnsi="Calibri" w:cs="Calibri"/>
            <w:b w:val="0"/>
            <w:bCs w:val="0"/>
            <w:kern w:val="0"/>
            <w:sz w:val="22"/>
            <w:szCs w:val="22"/>
          </w:rPr>
          <w:t>What To Do If You Experience Discrimination Related to DEI at Work</w:t>
        </w:r>
      </w:hyperlink>
    </w:p>
    <w:p w14:paraId="18DAA648"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348" w:history="1">
        <w:r w:rsidRPr="00DD7BD1">
          <w:rPr>
            <w:rStyle w:val="Hyperlink"/>
            <w:rFonts w:ascii="Calibri" w:eastAsiaTheme="minorHAnsi" w:hAnsi="Calibri" w:cs="Calibri"/>
            <w:b w:val="0"/>
            <w:bCs w:val="0"/>
            <w:kern w:val="0"/>
            <w:sz w:val="22"/>
            <w:szCs w:val="22"/>
          </w:rPr>
          <w:t>What You Should Know About DEI-Related Discrimination at Work</w:t>
        </w:r>
      </w:hyperlink>
    </w:p>
    <w:p w14:paraId="1729CDE2" w14:textId="77777777" w:rsidR="00052D10" w:rsidRPr="00DD7BD1" w:rsidRDefault="00052D10" w:rsidP="00052D10">
      <w:pPr>
        <w:pStyle w:val="Heading1"/>
        <w:shd w:val="clear" w:color="auto" w:fill="FFFFFF"/>
        <w:spacing w:before="0" w:beforeAutospacing="0" w:after="0" w:afterAutospacing="0"/>
        <w:ind w:left="720"/>
        <w:rPr>
          <w:rFonts w:ascii="Calibri" w:eastAsiaTheme="minorHAnsi" w:hAnsi="Calibri" w:cs="Calibri"/>
          <w:b w:val="0"/>
          <w:bCs w:val="0"/>
          <w:kern w:val="0"/>
          <w:sz w:val="22"/>
          <w:szCs w:val="22"/>
        </w:rPr>
      </w:pPr>
    </w:p>
    <w:p w14:paraId="39CC13A5"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Acting National Labor Relations Board General Counsel Rescinds Biden-Era Memoranda</w:t>
      </w:r>
    </w:p>
    <w:p w14:paraId="651A71C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The National Labor Relations Board's (Board) new general counsel, William B. Cowen, rescinded several guidance memos from his predecessor.</w:t>
      </w:r>
    </w:p>
    <w:p w14:paraId="428C2BD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lastRenderedPageBreak/>
        <w:t xml:space="preserve">The rescinding </w:t>
      </w:r>
      <w:proofErr w:type="gramStart"/>
      <w:r w:rsidRPr="00DD7BD1">
        <w:rPr>
          <w:rFonts w:ascii="Calibri" w:hAnsi="Calibri" w:cs="Calibri"/>
          <w:b w:val="0"/>
          <w:bCs w:val="0"/>
          <w:sz w:val="22"/>
          <w:szCs w:val="22"/>
        </w:rPr>
        <w:t>of these</w:t>
      </w:r>
      <w:proofErr w:type="gramEnd"/>
      <w:r w:rsidRPr="00DD7BD1">
        <w:rPr>
          <w:rFonts w:ascii="Calibri" w:hAnsi="Calibri" w:cs="Calibri"/>
          <w:b w:val="0"/>
          <w:bCs w:val="0"/>
          <w:sz w:val="22"/>
          <w:szCs w:val="22"/>
        </w:rPr>
        <w:t xml:space="preserve"> guidance memos is a strong indication of the Board's new enforcement priorities and interpretations of the National Labor Relations Act.</w:t>
      </w:r>
    </w:p>
    <w:p w14:paraId="167AF907" w14:textId="77777777" w:rsidR="00052D10" w:rsidRPr="00DD7BD1" w:rsidRDefault="00052D10" w:rsidP="00052D10">
      <w:pPr>
        <w:pStyle w:val="Heading1"/>
        <w:spacing w:before="0" w:beforeAutospacing="0" w:after="0" w:afterAutospacing="0"/>
        <w:ind w:left="720"/>
        <w:rPr>
          <w:rFonts w:ascii="Calibri" w:hAnsi="Calibri" w:cs="Calibri"/>
          <w:b w:val="0"/>
          <w:bCs w:val="0"/>
          <w:sz w:val="22"/>
          <w:szCs w:val="22"/>
        </w:rPr>
      </w:pPr>
    </w:p>
    <w:p w14:paraId="06B0492E"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Under the new Trump Administration, there has been </w:t>
      </w:r>
      <w:proofErr w:type="gramStart"/>
      <w:r w:rsidRPr="00DD7BD1">
        <w:rPr>
          <w:rFonts w:ascii="Calibri" w:eastAsiaTheme="minorHAnsi" w:hAnsi="Calibri" w:cs="Calibri"/>
          <w:b w:val="0"/>
          <w:bCs w:val="0"/>
          <w:kern w:val="0"/>
          <w:sz w:val="22"/>
          <w:szCs w:val="22"/>
        </w:rPr>
        <w:t>a number of</w:t>
      </w:r>
      <w:proofErr w:type="gramEnd"/>
      <w:r w:rsidRPr="00DD7BD1">
        <w:rPr>
          <w:rFonts w:ascii="Calibri" w:eastAsiaTheme="minorHAnsi" w:hAnsi="Calibri" w:cs="Calibri"/>
          <w:b w:val="0"/>
          <w:bCs w:val="0"/>
          <w:kern w:val="0"/>
          <w:sz w:val="22"/>
          <w:szCs w:val="22"/>
        </w:rPr>
        <w:t xml:space="preserve"> recent developments at the National Labor Relations Board (Board) affecting employers. In particular, the Board's new general counsel (GC), William B. Cowen, has issued rescission memoranda that </w:t>
      </w:r>
      <w:proofErr w:type="gramStart"/>
      <w:r w:rsidRPr="00DD7BD1">
        <w:rPr>
          <w:rFonts w:ascii="Calibri" w:eastAsiaTheme="minorHAnsi" w:hAnsi="Calibri" w:cs="Calibri"/>
          <w:b w:val="0"/>
          <w:bCs w:val="0"/>
          <w:kern w:val="0"/>
          <w:sz w:val="22"/>
          <w:szCs w:val="22"/>
        </w:rPr>
        <w:t>have</w:t>
      </w:r>
      <w:proofErr w:type="gramEnd"/>
      <w:r w:rsidRPr="00DD7BD1">
        <w:rPr>
          <w:rFonts w:ascii="Calibri" w:eastAsiaTheme="minorHAnsi" w:hAnsi="Calibri" w:cs="Calibri"/>
          <w:b w:val="0"/>
          <w:bCs w:val="0"/>
          <w:kern w:val="0"/>
          <w:sz w:val="22"/>
          <w:szCs w:val="22"/>
        </w:rPr>
        <w:t xml:space="preser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350B2364"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Interested in learning or reading more.  Access a recent March 19</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article released by Holland &amp; Knight </w:t>
      </w:r>
      <w:hyperlink r:id="rId349" w:history="1">
        <w:r w:rsidRPr="00DD7BD1">
          <w:rPr>
            <w:rStyle w:val="Hyperlink"/>
            <w:rFonts w:ascii="Calibri" w:eastAsiaTheme="minorHAnsi" w:hAnsi="Calibri" w:cs="Calibri"/>
            <w:b w:val="0"/>
            <w:bCs w:val="0"/>
            <w:kern w:val="0"/>
            <w:sz w:val="22"/>
            <w:szCs w:val="22"/>
          </w:rPr>
          <w:t>HERE</w:t>
        </w:r>
      </w:hyperlink>
    </w:p>
    <w:p w14:paraId="0759733F"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DA6E90B"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Corporate Transparency Act – Enforcement Paused</w:t>
      </w:r>
    </w:p>
    <w:p w14:paraId="57470477"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Feb. 27, 2025, FinCEN </w:t>
      </w:r>
      <w:hyperlink r:id="rId350" w:history="1">
        <w:r w:rsidRPr="00DD7BD1">
          <w:rPr>
            <w:rStyle w:val="Hyperlink"/>
            <w:rFonts w:ascii="Calibri" w:eastAsiaTheme="minorHAnsi" w:hAnsi="Calibri" w:cs="Calibri"/>
            <w:b w:val="0"/>
            <w:bCs w:val="0"/>
            <w:kern w:val="0"/>
            <w:sz w:val="22"/>
            <w:szCs w:val="22"/>
          </w:rPr>
          <w:t>announced</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the CTA reporting requirements and would issue an interim final rule in the coming weeks. </w:t>
      </w:r>
    </w:p>
    <w:p w14:paraId="5A832F48"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March 2, 2025, the Department of the Treasury issued an additional </w:t>
      </w:r>
      <w:hyperlink r:id="rId351" w:history="1">
        <w:r w:rsidRPr="00DD7BD1">
          <w:rPr>
            <w:rStyle w:val="Hyperlink"/>
            <w:rFonts w:ascii="Calibri" w:eastAsiaTheme="minorHAnsi" w:hAnsi="Calibri" w:cs="Calibri"/>
            <w:b w:val="0"/>
            <w:bCs w:val="0"/>
            <w:kern w:val="0"/>
            <w:sz w:val="22"/>
            <w:szCs w:val="22"/>
          </w:rPr>
          <w:t>announcement</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penalties under the CTA.</w:t>
      </w:r>
    </w:p>
    <w:p w14:paraId="75B9C621"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This, even though on February 18, a federal court reinstated the </w:t>
      </w:r>
      <w:hyperlink r:id="rId352" w:history="1">
        <w:r w:rsidRPr="00DD7BD1">
          <w:rPr>
            <w:rStyle w:val="Hyperlink"/>
            <w:rFonts w:ascii="Calibri" w:eastAsiaTheme="minorHAnsi" w:hAnsi="Calibri" w:cs="Calibri"/>
            <w:b w:val="0"/>
            <w:bCs w:val="0"/>
            <w:kern w:val="0"/>
            <w:sz w:val="22"/>
            <w:szCs w:val="22"/>
          </w:rPr>
          <w:t>Corporate Transparency Act</w:t>
        </w:r>
      </w:hyperlink>
      <w:r w:rsidRPr="00DD7BD1">
        <w:rPr>
          <w:rFonts w:ascii="Calibri" w:eastAsiaTheme="minorHAnsi" w:hAnsi="Calibri" w:cs="Calibri"/>
          <w:b w:val="0"/>
          <w:bCs w:val="0"/>
          <w:kern w:val="0"/>
          <w:sz w:val="22"/>
          <w:szCs w:val="22"/>
        </w:rPr>
        <w:t xml:space="preserve">’s (CTA) reporting requirements, and the U.S. Department of the Treasury’s Financial Crimes Enforcement Network (FinCEN) </w:t>
      </w:r>
      <w:hyperlink r:id="rId353" w:history="1">
        <w:r w:rsidRPr="00DD7BD1">
          <w:rPr>
            <w:rStyle w:val="Hyperlink"/>
            <w:rFonts w:ascii="Calibri" w:eastAsiaTheme="minorHAnsi" w:hAnsi="Calibri" w:cs="Calibri"/>
            <w:b w:val="0"/>
            <w:bCs w:val="0"/>
            <w:kern w:val="0"/>
            <w:sz w:val="22"/>
            <w:szCs w:val="22"/>
          </w:rPr>
          <w:t>extended</w:t>
        </w:r>
      </w:hyperlink>
      <w:r w:rsidRPr="00DD7BD1">
        <w:rPr>
          <w:rFonts w:ascii="Calibri" w:eastAsiaTheme="minorHAnsi" w:hAnsi="Calibri" w:cs="Calibri"/>
          <w:b w:val="0"/>
          <w:bCs w:val="0"/>
          <w:kern w:val="0"/>
          <w:sz w:val="22"/>
          <w:szCs w:val="22"/>
        </w:rPr>
        <w:t xml:space="preserve"> the CTA reporting deadline for most entities.</w:t>
      </w:r>
    </w:p>
    <w:p w14:paraId="72F2CC2F"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67900C00"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1C294F9E" w14:textId="77777777" w:rsidR="00052D10" w:rsidRPr="00DD7BD1" w:rsidRDefault="00052D10">
      <w:pPr>
        <w:pStyle w:val="Heading1"/>
        <w:numPr>
          <w:ilvl w:val="0"/>
          <w:numId w:val="141"/>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the CTA reporting requirements are </w:t>
      </w:r>
      <w:r w:rsidRPr="00DD7BD1">
        <w:rPr>
          <w:rFonts w:ascii="Calibri" w:hAnsi="Calibri" w:cs="Calibri"/>
          <w:color w:val="000000" w:themeColor="text1"/>
          <w:sz w:val="22"/>
          <w:szCs w:val="22"/>
        </w:rPr>
        <w:t>not currently enforced</w:t>
      </w:r>
      <w:r w:rsidRPr="00DD7BD1">
        <w:rPr>
          <w:rFonts w:ascii="Calibri" w:hAnsi="Calibri" w:cs="Calibri"/>
          <w:b w:val="0"/>
          <w:bCs w:val="0"/>
          <w:color w:val="000000" w:themeColor="text1"/>
          <w:sz w:val="22"/>
          <w:szCs w:val="22"/>
        </w:rPr>
        <w:t>, the CTA and its implementing regulations remain in effect and FinCEN is still accepting BOI reports.</w:t>
      </w:r>
    </w:p>
    <w:p w14:paraId="6BF6D811" w14:textId="5D877C72" w:rsidR="00052D10" w:rsidRPr="00DD7BD1" w:rsidRDefault="00052D10">
      <w:pPr>
        <w:pStyle w:val="H2Subhead"/>
        <w:numPr>
          <w:ilvl w:val="0"/>
          <w:numId w:val="141"/>
        </w:numPr>
        <w:rPr>
          <w:rFonts w:ascii="Calibri" w:eastAsia="Times New Roman" w:hAnsi="Calibri" w:cs="Calibri"/>
          <w:b w:val="0"/>
          <w:color w:val="000000" w:themeColor="text1"/>
          <w:kern w:val="36"/>
        </w:rPr>
      </w:pPr>
      <w:r w:rsidRPr="00DD7BD1">
        <w:rPr>
          <w:rFonts w:ascii="Calibri" w:eastAsia="Times New Roman" w:hAnsi="Calibri" w:cs="Calibri"/>
          <w:b w:val="0"/>
          <w:color w:val="000000" w:themeColor="text1"/>
          <w:kern w:val="36"/>
        </w:rPr>
        <w:t xml:space="preserve">Employers should anticipate significant uncertainty and monitor for updates from the government and </w:t>
      </w:r>
      <w:proofErr w:type="gramStart"/>
      <w:r w:rsidRPr="00DD7BD1">
        <w:rPr>
          <w:rFonts w:ascii="Calibri" w:eastAsia="Times New Roman" w:hAnsi="Calibri" w:cs="Calibri"/>
          <w:b w:val="0"/>
          <w:color w:val="000000" w:themeColor="text1"/>
          <w:kern w:val="36"/>
        </w:rPr>
        <w:t>pursuant to</w:t>
      </w:r>
      <w:proofErr w:type="gramEnd"/>
      <w:r w:rsidRPr="00DD7BD1">
        <w:rPr>
          <w:rFonts w:ascii="Calibri" w:eastAsia="Times New Roman" w:hAnsi="Calibri" w:cs="Calibri"/>
          <w:b w:val="0"/>
          <w:color w:val="000000" w:themeColor="text1"/>
          <w:kern w:val="36"/>
        </w:rPr>
        <w:t xml:space="preserve"> ongoing legal challenges.  ETC will continue to provide updates as released</w:t>
      </w:r>
    </w:p>
    <w:p w14:paraId="77CC069F" w14:textId="77777777" w:rsidR="00052D10" w:rsidRPr="00DD7BD1" w:rsidRDefault="00052D10" w:rsidP="00052D10">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New for Federal Contractors: </w:t>
      </w:r>
      <w:r w:rsidRPr="00DD7BD1">
        <w:rPr>
          <w:rFonts w:ascii="Calibri" w:eastAsiaTheme="minorHAnsi" w:hAnsi="Calibri" w:cs="Calibri"/>
          <w:kern w:val="0"/>
          <w:sz w:val="28"/>
          <w:szCs w:val="28"/>
        </w:rPr>
        <w:t>Federal Contractor Minimum Wage Executive Order Revoked</w:t>
      </w:r>
    </w:p>
    <w:p w14:paraId="69270B1A"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After years of costly 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w:t>
      </w:r>
      <w:proofErr w:type="gramStart"/>
      <w:r w:rsidRPr="00DD7BD1">
        <w:rPr>
          <w:rFonts w:ascii="Calibri" w:eastAsiaTheme="minorHAnsi" w:hAnsi="Calibri" w:cs="Calibri"/>
          <w:b w:val="0"/>
          <w:bCs w:val="0"/>
          <w:kern w:val="0"/>
          <w:sz w:val="22"/>
          <w:szCs w:val="22"/>
        </w:rPr>
        <w:t>entered into</w:t>
      </w:r>
      <w:proofErr w:type="gramEnd"/>
      <w:r w:rsidRPr="00DD7BD1">
        <w:rPr>
          <w:rFonts w:ascii="Calibri" w:eastAsiaTheme="minorHAnsi" w:hAnsi="Calibri" w:cs="Calibri"/>
          <w:b w:val="0"/>
          <w:bCs w:val="0"/>
          <w:kern w:val="0"/>
          <w:sz w:val="22"/>
          <w:szCs w:val="22"/>
        </w:rPr>
        <w:t xml:space="preserve"> on or after the date, to $15.00 per hours. That minimum wage has since increased to $17.75.</w:t>
      </w:r>
    </w:p>
    <w:p w14:paraId="19E1E2B4"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9C2C958"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DD7BD1" w:rsidRDefault="00052D10" w:rsidP="00052D10">
      <w:pPr>
        <w:pStyle w:val="Heading1"/>
        <w:shd w:val="clear" w:color="auto" w:fill="FFFFFF"/>
        <w:spacing w:before="0" w:beforeAutospacing="0" w:after="0" w:afterAutospacing="0"/>
        <w:ind w:left="1440"/>
        <w:rPr>
          <w:rFonts w:ascii="Calibri" w:hAnsi="Calibri" w:cs="Calibri"/>
          <w:b w:val="0"/>
          <w:bCs w:val="0"/>
          <w:color w:val="000000" w:themeColor="text1"/>
          <w:sz w:val="22"/>
          <w:szCs w:val="22"/>
        </w:rPr>
      </w:pPr>
    </w:p>
    <w:p w14:paraId="394A3D92"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w:t>
      </w:r>
      <w:proofErr w:type="gramStart"/>
      <w:r w:rsidRPr="00DD7BD1">
        <w:rPr>
          <w:rFonts w:ascii="Calibri" w:hAnsi="Calibri" w:cs="Calibri"/>
          <w:b w:val="0"/>
          <w:bCs w:val="0"/>
          <w:color w:val="000000" w:themeColor="text1"/>
          <w:kern w:val="0"/>
          <w:sz w:val="22"/>
          <w:szCs w:val="22"/>
        </w:rPr>
        <w:t>entered into</w:t>
      </w:r>
      <w:proofErr w:type="gramEnd"/>
      <w:r w:rsidRPr="00DD7BD1">
        <w:rPr>
          <w:rFonts w:ascii="Calibri" w:hAnsi="Calibri" w:cs="Calibri"/>
          <w:b w:val="0"/>
          <w:bCs w:val="0"/>
          <w:color w:val="000000" w:themeColor="text1"/>
          <w:kern w:val="0"/>
          <w:sz w:val="22"/>
          <w:szCs w:val="22"/>
        </w:rPr>
        <w:t xml:space="preserve">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p>
    <w:p w14:paraId="456B610B" w14:textId="2E7BFAF9" w:rsidR="00A83553" w:rsidRPr="00DD7BD1" w:rsidRDefault="00052D10" w:rsidP="00052D10">
      <w:pPr>
        <w:pStyle w:val="Heading1"/>
        <w:pBdr>
          <w:bottom w:val="dotted" w:sz="24" w:space="1" w:color="auto"/>
        </w:pBdr>
        <w:shd w:val="clear" w:color="auto" w:fill="FFFFFF"/>
        <w:spacing w:before="0" w:beforeAutospacing="0" w:after="0" w:afterAutospacing="0"/>
        <w:rPr>
          <w:rFonts w:ascii="Calibri" w:eastAsiaTheme="minorHAnsi" w:hAnsi="Calibri" w:cs="Calibri"/>
          <w:kern w:val="0"/>
          <w:sz w:val="28"/>
          <w:szCs w:val="28"/>
        </w:rPr>
      </w:pPr>
      <w:r w:rsidRPr="00DD7BD1">
        <w:rPr>
          <w:rFonts w:ascii="Calibri" w:hAnsi="Calibri" w:cs="Calibri"/>
          <w:b w:val="0"/>
          <w:bCs w:val="0"/>
          <w:color w:val="000000" w:themeColor="text1"/>
          <w:kern w:val="0"/>
          <w:sz w:val="22"/>
          <w:szCs w:val="22"/>
        </w:rPr>
        <w:t xml:space="preserve">Further guidance from the Department of Labor is expected.  At present, </w:t>
      </w:r>
      <w:r w:rsidRPr="00DD7BD1">
        <w:rPr>
          <w:rFonts w:ascii="Calibri" w:hAnsi="Calibri" w:cs="Calibri"/>
          <w:color w:val="000000" w:themeColor="text1"/>
          <w:kern w:val="0"/>
          <w:sz w:val="22"/>
          <w:szCs w:val="22"/>
        </w:rPr>
        <w:t xml:space="preserve">if you are paying </w:t>
      </w:r>
      <w:r w:rsidRPr="00DD7BD1">
        <w:rPr>
          <w:rFonts w:ascii="Calibri" w:eastAsiaTheme="minorHAnsi" w:hAnsi="Calibri" w:cs="Calibri"/>
          <w:kern w:val="0"/>
          <w:sz w:val="22"/>
          <w:szCs w:val="22"/>
        </w:rPr>
        <w:t xml:space="preserve">workers on federal contracts </w:t>
      </w:r>
      <w:proofErr w:type="gramStart"/>
      <w:r w:rsidRPr="00DD7BD1">
        <w:rPr>
          <w:rFonts w:ascii="Calibri" w:eastAsiaTheme="minorHAnsi" w:hAnsi="Calibri" w:cs="Calibri"/>
          <w:kern w:val="0"/>
          <w:sz w:val="22"/>
          <w:szCs w:val="22"/>
        </w:rPr>
        <w:t>entered into</w:t>
      </w:r>
      <w:proofErr w:type="gramEnd"/>
      <w:r w:rsidRPr="00DD7BD1">
        <w:rPr>
          <w:rFonts w:ascii="Calibri" w:eastAsiaTheme="minorHAnsi" w:hAnsi="Calibri" w:cs="Calibri"/>
          <w:kern w:val="0"/>
          <w:sz w:val="22"/>
          <w:szCs w:val="22"/>
        </w:rPr>
        <w:t xml:space="preserve"> on or after January 1, 2015, less than $13.30 per hour, you may wish to seek counsel</w:t>
      </w:r>
      <w:r w:rsidRPr="00DD7BD1">
        <w:rPr>
          <w:rFonts w:ascii="Calibri" w:hAnsi="Calibri" w:cs="Calibri"/>
          <w:color w:val="000000" w:themeColor="text1"/>
          <w:kern w:val="0"/>
          <w:sz w:val="22"/>
          <w:szCs w:val="22"/>
        </w:rPr>
        <w:t>.</w:t>
      </w:r>
      <w:bookmarkStart w:id="21" w:name="_Hlk194317623"/>
    </w:p>
    <w:bookmarkEnd w:id="21"/>
    <w:p w14:paraId="55D470D6" w14:textId="77777777" w:rsidR="00D15798" w:rsidRPr="00DD7BD1" w:rsidRDefault="00D15798"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2"/>
          <w:szCs w:val="22"/>
        </w:rPr>
      </w:pPr>
    </w:p>
    <w:p w14:paraId="2611666B" w14:textId="45BBEF34" w:rsidR="009A459C" w:rsidRPr="00DD7BD1" w:rsidRDefault="009A459C"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r w:rsidRPr="00DD7BD1">
        <w:rPr>
          <w:rFonts w:ascii="Calibri" w:eastAsiaTheme="minorHAnsi" w:hAnsi="Calibri" w:cs="Calibri"/>
          <w:color w:val="C00000"/>
          <w:kern w:val="0"/>
          <w:sz w:val="28"/>
          <w:szCs w:val="28"/>
        </w:rPr>
        <w:lastRenderedPageBreak/>
        <w:t xml:space="preserve">Update: </w:t>
      </w:r>
      <w:r w:rsidRPr="00DD7BD1">
        <w:rPr>
          <w:rFonts w:ascii="Calibri" w:eastAsiaTheme="minorHAnsi" w:hAnsi="Calibri" w:cs="Calibri"/>
          <w:kern w:val="0"/>
          <w:sz w:val="28"/>
          <w:szCs w:val="28"/>
        </w:rPr>
        <w:t>IRS Issues Guidance on Alternative Distribution Method for Form 1095-C</w:t>
      </w:r>
    </w:p>
    <w:p w14:paraId="0492DBA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As part of the Paperwork Burden Reduction Act, signed into law on December 23, 2024, Internal Revenue Code (IRC) sections 6055(c) and 6056(c) were amended to allow the use of </w:t>
      </w:r>
      <w:r w:rsidRPr="00DD7BD1">
        <w:rPr>
          <w:rFonts w:ascii="Calibri" w:eastAsiaTheme="minorHAnsi" w:hAnsi="Calibri" w:cs="Calibri"/>
          <w:b w:val="0"/>
          <w:bCs w:val="0"/>
          <w:color w:val="C00000"/>
          <w:kern w:val="0"/>
          <w:sz w:val="22"/>
          <w:szCs w:val="22"/>
        </w:rPr>
        <w:t xml:space="preserve">the alternative method for distributing Forms 1095-B and 1095-C. </w:t>
      </w:r>
    </w:p>
    <w:p w14:paraId="11018C22"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0369AE80"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Basically stated, employers were given the green light to simply post a general notice of availability instead of being required to individually distribute Form 1095-C.</w:t>
      </w:r>
    </w:p>
    <w:p w14:paraId="0858162E"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3657A69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on using the alternative method to distribute Form 1095-C was issued by the IRS on February 21, 2025</w:t>
      </w:r>
    </w:p>
    <w:p w14:paraId="5B9F04C9" w14:textId="77777777" w:rsidR="009A459C" w:rsidRPr="00DD7BD1" w:rsidRDefault="009A459C" w:rsidP="009A459C">
      <w:pPr>
        <w:pStyle w:val="Heading1"/>
        <w:spacing w:before="0" w:beforeAutospacing="0" w:after="0" w:afterAutospacing="0"/>
        <w:rPr>
          <w:rFonts w:ascii="Calibri" w:hAnsi="Calibri" w:cs="Calibri"/>
          <w:b w:val="0"/>
          <w:bCs w:val="0"/>
          <w:sz w:val="12"/>
          <w:szCs w:val="12"/>
        </w:rPr>
      </w:pPr>
    </w:p>
    <w:p w14:paraId="7E877E9D" w14:textId="77777777" w:rsidR="009A459C" w:rsidRPr="00DD7BD1" w:rsidRDefault="009A459C" w:rsidP="009A459C">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 those employers considering utilizing this alternative method for distribution of Form 1095-C, here are some key points of the requirements:</w:t>
      </w:r>
    </w:p>
    <w:p w14:paraId="2F1146F2" w14:textId="77777777" w:rsidR="009A459C" w:rsidRPr="00DD7BD1" w:rsidRDefault="009A459C">
      <w:pPr>
        <w:pStyle w:val="NormalWeb"/>
        <w:numPr>
          <w:ilvl w:val="0"/>
          <w:numId w:val="132"/>
        </w:numPr>
        <w:spacing w:before="0" w:beforeAutospacing="0" w:after="0"/>
        <w:rPr>
          <w:rFonts w:ascii="Calibri" w:hAnsi="Calibri" w:cs="Calibri"/>
          <w:kern w:val="36"/>
          <w:sz w:val="22"/>
          <w:szCs w:val="22"/>
        </w:rPr>
      </w:pPr>
      <w:r w:rsidRPr="00DD7BD1">
        <w:rPr>
          <w:rFonts w:ascii="Calibri" w:hAnsi="Calibri" w:cs="Calibri"/>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posted by the Form 1095-C due date for providing the form, including the automatic 30-day extension. For 2024 forms, that date is March 3, 2025.</w:t>
      </w:r>
    </w:p>
    <w:p w14:paraId="582D8DB4"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remain on the website through Oct. 15 of the year following the year which the Form 1095-C relates. For 2024 forms, that date is Oct.15, 2025.</w:t>
      </w:r>
    </w:p>
    <w:p w14:paraId="66A225B4"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758D5922"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refers to the following example as a compliant notice:</w:t>
      </w:r>
    </w:p>
    <w:p w14:paraId="4AA15906" w14:textId="77777777" w:rsidR="009A459C" w:rsidRPr="00DD7BD1" w:rsidRDefault="009A459C">
      <w:pPr>
        <w:pStyle w:val="NormalWeb"/>
        <w:numPr>
          <w:ilvl w:val="0"/>
          <w:numId w:val="133"/>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180CF133"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0EF3E479"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629C6D13" w14:textId="02E97D1D"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IRS’ recent released guidance </w:t>
      </w:r>
      <w:hyperlink r:id="rId354" w:history="1">
        <w:r w:rsidRPr="00DD7BD1">
          <w:rPr>
            <w:rStyle w:val="Hyperlink"/>
            <w:rFonts w:ascii="Calibri" w:hAnsi="Calibri" w:cs="Calibri"/>
            <w:b/>
            <w:bCs/>
            <w:spacing w:val="3"/>
            <w:sz w:val="22"/>
            <w:szCs w:val="22"/>
          </w:rPr>
          <w:t>Notice 2025-15</w:t>
        </w:r>
      </w:hyperlink>
      <w:r w:rsidRPr="00DD7BD1">
        <w:rPr>
          <w:rFonts w:ascii="Calibri" w:hAnsi="Calibri" w:cs="Calibri"/>
          <w:spacing w:val="3"/>
          <w:sz w:val="22"/>
          <w:szCs w:val="22"/>
        </w:rPr>
        <w:t> </w:t>
      </w:r>
    </w:p>
    <w:p w14:paraId="5DD87E97"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57D938C0" w14:textId="77777777" w:rsidR="009A459C" w:rsidRPr="00DD7BD1" w:rsidRDefault="009A459C" w:rsidP="009A459C">
      <w:pPr>
        <w:pStyle w:val="NormalWeb"/>
        <w:spacing w:before="0" w:beforeAutospacing="0" w:after="0" w:afterAutospacing="0"/>
        <w:jc w:val="center"/>
        <w:rPr>
          <w:rFonts w:ascii="Calibri" w:hAnsi="Calibri" w:cs="Calibri"/>
          <w:color w:val="292929"/>
          <w:spacing w:val="3"/>
          <w:sz w:val="28"/>
          <w:szCs w:val="28"/>
        </w:rPr>
      </w:pPr>
      <w:bookmarkStart w:id="22" w:name="_Hlk192688553"/>
      <w:r w:rsidRPr="00DD7BD1">
        <w:rPr>
          <w:rFonts w:ascii="Calibri" w:hAnsi="Calibri" w:cs="Calibri"/>
          <w:b/>
          <w:bCs/>
          <w:color w:val="292929"/>
          <w:spacing w:val="3"/>
          <w:sz w:val="28"/>
          <w:szCs w:val="28"/>
        </w:rPr>
        <w:t>NLRB Rescinds Biden-Era Policy Guidance on Non-Compete Agreements</w:t>
      </w:r>
    </w:p>
    <w:bookmarkEnd w:id="22"/>
    <w:p w14:paraId="4363042D" w14:textId="77777777" w:rsidR="009A459C" w:rsidRPr="00DD7BD1" w:rsidRDefault="009A459C" w:rsidP="009A459C">
      <w:pPr>
        <w:pStyle w:val="NormalWeb"/>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On February 14, 2025, NLRB Acting General Counsel William B. Cowan rescinded </w:t>
      </w:r>
      <w:proofErr w:type="gramStart"/>
      <w:r w:rsidRPr="00DD7BD1">
        <w:rPr>
          <w:rFonts w:ascii="Calibri" w:hAnsi="Calibri" w:cs="Calibri"/>
          <w:spacing w:val="3"/>
          <w:sz w:val="22"/>
          <w:szCs w:val="22"/>
        </w:rPr>
        <w:t>a number of</w:t>
      </w:r>
      <w:proofErr w:type="gramEnd"/>
      <w:r w:rsidRPr="00DD7BD1">
        <w:rPr>
          <w:rFonts w:ascii="Calibri" w:hAnsi="Calibri" w:cs="Calibri"/>
          <w:spacing w:val="3"/>
          <w:sz w:val="22"/>
          <w:szCs w:val="22"/>
        </w:rPr>
        <w:t xml:space="preserve">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w:t>
      </w:r>
      <w:proofErr w:type="gramStart"/>
      <w:r w:rsidRPr="00DD7BD1">
        <w:rPr>
          <w:rFonts w:ascii="Calibri" w:hAnsi="Calibri" w:cs="Calibri"/>
          <w:spacing w:val="3"/>
          <w:sz w:val="22"/>
          <w:szCs w:val="22"/>
        </w:rPr>
        <w:t>reflect</w:t>
      </w:r>
      <w:proofErr w:type="gramEnd"/>
      <w:r w:rsidRPr="00DD7BD1">
        <w:rPr>
          <w:rFonts w:ascii="Calibri" w:hAnsi="Calibri" w:cs="Calibri"/>
          <w:spacing w:val="3"/>
          <w:sz w:val="22"/>
          <w:szCs w:val="22"/>
        </w:rPr>
        <w:t xml:space="preserve"> a marked shift in priorities of the agency under the Trump administration towards more pro-employer positions.</w:t>
      </w:r>
    </w:p>
    <w:p w14:paraId="674C329F" w14:textId="22341063"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The rescission of these memos and other Biden administration policy memoranda </w:t>
      </w:r>
      <w:proofErr w:type="gramStart"/>
      <w:r w:rsidRPr="00DD7BD1">
        <w:rPr>
          <w:rFonts w:ascii="Calibri" w:hAnsi="Calibri" w:cs="Calibri"/>
          <w:spacing w:val="3"/>
          <w:sz w:val="22"/>
          <w:szCs w:val="22"/>
        </w:rPr>
        <w:t>reflect</w:t>
      </w:r>
      <w:proofErr w:type="gramEnd"/>
      <w:r w:rsidRPr="00DD7BD1">
        <w:rPr>
          <w:rFonts w:ascii="Calibri" w:hAnsi="Calibri" w:cs="Calibri"/>
          <w:spacing w:val="3"/>
          <w:sz w:val="22"/>
          <w:szCs w:val="22"/>
        </w:rPr>
        <w:t xml:space="preserve">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DD7BD1">
        <w:rPr>
          <w:rFonts w:ascii="Calibri" w:hAnsi="Calibri" w:cs="Calibri"/>
          <w:spacing w:val="3"/>
          <w:sz w:val="22"/>
          <w:szCs w:val="22"/>
        </w:rPr>
        <w:t>take action</w:t>
      </w:r>
      <w:proofErr w:type="gramEnd"/>
      <w:r w:rsidRPr="00DD7BD1">
        <w:rPr>
          <w:rFonts w:ascii="Calibri" w:hAnsi="Calibri" w:cs="Calibri"/>
          <w:spacing w:val="3"/>
          <w:sz w:val="22"/>
          <w:szCs w:val="22"/>
        </w:rPr>
        <w:t xml:space="preserve"> aimed at restrictive employment federally, employers are reminded that individual state regulations regarding non-competes should be adhered to by employers.</w:t>
      </w:r>
    </w:p>
    <w:p w14:paraId="46E58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A89B33A"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3" w:name="_Hlk192688562"/>
      <w:r w:rsidRPr="00DD7BD1">
        <w:rPr>
          <w:rFonts w:ascii="Calibri" w:hAnsi="Calibri" w:cs="Calibri"/>
          <w:color w:val="C00000"/>
          <w:kern w:val="0"/>
          <w:sz w:val="28"/>
          <w:szCs w:val="28"/>
        </w:rPr>
        <w:t xml:space="preserve">Update: </w:t>
      </w:r>
      <w:r w:rsidRPr="00DD7BD1">
        <w:rPr>
          <w:rFonts w:ascii="Calibri" w:hAnsi="Calibri" w:cs="Calibri"/>
          <w:color w:val="000000" w:themeColor="text1"/>
          <w:kern w:val="0"/>
          <w:sz w:val="28"/>
          <w:szCs w:val="28"/>
        </w:rPr>
        <w:t xml:space="preserve">Federal Court Blocks Aspects of </w:t>
      </w:r>
      <w:r w:rsidRPr="00DD7BD1">
        <w:rPr>
          <w:rFonts w:ascii="Calibri" w:hAnsi="Calibri" w:cs="Calibri"/>
          <w:color w:val="000000" w:themeColor="text1"/>
          <w:sz w:val="28"/>
          <w:szCs w:val="28"/>
        </w:rPr>
        <w:t>Executive Orders Targeting DEI Efforts</w:t>
      </w:r>
      <w:r w:rsidRPr="00DD7BD1">
        <w:rPr>
          <w:rFonts w:ascii="Calibri" w:hAnsi="Calibri" w:cs="Calibri"/>
          <w:b w:val="0"/>
          <w:bCs w:val="0"/>
          <w:color w:val="000000" w:themeColor="text1"/>
          <w:sz w:val="24"/>
          <w:szCs w:val="24"/>
        </w:rPr>
        <w:t xml:space="preserve"> </w:t>
      </w:r>
    </w:p>
    <w:bookmarkEnd w:id="23"/>
    <w:p w14:paraId="7FAD847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lastRenderedPageBreak/>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7017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challenged executive orders are Executive Order 14151, “Ending Radical and Wasteful Government DEI Programs and Preferencing,” and Executive Order 14173, “Ending Illegal Discrimination and Restoring Merit-Based Opportunity.” The court’s injunction applies to </w:t>
      </w:r>
      <w:proofErr w:type="gramStart"/>
      <w:r w:rsidRPr="00DD7BD1">
        <w:rPr>
          <w:rFonts w:ascii="Calibri" w:hAnsi="Calibri" w:cs="Calibri"/>
          <w:b w:val="0"/>
          <w:bCs w:val="0"/>
          <w:color w:val="000000" w:themeColor="text1"/>
          <w:kern w:val="0"/>
          <w:sz w:val="22"/>
          <w:szCs w:val="22"/>
        </w:rPr>
        <w:t>all of</w:t>
      </w:r>
      <w:proofErr w:type="gramEnd"/>
      <w:r w:rsidRPr="00DD7BD1">
        <w:rPr>
          <w:rFonts w:ascii="Calibri" w:hAnsi="Calibri" w:cs="Calibri"/>
          <w:b w:val="0"/>
          <w:bCs w:val="0"/>
          <w:color w:val="000000" w:themeColor="text1"/>
          <w:kern w:val="0"/>
          <w:sz w:val="22"/>
          <w:szCs w:val="22"/>
        </w:rPr>
        <w:t xml:space="preserve">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2CFFC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temporary injunction has nationwide effect and applies to all federal contractors and grantees as well as other private entities that may be subject to the Enforcement Threat Provision and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B7F13B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This case is likely to generate further litigation along with the legal challenge </w:t>
      </w:r>
      <w:hyperlink r:id="rId355" w:tgtFrame="_blank" w:history="1">
        <w:r w:rsidRPr="00DD7BD1">
          <w:rPr>
            <w:rStyle w:val="Hyperlink"/>
            <w:rFonts w:ascii="Calibri" w:hAnsi="Calibri" w:cs="Calibri"/>
            <w:b w:val="0"/>
            <w:bCs w:val="0"/>
            <w:kern w:val="0"/>
            <w:sz w:val="22"/>
            <w:szCs w:val="22"/>
          </w:rPr>
          <w:t>filed</w:t>
        </w:r>
      </w:hyperlink>
      <w:r w:rsidRPr="00DD7BD1">
        <w:rPr>
          <w:rFonts w:ascii="Calibri" w:hAnsi="Calibri" w:cs="Calibri"/>
          <w:b w:val="0"/>
          <w:bCs w:val="0"/>
          <w:color w:val="000000" w:themeColor="text1"/>
          <w:kern w:val="0"/>
          <w:sz w:val="22"/>
          <w:szCs w:val="22"/>
        </w:rPr>
        <w:t xml:space="preserve"> recently in Washington, D.C. federal court. </w:t>
      </w:r>
    </w:p>
    <w:p w14:paraId="568CC08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532464F3"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4" w:name="_Hlk192688567"/>
      <w:r w:rsidRPr="00DD7BD1">
        <w:rPr>
          <w:rFonts w:ascii="Calibri" w:hAnsi="Calibri" w:cs="Calibri"/>
          <w:color w:val="C00000"/>
          <w:kern w:val="0"/>
          <w:sz w:val="28"/>
          <w:szCs w:val="28"/>
        </w:rPr>
        <w:t>Update:</w:t>
      </w:r>
      <w:r w:rsidRPr="00DD7BD1">
        <w:rPr>
          <w:rFonts w:ascii="Calibri" w:hAnsi="Calibri" w:cs="Calibri"/>
          <w:b w:val="0"/>
          <w:bCs w:val="0"/>
          <w:color w:val="C00000"/>
          <w:kern w:val="0"/>
          <w:sz w:val="28"/>
          <w:szCs w:val="28"/>
        </w:rPr>
        <w:t xml:space="preserve"> </w:t>
      </w:r>
      <w:r w:rsidRPr="00DD7BD1">
        <w:rPr>
          <w:rFonts w:ascii="Calibri" w:hAnsi="Calibri" w:cs="Calibri"/>
          <w:color w:val="000000" w:themeColor="text1"/>
          <w:kern w:val="0"/>
          <w:sz w:val="28"/>
          <w:szCs w:val="28"/>
        </w:rPr>
        <w:t>Federal Government Contractors May No Longer Have 90 Days to Comply With Trump Administration’s DEI Executive Order</w:t>
      </w:r>
    </w:p>
    <w:bookmarkEnd w:id="24"/>
    <w:p w14:paraId="3641B3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As previously reported President Trump issued Executive Order 14173, “Ending Illegal Discrimination and Restoring Merit-Based Opportunity,” issued on January 21, 2025. 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5C3A12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Update: On February 15, 2025, the </w:t>
      </w:r>
      <w:r w:rsidRPr="00DD7BD1">
        <w:rPr>
          <w:rFonts w:ascii="Calibri" w:hAnsi="Calibri" w:cs="Calibri"/>
          <w:color w:val="000000" w:themeColor="text1"/>
          <w:kern w:val="0"/>
          <w:sz w:val="22"/>
          <w:szCs w:val="22"/>
        </w:rPr>
        <w:t>U.S. General Services Administration</w:t>
      </w:r>
      <w:r w:rsidRPr="00DD7BD1">
        <w:rPr>
          <w:rFonts w:ascii="Calibri" w:hAnsi="Calibri" w:cs="Calibri"/>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DD7BD1">
        <w:rPr>
          <w:rFonts w:ascii="Calibri" w:hAnsi="Calibri" w:cs="Calibri"/>
          <w:b w:val="0"/>
          <w:bCs w:val="0"/>
          <w:color w:val="000000" w:themeColor="text1"/>
          <w:kern w:val="0"/>
          <w:sz w:val="22"/>
          <w:szCs w:val="22"/>
          <w:u w:val="single"/>
        </w:rPr>
        <w:t>before April 21, 2025</w:t>
      </w:r>
      <w:r w:rsidRPr="00DD7BD1">
        <w:rPr>
          <w:rFonts w:ascii="Calibri" w:hAnsi="Calibri" w:cs="Calibri"/>
          <w:b w:val="0"/>
          <w:bCs w:val="0"/>
          <w:color w:val="000000" w:themeColor="text1"/>
          <w:kern w:val="0"/>
          <w:sz w:val="22"/>
          <w:szCs w:val="22"/>
        </w:rPr>
        <w:t>.</w:t>
      </w:r>
    </w:p>
    <w:p w14:paraId="0D0B1CF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E6396A8" w14:textId="77777777" w:rsidR="009A459C" w:rsidRPr="00DD7BD1" w:rsidRDefault="009A459C" w:rsidP="009A459C">
      <w:pPr>
        <w:pStyle w:val="Heading1"/>
        <w:shd w:val="clear" w:color="auto" w:fill="FFFFFF"/>
        <w:spacing w:before="0" w:beforeAutospacing="0" w:after="0" w:afterAutospacing="0"/>
        <w:rPr>
          <w:rFonts w:ascii="Calibri" w:hAnsi="Calibri" w:cs="Calibri"/>
        </w:rPr>
      </w:pPr>
      <w:r w:rsidRPr="00DD7BD1">
        <w:rPr>
          <w:rFonts w:ascii="Calibri" w:hAnsi="Calibri" w:cs="Calibri"/>
          <w:b w:val="0"/>
          <w:bCs w:val="0"/>
          <w:color w:val="000000" w:themeColor="text1"/>
          <w:kern w:val="0"/>
          <w:sz w:val="22"/>
          <w:szCs w:val="22"/>
        </w:rPr>
        <w:t>To read more about recommended next steps for Government Contractors, access a recent, February 19</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article released by Arnall, Golden, Gregory, LLP  </w:t>
      </w:r>
      <w:hyperlink r:id="rId356" w:history="1">
        <w:r w:rsidRPr="00DD7BD1">
          <w:rPr>
            <w:rStyle w:val="Hyperlink"/>
            <w:rFonts w:ascii="Calibri" w:hAnsi="Calibri" w:cs="Calibri"/>
            <w:b w:val="0"/>
            <w:bCs w:val="0"/>
            <w:kern w:val="0"/>
            <w:sz w:val="22"/>
            <w:szCs w:val="22"/>
          </w:rPr>
          <w:t>HERE</w:t>
        </w:r>
      </w:hyperlink>
      <w:r w:rsidRPr="00DD7BD1">
        <w:rPr>
          <w:rFonts w:ascii="Calibri" w:hAnsi="Calibri" w:cs="Calibri"/>
          <w:b w:val="0"/>
          <w:bCs w:val="0"/>
          <w:color w:val="000000" w:themeColor="text1"/>
          <w:kern w:val="0"/>
          <w:sz w:val="22"/>
          <w:szCs w:val="22"/>
        </w:rPr>
        <w:t xml:space="preserve"> addiit0nally, Little Mendelson also released a related article update on February 20</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accessible </w:t>
      </w:r>
      <w:hyperlink r:id="rId357" w:history="1">
        <w:r w:rsidRPr="00DD7BD1">
          <w:rPr>
            <w:rStyle w:val="Hyperlink"/>
            <w:rFonts w:ascii="Calibri" w:hAnsi="Calibri" w:cs="Calibri"/>
            <w:b w:val="0"/>
            <w:bCs w:val="0"/>
            <w:kern w:val="0"/>
            <w:sz w:val="22"/>
            <w:szCs w:val="22"/>
          </w:rPr>
          <w:t>HERE</w:t>
        </w:r>
      </w:hyperlink>
    </w:p>
    <w:p w14:paraId="2B022EC7" w14:textId="77777777" w:rsidR="009A459C" w:rsidRPr="00DD7BD1" w:rsidRDefault="009A459C" w:rsidP="009A459C">
      <w:pPr>
        <w:pStyle w:val="Heading1"/>
        <w:shd w:val="clear" w:color="auto" w:fill="FFFFFF"/>
        <w:spacing w:before="0" w:beforeAutospacing="0" w:after="0" w:afterAutospacing="0"/>
        <w:rPr>
          <w:rFonts w:ascii="Calibri" w:hAnsi="Calibri" w:cs="Calibri"/>
          <w:sz w:val="22"/>
          <w:szCs w:val="22"/>
        </w:rPr>
      </w:pPr>
    </w:p>
    <w:p w14:paraId="128C1638"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5" w:name="_Hlk192688601"/>
      <w:r w:rsidRPr="00DD7BD1">
        <w:rPr>
          <w:rFonts w:ascii="Calibri" w:hAnsi="Calibri" w:cs="Calibri"/>
          <w:color w:val="000000" w:themeColor="text1"/>
          <w:kern w:val="0"/>
          <w:sz w:val="28"/>
          <w:szCs w:val="28"/>
        </w:rPr>
        <w:t>Shifts in NLRB Strategic Goals &amp; Policy</w:t>
      </w:r>
    </w:p>
    <w:bookmarkEnd w:id="25"/>
    <w:p w14:paraId="233D242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National Labor Relations Board (NLRB) Acting General Counsel (AGC) William B. Cowen on February 14, 2025, changed the course of the agency’s strategic goals by rescinding more than a dozen memos penned by former General Counsel Jennifer Abruzzo. </w:t>
      </w:r>
    </w:p>
    <w:p w14:paraId="7B9FF24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21DB9E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kern w:val="0"/>
          <w:sz w:val="22"/>
          <w:szCs w:val="22"/>
        </w:rPr>
        <w:t xml:space="preserve">The repeal of several specific memos signals a shift away from the more union-friendly litigation strategy pursued by the prior general counsel.  Additionally, </w:t>
      </w:r>
      <w:r w:rsidRPr="00DD7BD1">
        <w:rPr>
          <w:rFonts w:ascii="Calibri" w:hAnsi="Calibri" w:cs="Calibri"/>
          <w:b w:val="0"/>
          <w:bCs w:val="0"/>
          <w:color w:val="000000" w:themeColor="text1"/>
          <w:sz w:val="22"/>
          <w:szCs w:val="22"/>
        </w:rPr>
        <w:t xml:space="preserve">the reasoning for scaling back the prior GC priorities was attributed to the expansive backlog of NLRB cases as well as other prior memos pending further review and guidance. The AGC’s Rescission Memo reverses many of the former GC’s policies, which, since 2021, </w:t>
      </w:r>
      <w:proofErr w:type="gramStart"/>
      <w:r w:rsidRPr="00DD7BD1">
        <w:rPr>
          <w:rFonts w:ascii="Calibri" w:hAnsi="Calibri" w:cs="Calibri"/>
          <w:b w:val="0"/>
          <w:bCs w:val="0"/>
          <w:color w:val="000000" w:themeColor="text1"/>
          <w:sz w:val="22"/>
          <w:szCs w:val="22"/>
        </w:rPr>
        <w:t>were</w:t>
      </w:r>
      <w:proofErr w:type="gramEnd"/>
      <w:r w:rsidRPr="00DD7BD1">
        <w:rPr>
          <w:rFonts w:ascii="Calibri" w:hAnsi="Calibri" w:cs="Calibri"/>
          <w:b w:val="0"/>
          <w:bCs w:val="0"/>
          <w:color w:val="000000" w:themeColor="text1"/>
          <w:sz w:val="22"/>
          <w:szCs w:val="22"/>
        </w:rPr>
        <w:t xml:space="preserve"> the cause of protracted litigation and expensive outcomes for employers.</w:t>
      </w:r>
      <w:r w:rsidRPr="00DD7BD1">
        <w:rPr>
          <w:rFonts w:ascii="Calibri" w:hAnsi="Calibri" w:cs="Calibri"/>
          <w:b w:val="0"/>
          <w:bCs w:val="0"/>
          <w:color w:val="000000" w:themeColor="text1"/>
          <w:kern w:val="0"/>
          <w:sz w:val="22"/>
          <w:szCs w:val="22"/>
        </w:rPr>
        <w:t xml:space="preserve"> </w:t>
      </w:r>
      <w:r w:rsidRPr="00DD7BD1">
        <w:rPr>
          <w:rFonts w:ascii="Calibri" w:hAnsi="Calibri" w:cs="Calibri"/>
          <w:b w:val="0"/>
          <w:bCs w:val="0"/>
          <w:color w:val="000000" w:themeColor="text1"/>
          <w:sz w:val="22"/>
          <w:szCs w:val="22"/>
        </w:rPr>
        <w:t>Cowen noted, the “unfortunate truth is that if we attempt to accomplish everything, we risk accomplishing nothing.” Based on the memo, the change signals a return to a more institutionalist enforcement philosophy.</w:t>
      </w:r>
    </w:p>
    <w:p w14:paraId="09708F6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E3B4C9F"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b w:val="0"/>
          <w:bCs w:val="0"/>
          <w:color w:val="000000" w:themeColor="text1"/>
          <w:sz w:val="22"/>
          <w:szCs w:val="22"/>
        </w:rPr>
      </w:pPr>
      <w:bookmarkStart w:id="26" w:name="_Hlk192688613"/>
      <w:r w:rsidRPr="00DD7BD1">
        <w:rPr>
          <w:rFonts w:ascii="Calibri" w:hAnsi="Calibri" w:cs="Calibri"/>
          <w:color w:val="000000" w:themeColor="text1"/>
          <w:kern w:val="0"/>
          <w:sz w:val="28"/>
          <w:szCs w:val="28"/>
        </w:rPr>
        <w:t>Shift in DOL Wage &amp; Hour Unpaid Overtime Claims &amp; Burden of Proof</w:t>
      </w:r>
    </w:p>
    <w:bookmarkEnd w:id="26"/>
    <w:p w14:paraId="03F74B8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2360C9F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court’s opinion highlights the need for </w:t>
      </w:r>
      <w:r w:rsidRPr="00DD7BD1">
        <w:rPr>
          <w:rFonts w:ascii="Calibri" w:hAnsi="Calibri" w:cs="Calibri"/>
          <w:b w:val="0"/>
          <w:bCs w:val="0"/>
          <w:color w:val="000000" w:themeColor="text1"/>
          <w:kern w:val="0"/>
          <w:sz w:val="22"/>
          <w:szCs w:val="22"/>
          <w:u w:val="single"/>
        </w:rPr>
        <w:t>employees to provide specific and detailed evidence when pursuing claims for unpaid overtime</w:t>
      </w:r>
      <w:r w:rsidRPr="00DD7BD1">
        <w:rPr>
          <w:rFonts w:ascii="Calibri" w:hAnsi="Calibri" w:cs="Calibri"/>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86A3B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Overview of the Case: </w:t>
      </w:r>
      <w:r w:rsidRPr="00DD7BD1">
        <w:rPr>
          <w:rFonts w:ascii="Calibri" w:hAnsi="Calibri" w:cs="Calibri"/>
          <w:b w:val="0"/>
          <w:bCs w:val="0"/>
          <w:i/>
          <w:iCs/>
          <w:color w:val="000000" w:themeColor="text1"/>
          <w:kern w:val="0"/>
          <w:sz w:val="22"/>
          <w:szCs w:val="22"/>
        </w:rPr>
        <w:t>Osborn v. JAB Management Services, Inc.</w:t>
      </w:r>
    </w:p>
    <w:p w14:paraId="1E66FC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lastRenderedPageBreak/>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DD7BD1">
        <w:rPr>
          <w:rFonts w:ascii="Calibri" w:hAnsi="Calibri" w:cs="Calibri"/>
          <w:b w:val="0"/>
          <w:bCs w:val="0"/>
          <w:i/>
          <w:iCs/>
          <w:color w:val="000000" w:themeColor="text1"/>
          <w:kern w:val="0"/>
          <w:sz w:val="22"/>
          <w:szCs w:val="22"/>
        </w:rPr>
        <w:t>Mt. Clemens</w:t>
      </w:r>
      <w:r w:rsidRPr="00DD7BD1">
        <w:rPr>
          <w:rFonts w:ascii="Calibri" w:hAnsi="Calibri" w:cs="Calibri"/>
          <w:b w:val="0"/>
          <w:bCs w:val="0"/>
          <w:color w:val="000000" w:themeColor="text1"/>
          <w:kern w:val="0"/>
          <w:sz w:val="22"/>
          <w:szCs w:val="22"/>
        </w:rPr>
        <w:t>, Ms. Osborn could not demonstrate the amount and extent of her alleged overtime worked.</w:t>
      </w:r>
    </w:p>
    <w:p w14:paraId="6FE3DC4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8A3552B" w14:textId="5AD928E4"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lightGray"/>
        </w:rPr>
        <w:t>Employer Takeaway:</w:t>
      </w:r>
      <w:r w:rsidRPr="00DD7BD1">
        <w:rPr>
          <w:rFonts w:ascii="Calibri" w:hAnsi="Calibri" w:cs="Calibri"/>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604699E9" w14:textId="77777777" w:rsidR="00636C21" w:rsidRPr="00DD7BD1" w:rsidRDefault="00636C21" w:rsidP="009A459C">
      <w:pPr>
        <w:pStyle w:val="Heading1"/>
        <w:shd w:val="clear" w:color="auto" w:fill="FFFFFF"/>
        <w:spacing w:before="0" w:beforeAutospacing="0" w:after="0" w:afterAutospacing="0"/>
        <w:rPr>
          <w:rFonts w:ascii="Calibri" w:hAnsi="Calibri" w:cs="Calibri"/>
          <w:color w:val="000000" w:themeColor="text1"/>
          <w:kern w:val="0"/>
          <w:sz w:val="22"/>
          <w:szCs w:val="22"/>
        </w:rPr>
      </w:pPr>
    </w:p>
    <w:p w14:paraId="3D0738F9"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7" w:name="_Hlk192688639"/>
      <w:r w:rsidRPr="00DD7BD1">
        <w:rPr>
          <w:rFonts w:ascii="Calibri" w:hAnsi="Calibri" w:cs="Calibri"/>
          <w:color w:val="000000" w:themeColor="text1"/>
          <w:kern w:val="0"/>
          <w:sz w:val="28"/>
          <w:szCs w:val="28"/>
        </w:rPr>
        <w:t xml:space="preserve">DOL Releases ERISA Enforcement 2024 Audit Results </w:t>
      </w:r>
    </w:p>
    <w:bookmarkEnd w:id="27"/>
    <w:p w14:paraId="592186F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U.S. Department of Labor (DOL) has released the results of its Employee Benefits Security Administration’s (EBSA) </w:t>
      </w:r>
      <w:hyperlink r:id="rId358" w:history="1">
        <w:r w:rsidRPr="00DD7BD1">
          <w:rPr>
            <w:rStyle w:val="Hyperlink"/>
            <w:rFonts w:ascii="Calibri" w:hAnsi="Calibri" w:cs="Calibri"/>
            <w:b w:val="0"/>
            <w:bCs w:val="0"/>
            <w:sz w:val="22"/>
            <w:szCs w:val="22"/>
          </w:rPr>
          <w:t>enforcement actions</w:t>
        </w:r>
      </w:hyperlink>
      <w:r w:rsidRPr="00DD7BD1">
        <w:rPr>
          <w:rFonts w:ascii="Calibri" w:hAnsi="Calibri" w:cs="Calibri"/>
          <w:b w:val="0"/>
          <w:bCs w:val="0"/>
          <w:color w:val="000000" w:themeColor="text1"/>
          <w:sz w:val="22"/>
          <w:szCs w:val="22"/>
        </w:rPr>
        <w:t xml:space="preserve"> during fiscal year (FY) 2024.</w:t>
      </w:r>
    </w:p>
    <w:p w14:paraId="7642A743"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kern w:val="0"/>
          <w:sz w:val="12"/>
          <w:szCs w:val="12"/>
        </w:rPr>
      </w:pPr>
    </w:p>
    <w:p w14:paraId="02BF93BC"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Statistics</w:t>
      </w:r>
    </w:p>
    <w:p w14:paraId="0A934B9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closed 729 civil investigations. Of these, 71% resulted in monetary results for plans or other corrective actions;</w:t>
      </w:r>
    </w:p>
    <w:p w14:paraId="1C0BDC5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1076B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referred 53 cases for civil litigation and closed 177 criminal investigations; and</w:t>
      </w:r>
    </w:p>
    <w:p w14:paraId="28A7B33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4492D8D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E073E1"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Resources</w:t>
      </w:r>
    </w:p>
    <w:p w14:paraId="53CA485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EBSA has a dedicated </w:t>
      </w:r>
      <w:hyperlink r:id="rId359" w:history="1">
        <w:r w:rsidRPr="00DD7BD1">
          <w:rPr>
            <w:rStyle w:val="Hyperlink"/>
            <w:rFonts w:ascii="Calibri" w:hAnsi="Calibri" w:cs="Calibri"/>
            <w:b w:val="0"/>
            <w:bCs w:val="0"/>
            <w:sz w:val="22"/>
            <w:szCs w:val="22"/>
          </w:rPr>
          <w:t>enforcement webpage</w:t>
        </w:r>
      </w:hyperlink>
      <w:r w:rsidRPr="00DD7BD1">
        <w:rPr>
          <w:rFonts w:ascii="Calibri" w:hAnsi="Calibri" w:cs="Calibri"/>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360" w:history="1">
        <w:r w:rsidRPr="00DD7BD1">
          <w:rPr>
            <w:rStyle w:val="Hyperlink"/>
            <w:rFonts w:ascii="Calibri" w:hAnsi="Calibri" w:cs="Calibri"/>
            <w:b w:val="0"/>
            <w:bCs w:val="0"/>
            <w:sz w:val="22"/>
            <w:szCs w:val="22"/>
          </w:rPr>
          <w:t>agency enforcement results archive</w:t>
        </w:r>
      </w:hyperlink>
      <w:r w:rsidRPr="00DD7BD1">
        <w:rPr>
          <w:rFonts w:ascii="Calibri" w:hAnsi="Calibri" w:cs="Calibri"/>
          <w:b w:val="0"/>
          <w:bCs w:val="0"/>
          <w:color w:val="000000" w:themeColor="text1"/>
          <w:sz w:val="22"/>
          <w:szCs w:val="22"/>
        </w:rPr>
        <w:t xml:space="preserve"> for prior fiscal years.</w:t>
      </w:r>
    </w:p>
    <w:p w14:paraId="1245338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3D59AC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DD7BD1">
        <w:rPr>
          <w:rFonts w:ascii="Calibri" w:hAnsi="Calibri" w:cs="Calibri"/>
          <w:b w:val="0"/>
          <w:bCs w:val="0"/>
          <w:i/>
          <w:iCs/>
          <w:color w:val="0070C0"/>
          <w:sz w:val="22"/>
          <w:szCs w:val="22"/>
        </w:rPr>
        <w:t>HR_Help@etctracking.com</w:t>
      </w:r>
    </w:p>
    <w:p w14:paraId="378DD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B236512" w14:textId="296D5681"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OSHA Form 300A Accidents &amp; Summary Posting Obligations</w:t>
      </w:r>
    </w:p>
    <w:p w14:paraId="4C2D1F06" w14:textId="314394B0" w:rsidR="00A83553" w:rsidRPr="00DD7BD1" w:rsidRDefault="00BD445F" w:rsidP="009A459C">
      <w:pPr>
        <w:ind w:left="108" w:right="122"/>
        <w:rPr>
          <w:rFonts w:ascii="Calibri" w:eastAsia="Arial" w:hAnsi="Calibri" w:cs="Calibri"/>
          <w:b/>
          <w:sz w:val="23"/>
          <w:szCs w:val="23"/>
        </w:rPr>
      </w:pPr>
      <w:r w:rsidRPr="00DD7BD1">
        <w:rPr>
          <w:rFonts w:ascii="Calibri" w:eastAsia="Arial" w:hAnsi="Calibri" w:cs="Calibri"/>
          <w:sz w:val="23"/>
          <w:szCs w:val="23"/>
        </w:rPr>
        <w:t xml:space="preserve">Applicable employers must post OSHA Form 300A Accident Summary in a public area annually from </w:t>
      </w:r>
      <w:r w:rsidRPr="00DD7BD1">
        <w:rPr>
          <w:rFonts w:ascii="Calibri" w:eastAsia="Arial" w:hAnsi="Calibri" w:cs="Calibri"/>
          <w:sz w:val="23"/>
          <w:szCs w:val="23"/>
          <w:u w:val="single"/>
        </w:rPr>
        <w:t>February 1 through April 30</w:t>
      </w:r>
      <w:r w:rsidRPr="00DD7BD1">
        <w:rPr>
          <w:rFonts w:ascii="Calibri" w:eastAsia="Arial" w:hAnsi="Calibri" w:cs="Calibri"/>
          <w:sz w:val="23"/>
          <w:szCs w:val="23"/>
        </w:rPr>
        <w:t xml:space="preserve"> for previous year’s accidents. More details schedule to be released through reminder e-blast reminders.</w:t>
      </w:r>
    </w:p>
    <w:p w14:paraId="18BF511B" w14:textId="6D896D25" w:rsidR="00BD445F" w:rsidRPr="00DD7BD1" w:rsidRDefault="00BD445F" w:rsidP="00BD445F">
      <w:pPr>
        <w:spacing w:after="0" w:line="240" w:lineRule="auto"/>
        <w:ind w:left="108" w:right="122"/>
        <w:jc w:val="center"/>
        <w:rPr>
          <w:rFonts w:ascii="Calibri" w:hAnsi="Calibri" w:cs="Calibri"/>
          <w:bCs/>
          <w:szCs w:val="28"/>
        </w:rPr>
      </w:pPr>
      <w:r w:rsidRPr="00DD7BD1">
        <w:rPr>
          <w:rFonts w:ascii="Calibri" w:hAnsi="Calibri" w:cs="Calibri"/>
          <w:b/>
          <w:bCs/>
          <w:sz w:val="28"/>
          <w:szCs w:val="28"/>
        </w:rPr>
        <w:t xml:space="preserve">Submit Form 300A Data to OSHA - </w:t>
      </w:r>
      <w:r w:rsidRPr="00DD7BD1">
        <w:rPr>
          <w:rFonts w:ascii="Calibri" w:hAnsi="Calibri" w:cs="Calibri"/>
          <w:b/>
          <w:bCs/>
          <w:color w:val="C00000"/>
          <w:sz w:val="28"/>
          <w:szCs w:val="28"/>
        </w:rPr>
        <w:t>March 2, 2025</w:t>
      </w:r>
    </w:p>
    <w:p w14:paraId="7E972A2F" w14:textId="77777777" w:rsidR="00BD445F" w:rsidRPr="00DD7BD1" w:rsidRDefault="00BD445F" w:rsidP="00BD445F">
      <w:pPr>
        <w:pStyle w:val="NormalWeb"/>
        <w:spacing w:before="0" w:beforeAutospacing="0" w:after="0" w:afterAutospacing="0"/>
        <w:ind w:left="142"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Applicable employers must submit Form </w:t>
      </w:r>
      <w:r w:rsidRPr="00DD7BD1">
        <w:rPr>
          <w:rFonts w:ascii="Calibri" w:eastAsia="Arial" w:hAnsi="Calibri" w:cs="Calibri"/>
          <w:bCs/>
          <w:color w:val="000000"/>
          <w:sz w:val="23"/>
          <w:szCs w:val="23"/>
        </w:rPr>
        <w:t>300A Data to OSHA.</w:t>
      </w:r>
    </w:p>
    <w:p w14:paraId="083A41D1" w14:textId="77777777" w:rsidR="00BD445F" w:rsidRPr="00DD7BD1" w:rsidRDefault="00BD445F" w:rsidP="00BD445F">
      <w:pPr>
        <w:pStyle w:val="NormalWeb"/>
        <w:spacing w:before="0" w:beforeAutospacing="0" w:after="0" w:afterAutospacing="0"/>
        <w:ind w:left="142" w:right="130"/>
        <w:rPr>
          <w:rFonts w:ascii="Calibri" w:eastAsia="Arial" w:hAnsi="Calibri" w:cs="Calibri"/>
          <w:b/>
          <w:color w:val="000000"/>
          <w:sz w:val="23"/>
          <w:szCs w:val="23"/>
        </w:rPr>
      </w:pPr>
      <w:r w:rsidRPr="00DD7BD1">
        <w:rPr>
          <w:rFonts w:ascii="Calibri" w:eastAsia="Arial" w:hAnsi="Calibri" w:cs="Calibri"/>
          <w:color w:val="000000"/>
          <w:sz w:val="23"/>
          <w:szCs w:val="23"/>
        </w:rPr>
        <w:t>The following establishments must electronically submit their form 300A data to OSHA via the agency’s Injury Tracking Application (ITA) by March 2</w:t>
      </w:r>
      <w:r w:rsidRPr="00DD7BD1">
        <w:rPr>
          <w:rFonts w:ascii="Calibri" w:eastAsia="Arial" w:hAnsi="Calibri" w:cs="Calibri"/>
          <w:color w:val="000000"/>
          <w:sz w:val="23"/>
          <w:szCs w:val="23"/>
          <w:vertAlign w:val="superscript"/>
        </w:rPr>
        <w:t>nd</w:t>
      </w:r>
      <w:r w:rsidRPr="00DD7BD1">
        <w:rPr>
          <w:rFonts w:ascii="Calibri" w:eastAsia="Arial" w:hAnsi="Calibri" w:cs="Calibri"/>
          <w:color w:val="000000"/>
          <w:sz w:val="23"/>
          <w:szCs w:val="23"/>
        </w:rPr>
        <w:t xml:space="preserve"> of the year after the calendar year covered by the form:</w:t>
      </w:r>
    </w:p>
    <w:p w14:paraId="3DFBA267"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Establishments that had 20-249 employees in the previous calendar year that are classified in certain industries.</w:t>
      </w:r>
    </w:p>
    <w:p w14:paraId="75261ABE"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hyperlink r:id="rId361" w:history="1">
        <w:r w:rsidRPr="00DD7BD1">
          <w:rPr>
            <w:rStyle w:val="Hyperlink"/>
            <w:rFonts w:ascii="Calibri" w:eastAsia="Arial" w:hAnsi="Calibri" w:cs="Calibri"/>
            <w:i/>
            <w:sz w:val="23"/>
            <w:szCs w:val="23"/>
          </w:rPr>
          <w:t>https://www.osha.gov/injuryreporting/</w:t>
        </w:r>
      </w:hyperlink>
    </w:p>
    <w:p w14:paraId="51DCDFB0" w14:textId="77777777" w:rsidR="00BD445F" w:rsidRPr="00DD7BD1" w:rsidRDefault="00BD445F" w:rsidP="00BD445F">
      <w:pPr>
        <w:pStyle w:val="NormalWeb"/>
        <w:spacing w:before="0" w:beforeAutospacing="0" w:after="0" w:afterAutospacing="0"/>
        <w:ind w:left="862" w:right="130"/>
        <w:rPr>
          <w:rFonts w:ascii="Calibri" w:eastAsia="Arial" w:hAnsi="Calibri" w:cs="Calibri"/>
          <w:iCs/>
          <w:color w:val="000000"/>
          <w:sz w:val="22"/>
          <w:szCs w:val="22"/>
        </w:rPr>
      </w:pPr>
    </w:p>
    <w:p w14:paraId="217E35BC" w14:textId="77777777"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Calendar Year Benefit Plan Year Employers:</w:t>
      </w:r>
      <w:r w:rsidRPr="00DD7BD1">
        <w:rPr>
          <w:rFonts w:ascii="Calibri" w:eastAsia="Arial" w:hAnsi="Calibri" w:cs="Calibri"/>
          <w:sz w:val="20"/>
          <w:szCs w:val="20"/>
        </w:rPr>
        <w:t xml:space="preserve"> </w:t>
      </w:r>
      <w:r w:rsidRPr="00DD7BD1">
        <w:rPr>
          <w:rFonts w:ascii="Calibri" w:eastAsiaTheme="minorHAnsi" w:hAnsi="Calibri" w:cs="Calibri"/>
          <w:kern w:val="0"/>
          <w:sz w:val="28"/>
          <w:szCs w:val="28"/>
        </w:rPr>
        <w:t xml:space="preserve">CMS Part D Creditable Coverage Online Disclosure – </w:t>
      </w:r>
      <w:r w:rsidRPr="00DD7BD1">
        <w:rPr>
          <w:rFonts w:ascii="Calibri" w:eastAsiaTheme="minorHAnsi" w:hAnsi="Calibri" w:cs="Calibri"/>
          <w:color w:val="C00000"/>
          <w:kern w:val="0"/>
          <w:sz w:val="28"/>
          <w:szCs w:val="28"/>
        </w:rPr>
        <w:t>March 1, 2025</w:t>
      </w:r>
    </w:p>
    <w:p w14:paraId="01E03C20" w14:textId="77777777" w:rsidR="00BD445F" w:rsidRPr="00DD7BD1" w:rsidRDefault="00BD445F" w:rsidP="00BD445F">
      <w:pPr>
        <w:pStyle w:val="NormalWeb"/>
        <w:spacing w:before="0" w:beforeAutospacing="0" w:after="150" w:afterAutospacing="0"/>
        <w:ind w:left="142" w:right="127"/>
        <w:rPr>
          <w:rFonts w:ascii="Calibri" w:eastAsia="Arial" w:hAnsi="Calibri" w:cs="Calibri"/>
          <w:color w:val="000000"/>
          <w:sz w:val="23"/>
          <w:szCs w:val="23"/>
        </w:rPr>
      </w:pPr>
      <w:r w:rsidRPr="00DD7BD1">
        <w:rPr>
          <w:rFonts w:ascii="Calibri" w:eastAsia="Arial" w:hAnsi="Calibri" w:cs="Calibri"/>
          <w:color w:val="000000"/>
          <w:sz w:val="23"/>
          <w:szCs w:val="23"/>
        </w:rPr>
        <w:lastRenderedPageBreak/>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DD7BD1" w:rsidRDefault="00BD445F" w:rsidP="00BD445F">
      <w:pPr>
        <w:ind w:left="142" w:right="122"/>
        <w:rPr>
          <w:rFonts w:ascii="Calibri" w:eastAsia="Arial" w:hAnsi="Calibri" w:cs="Calibri"/>
          <w:b/>
          <w:bCs/>
          <w:color w:val="385623" w:themeColor="accent6" w:themeShade="80"/>
          <w:sz w:val="23"/>
          <w:szCs w:val="23"/>
        </w:rPr>
      </w:pPr>
      <w:r w:rsidRPr="00DD7BD1">
        <w:rPr>
          <w:rFonts w:ascii="Calibri" w:eastAsia="Arial" w:hAnsi="Calibri" w:cs="Calibri"/>
          <w:sz w:val="23"/>
          <w:szCs w:val="23"/>
        </w:rPr>
        <w:t xml:space="preserve">Plan sponsors must submit a new disclosure to CMS </w:t>
      </w:r>
      <w:r w:rsidRPr="00DD7BD1">
        <w:rPr>
          <w:rFonts w:ascii="Calibri" w:eastAsia="Arial" w:hAnsi="Calibri" w:cs="Calibri"/>
          <w:b/>
          <w:bCs/>
          <w:sz w:val="23"/>
          <w:szCs w:val="23"/>
          <w:u w:val="single"/>
        </w:rPr>
        <w:t xml:space="preserve">no later than 60 days after the beginning of each plan </w:t>
      </w:r>
      <w:proofErr w:type="gramStart"/>
      <w:r w:rsidRPr="00DD7BD1">
        <w:rPr>
          <w:rFonts w:ascii="Calibri" w:eastAsia="Arial" w:hAnsi="Calibri" w:cs="Calibri"/>
          <w:b/>
          <w:bCs/>
          <w:sz w:val="23"/>
          <w:szCs w:val="23"/>
          <w:u w:val="single"/>
        </w:rPr>
        <w:t>year</w:t>
      </w:r>
      <w:r w:rsidRPr="00DD7BD1">
        <w:rPr>
          <w:rFonts w:ascii="Calibri" w:eastAsia="Arial" w:hAnsi="Calibri" w:cs="Calibri"/>
          <w:sz w:val="23"/>
          <w:szCs w:val="23"/>
        </w:rPr>
        <w:t>—i</w:t>
      </w:r>
      <w:proofErr w:type="gramEnd"/>
      <w:r w:rsidRPr="00DD7BD1">
        <w:rPr>
          <w:rFonts w:ascii="Calibri" w:eastAsia="Arial" w:hAnsi="Calibri" w:cs="Calibri"/>
          <w:sz w:val="23"/>
          <w:szCs w:val="23"/>
        </w:rPr>
        <w:t xml:space="preserve">.e., by </w:t>
      </w:r>
      <w:r w:rsidRPr="00DD7BD1">
        <w:rPr>
          <w:rFonts w:ascii="Calibri" w:eastAsia="Arial" w:hAnsi="Calibri" w:cs="Calibri"/>
          <w:b/>
          <w:bCs/>
          <w:sz w:val="23"/>
          <w:szCs w:val="23"/>
        </w:rPr>
        <w:t>March 1 for calendar year benefit plan years</w:t>
      </w:r>
    </w:p>
    <w:p w14:paraId="531F706E" w14:textId="77777777" w:rsidR="00BD445F" w:rsidRPr="00DD7BD1" w:rsidRDefault="00BD445F" w:rsidP="00BD445F">
      <w:pPr>
        <w:pStyle w:val="Heading1"/>
        <w:shd w:val="clear" w:color="auto" w:fill="FFFFFF"/>
        <w:spacing w:before="0" w:beforeAutospacing="0" w:after="0" w:afterAutospacing="0"/>
        <w:ind w:left="142"/>
        <w:jc w:val="both"/>
        <w:rPr>
          <w:rFonts w:ascii="Calibri" w:hAnsi="Calibri" w:cs="Calibri"/>
          <w:color w:val="000000" w:themeColor="text1"/>
          <w:kern w:val="0"/>
          <w:sz w:val="23"/>
          <w:szCs w:val="23"/>
          <w:u w:val="single"/>
        </w:rPr>
      </w:pPr>
      <w:hyperlink r:id="rId362" w:history="1">
        <w:r w:rsidRPr="00DD7BD1">
          <w:rPr>
            <w:rStyle w:val="Hyperlink"/>
            <w:rFonts w:ascii="Calibri" w:hAnsi="Calibri" w:cs="Calibri"/>
            <w:i/>
            <w:iCs/>
            <w:sz w:val="23"/>
            <w:szCs w:val="23"/>
          </w:rPr>
          <w:t>https://www.cms.gov/Medicare/Prescription-Drug-Coverage/CreditableCoverage/CCDisclosure.html</w:t>
        </w:r>
      </w:hyperlink>
    </w:p>
    <w:p w14:paraId="7829007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p>
    <w:p w14:paraId="58044453"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Creditable Coverage Determination 2025</w:t>
      </w:r>
    </w:p>
    <w:p w14:paraId="36BE15AB"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Employers that provide prescription drug coverage to individuals who are eligible for Medicare Part D must inform these individuals and CMS whether their prescription drug coverage is </w:t>
      </w:r>
      <w:r w:rsidRPr="00DD7BD1">
        <w:rPr>
          <w:rFonts w:ascii="Calibri" w:hAnsi="Calibri" w:cs="Calibri"/>
          <w:b/>
          <w:bCs/>
        </w:rPr>
        <w:t>creditable</w:t>
      </w:r>
      <w:r w:rsidRPr="00DD7BD1">
        <w:rPr>
          <w:rFonts w:ascii="Calibri" w:hAnsi="Calibri" w:cs="Calibri"/>
        </w:rPr>
        <w:t xml:space="preserve">, meaning that the employer’s prescription drug coverage is at least as good as Medicare Part D coverage. </w:t>
      </w:r>
    </w:p>
    <w:p w14:paraId="35522214" w14:textId="77777777" w:rsidR="00BD445F" w:rsidRPr="00DD7BD1" w:rsidRDefault="00BD445F" w:rsidP="00BD445F">
      <w:pPr>
        <w:pStyle w:val="ParagraphBasic"/>
        <w:spacing w:after="0" w:line="240" w:lineRule="auto"/>
        <w:rPr>
          <w:rFonts w:ascii="Calibri" w:hAnsi="Calibri" w:cs="Calibri"/>
          <w:sz w:val="16"/>
          <w:szCs w:val="16"/>
        </w:rPr>
      </w:pPr>
    </w:p>
    <w:p w14:paraId="2AF234C1"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Under </w:t>
      </w:r>
      <w:hyperlink r:id="rId363" w:history="1">
        <w:r w:rsidRPr="00DD7BD1">
          <w:rPr>
            <w:rStyle w:val="Hyperlink"/>
            <w:rFonts w:ascii="Calibri" w:hAnsi="Calibri" w:cs="Calibri"/>
          </w:rPr>
          <w:t>existing CMS guidance</w:t>
        </w:r>
      </w:hyperlink>
      <w:r w:rsidRPr="00DD7BD1">
        <w:rPr>
          <w:rFonts w:ascii="Calibri" w:hAnsi="Calibri" w:cs="Calibri"/>
        </w:rPr>
        <w:t>, there are a few different ways for an employer to determine whether its prescription drug coverage is creditable:</w:t>
      </w:r>
    </w:p>
    <w:p w14:paraId="28DEA1A3"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As a first step, employers with insured prescription drug plans should ask their carriers if they have determined whether the plan’s coverage is creditable.</w:t>
      </w:r>
    </w:p>
    <w:p w14:paraId="7FEBB5AA" w14:textId="77777777" w:rsidR="00BD445F" w:rsidRPr="00DD7BD1" w:rsidRDefault="00BD445F" w:rsidP="00BD445F">
      <w:pPr>
        <w:pStyle w:val="BList1"/>
        <w:numPr>
          <w:ilvl w:val="0"/>
          <w:numId w:val="0"/>
        </w:numPr>
        <w:spacing w:before="0" w:after="0" w:line="240" w:lineRule="auto"/>
        <w:ind w:left="720"/>
        <w:rPr>
          <w:rFonts w:ascii="Calibri" w:hAnsi="Calibri" w:cs="Calibri"/>
          <w:sz w:val="8"/>
          <w:szCs w:val="8"/>
        </w:rPr>
      </w:pPr>
    </w:p>
    <w:p w14:paraId="10A53797"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 xml:space="preserve">For self-insured plans, or where the carrier for an insured plan has not made a creditable coverage determination, employers may use a </w:t>
      </w:r>
      <w:r w:rsidRPr="00DD7BD1">
        <w:rPr>
          <w:rFonts w:ascii="Calibri" w:hAnsi="Calibri" w:cs="Calibri"/>
          <w:b/>
          <w:bCs/>
        </w:rPr>
        <w:t>simplified determination</w:t>
      </w:r>
      <w:r w:rsidRPr="00DD7BD1">
        <w:rPr>
          <w:rFonts w:ascii="Calibri" w:hAnsi="Calibri" w:cs="Calibri"/>
        </w:rPr>
        <w:t xml:space="preserve"> </w:t>
      </w:r>
      <w:proofErr w:type="gramStart"/>
      <w:r w:rsidRPr="00DD7BD1">
        <w:rPr>
          <w:rFonts w:ascii="Calibri" w:hAnsi="Calibri" w:cs="Calibri"/>
        </w:rPr>
        <w:t>as long as</w:t>
      </w:r>
      <w:proofErr w:type="gramEnd"/>
      <w:r w:rsidRPr="00DD7BD1">
        <w:rPr>
          <w:rFonts w:ascii="Calibri" w:hAnsi="Calibri" w:cs="Calibri"/>
        </w:rPr>
        <w:t xml:space="preserve"> the coverage meets certain design requirements. If it doesn’t, the employer must use an </w:t>
      </w:r>
      <w:r w:rsidRPr="00DD7BD1">
        <w:rPr>
          <w:rFonts w:ascii="Calibri" w:hAnsi="Calibri" w:cs="Calibri"/>
          <w:b/>
          <w:bCs/>
        </w:rPr>
        <w:t>actuarial determination method</w:t>
      </w:r>
      <w:r w:rsidRPr="00DD7BD1">
        <w:rPr>
          <w:rFonts w:ascii="Calibri" w:hAnsi="Calibri" w:cs="Calibri"/>
        </w:rPr>
        <w:t>.</w:t>
      </w:r>
    </w:p>
    <w:p w14:paraId="2D526703"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 w:val="0"/>
          <w:sz w:val="16"/>
          <w:szCs w:val="16"/>
        </w:rPr>
      </w:pPr>
    </w:p>
    <w:p w14:paraId="4D4698AF"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Cs/>
          <w:color w:val="auto"/>
        </w:rPr>
      </w:pPr>
      <w:r w:rsidRPr="00DD7BD1">
        <w:rPr>
          <w:rStyle w:val="CBold"/>
          <w:rFonts w:ascii="Calibri" w:hAnsi="Calibri" w:cs="Calibri"/>
          <w:bCs/>
          <w:color w:val="auto"/>
        </w:rPr>
        <w:t>Part D Redesign Program Instructions for CY 2025</w:t>
      </w:r>
    </w:p>
    <w:p w14:paraId="285C4D10" w14:textId="77777777" w:rsidR="00BD445F" w:rsidRPr="00DD7BD1" w:rsidRDefault="00BD445F" w:rsidP="00BD445F">
      <w:pPr>
        <w:pStyle w:val="BList1"/>
        <w:numPr>
          <w:ilvl w:val="0"/>
          <w:numId w:val="0"/>
        </w:numPr>
        <w:spacing w:before="0" w:after="0" w:line="240" w:lineRule="auto"/>
        <w:rPr>
          <w:rFonts w:ascii="Calibri" w:hAnsi="Calibri" w:cs="Calibri"/>
        </w:rPr>
      </w:pPr>
      <w:r w:rsidRPr="00DD7BD1">
        <w:rPr>
          <w:rFonts w:ascii="Calibri" w:hAnsi="Calibri" w:cs="Calibri"/>
        </w:rPr>
        <w:t xml:space="preserve">Previously, CMS stated in its Draft Part D Redesign Program Instructions that the simplified determination method would </w:t>
      </w:r>
      <w:r w:rsidRPr="00DD7BD1">
        <w:rPr>
          <w:rFonts w:ascii="Calibri" w:hAnsi="Calibri" w:cs="Calibri"/>
          <w:u w:val="single"/>
        </w:rPr>
        <w:t>no longer be valid as of calendar year (CY) 2025</w:t>
      </w:r>
      <w:r w:rsidRPr="00DD7BD1">
        <w:rPr>
          <w:rFonts w:ascii="Calibri" w:hAnsi="Calibri" w:cs="Calibri"/>
        </w:rPr>
        <w:t xml:space="preserve">, given the significant changes made to Medicare Part D by the IRA. However, according to the Final Program Instructions, </w:t>
      </w:r>
      <w:r w:rsidRPr="00DD7BD1">
        <w:rPr>
          <w:rFonts w:ascii="Calibri" w:hAnsi="Calibri" w:cs="Calibri"/>
          <w:b/>
          <w:bCs/>
        </w:rPr>
        <w:t xml:space="preserve">CMS </w:t>
      </w:r>
      <w:r w:rsidRPr="00DD7BD1">
        <w:rPr>
          <w:rFonts w:ascii="Calibri" w:hAnsi="Calibri" w:cs="Calibri"/>
          <w:b/>
          <w:bCs/>
          <w:u w:val="single"/>
        </w:rPr>
        <w:t xml:space="preserve">will </w:t>
      </w:r>
      <w:r w:rsidRPr="00DD7BD1">
        <w:rPr>
          <w:rFonts w:ascii="Calibri" w:hAnsi="Calibri" w:cs="Calibri"/>
          <w:b/>
          <w:bCs/>
        </w:rPr>
        <w:t>continue to permit use of the simplified determination methodology, without modification, for CY 2025 for group health plan sponsors who are not applying for the retiree drug subsidy.</w:t>
      </w:r>
      <w:r w:rsidRPr="00DD7BD1">
        <w:rPr>
          <w:rFonts w:ascii="Calibri" w:hAnsi="Calibri" w:cs="Calibri"/>
        </w:rPr>
        <w:t xml:space="preserve"> </w:t>
      </w:r>
    </w:p>
    <w:p w14:paraId="78053055" w14:textId="77777777" w:rsidR="00BD445F" w:rsidRPr="00DD7BD1" w:rsidRDefault="00BD445F" w:rsidP="00BD445F">
      <w:pPr>
        <w:pStyle w:val="TRow"/>
        <w:rPr>
          <w:rFonts w:ascii="Calibri" w:hAnsi="Calibri" w:cs="Calibri"/>
          <w:color w:val="auto"/>
          <w:sz w:val="16"/>
          <w:szCs w:val="16"/>
        </w:rPr>
      </w:pPr>
    </w:p>
    <w:p w14:paraId="7A1C1EB1" w14:textId="77777777" w:rsidR="00BD445F" w:rsidRPr="00DD7BD1" w:rsidRDefault="00BD445F" w:rsidP="00BD445F">
      <w:pPr>
        <w:pStyle w:val="TRow"/>
        <w:rPr>
          <w:rFonts w:ascii="Calibri" w:hAnsi="Calibri" w:cs="Calibri"/>
          <w:color w:val="auto"/>
        </w:rPr>
      </w:pPr>
      <w:r w:rsidRPr="00DD7BD1">
        <w:rPr>
          <w:rFonts w:ascii="Calibri" w:hAnsi="Calibri" w:cs="Calibri"/>
          <w:color w:val="auto"/>
        </w:rPr>
        <w:t>CMS Resources</w:t>
      </w:r>
    </w:p>
    <w:p w14:paraId="23D26935"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Additional information and resources on the IRA’s changes to Medicare Part D are available on CMS’ </w:t>
      </w:r>
      <w:hyperlink r:id="rId364" w:history="1">
        <w:r w:rsidRPr="00DD7BD1">
          <w:rPr>
            <w:rStyle w:val="Hyperlink"/>
            <w:rFonts w:ascii="Calibri" w:hAnsi="Calibri" w:cs="Calibri"/>
          </w:rPr>
          <w:t>Part D Improvements webpage</w:t>
        </w:r>
      </w:hyperlink>
      <w:r w:rsidRPr="00DD7BD1">
        <w:rPr>
          <w:rFonts w:ascii="Calibri" w:hAnsi="Calibri" w:cs="Calibri"/>
        </w:rPr>
        <w:t>.</w:t>
      </w:r>
    </w:p>
    <w:p w14:paraId="5A1AE84D" w14:textId="77777777" w:rsidR="00BD445F" w:rsidRPr="00DD7BD1" w:rsidRDefault="00BD445F" w:rsidP="00BD445F">
      <w:pPr>
        <w:pStyle w:val="ParagraphBasic"/>
        <w:spacing w:after="0" w:line="240" w:lineRule="auto"/>
        <w:rPr>
          <w:rFonts w:ascii="Calibri" w:hAnsi="Calibri" w:cs="Calibri"/>
          <w:sz w:val="16"/>
          <w:szCs w:val="16"/>
        </w:rPr>
      </w:pPr>
    </w:p>
    <w:p w14:paraId="554EA7D7" w14:textId="77777777" w:rsidR="00BD445F" w:rsidRPr="00DD7BD1" w:rsidRDefault="00BD445F" w:rsidP="00BD445F">
      <w:pPr>
        <w:pStyle w:val="Highlight"/>
        <w:spacing w:after="0" w:line="240" w:lineRule="auto"/>
        <w:rPr>
          <w:rFonts w:ascii="Calibri" w:hAnsi="Calibri" w:cs="Calibri"/>
        </w:rPr>
      </w:pPr>
      <w:r w:rsidRPr="00DD7BD1">
        <w:rPr>
          <w:rFonts w:ascii="Calibri" w:hAnsi="Calibri" w:cs="Calibri"/>
          <w:b/>
          <w:bCs/>
          <w:highlight w:val="darkGray"/>
        </w:rPr>
        <w:t>Employer Takeaway:</w:t>
      </w:r>
      <w:r w:rsidRPr="00DD7BD1">
        <w:rPr>
          <w:rFonts w:ascii="Calibri" w:hAnsi="Calibri" w:cs="Calibri"/>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w:t>
      </w:r>
      <w:proofErr w:type="gramStart"/>
      <w:r w:rsidRPr="00DD7BD1">
        <w:rPr>
          <w:rFonts w:ascii="Calibri" w:hAnsi="Calibri" w:cs="Calibri"/>
        </w:rPr>
        <w:t>at a later date</w:t>
      </w:r>
      <w:proofErr w:type="gramEnd"/>
      <w:r w:rsidRPr="00DD7BD1">
        <w:rPr>
          <w:rFonts w:ascii="Calibri" w:hAnsi="Calibri" w:cs="Calibri"/>
        </w:rPr>
        <w:t>.</w:t>
      </w:r>
    </w:p>
    <w:p w14:paraId="4589C317"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2"/>
          <w:szCs w:val="22"/>
        </w:rPr>
      </w:pPr>
    </w:p>
    <w:p w14:paraId="510E16FB"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FMLA &amp; State PFML Programs</w:t>
      </w:r>
    </w:p>
    <w:p w14:paraId="24947BEB"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DOL Wage &amp; Hour Division recently issued a new Opinion Letter (</w:t>
      </w:r>
      <w:hyperlink r:id="rId365" w:history="1">
        <w:r w:rsidRPr="00DD7BD1">
          <w:rPr>
            <w:rStyle w:val="Hyperlink"/>
            <w:rFonts w:ascii="Calibri" w:hAnsi="Calibri" w:cs="Calibri"/>
            <w:b w:val="0"/>
            <w:bCs w:val="0"/>
            <w:kern w:val="0"/>
            <w:sz w:val="22"/>
            <w:szCs w:val="22"/>
          </w:rPr>
          <w:t>FMLA 2025-01-A</w:t>
        </w:r>
      </w:hyperlink>
      <w:r w:rsidRPr="00DD7BD1">
        <w:rPr>
          <w:rFonts w:ascii="Calibri" w:hAnsi="Calibri" w:cs="Calibri"/>
          <w:b w:val="0"/>
          <w:bCs w:val="0"/>
          <w:color w:val="000000" w:themeColor="text1"/>
          <w:kern w:val="0"/>
          <w:sz w:val="22"/>
          <w:szCs w:val="22"/>
        </w:rPr>
        <w:t xml:space="preserve">) </w:t>
      </w:r>
    </w:p>
    <w:p w14:paraId="6F62ACF3"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PFML for a qualifying FMLA reason must be designated as FMLA leave. </w:t>
      </w:r>
    </w:p>
    <w:p w14:paraId="73DF0772"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Employers and employees may not </w:t>
      </w:r>
      <w:r w:rsidRPr="00DD7BD1">
        <w:rPr>
          <w:rFonts w:ascii="Calibri" w:hAnsi="Calibri" w:cs="Calibri"/>
          <w:b w:val="0"/>
          <w:bCs w:val="0"/>
          <w:color w:val="000000" w:themeColor="text1"/>
          <w:sz w:val="22"/>
          <w:szCs w:val="22"/>
          <w:u w:val="single"/>
        </w:rPr>
        <w:t>unilaterally require that employer-provided paid leave run concurrently with PFML designated as FMLA leave</w:t>
      </w:r>
      <w:r w:rsidRPr="00DD7BD1">
        <w:rPr>
          <w:rFonts w:ascii="Calibri" w:hAnsi="Calibri" w:cs="Calibri"/>
          <w:b w:val="0"/>
          <w:bCs w:val="0"/>
          <w:color w:val="000000" w:themeColor="text1"/>
          <w:sz w:val="22"/>
          <w:szCs w:val="22"/>
        </w:rPr>
        <w:t>, although they may agree to this substitution.</w:t>
      </w:r>
    </w:p>
    <w:p w14:paraId="4E2D886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16"/>
          <w:szCs w:val="16"/>
        </w:rPr>
      </w:pPr>
    </w:p>
    <w:p w14:paraId="43D728D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darkGray"/>
        </w:rPr>
        <w:t>Employer takeaway:</w:t>
      </w:r>
      <w:r w:rsidRPr="00DD7BD1">
        <w:rPr>
          <w:rFonts w:ascii="Calibri" w:hAnsi="Calibri" w:cs="Calibri"/>
          <w:b w:val="0"/>
          <w:bCs w:val="0"/>
          <w:color w:val="000000" w:themeColor="text1"/>
          <w:kern w:val="0"/>
          <w:sz w:val="22"/>
          <w:szCs w:val="22"/>
        </w:rPr>
        <w:t xml:space="preserve"> During any part of an FMLA leave where an employee is receiving disability or workers’ compensation benefits, </w:t>
      </w:r>
      <w:r w:rsidRPr="00DD7BD1">
        <w:rPr>
          <w:rFonts w:ascii="Calibri" w:hAnsi="Calibri" w:cs="Calibri"/>
          <w:b w:val="0"/>
          <w:bCs w:val="0"/>
          <w:i/>
          <w:iCs/>
          <w:color w:val="000000" w:themeColor="text1"/>
          <w:kern w:val="0"/>
          <w:sz w:val="22"/>
          <w:szCs w:val="22"/>
        </w:rPr>
        <w:t>neither the employer nor the employee can require substitution</w:t>
      </w:r>
      <w:r w:rsidRPr="00DD7BD1">
        <w:rPr>
          <w:rFonts w:ascii="Calibri" w:hAnsi="Calibri" w:cs="Calibri"/>
          <w:b w:val="0"/>
          <w:bCs w:val="0"/>
          <w:color w:val="000000" w:themeColor="text1"/>
          <w:kern w:val="0"/>
          <w:sz w:val="22"/>
          <w:szCs w:val="22"/>
        </w:rPr>
        <w:t> </w:t>
      </w:r>
      <w:r w:rsidRPr="00DD7BD1">
        <w:rPr>
          <w:rFonts w:ascii="Calibri" w:hAnsi="Calibri" w:cs="Calibri"/>
          <w:b w:val="0"/>
          <w:bCs w:val="0"/>
          <w:i/>
          <w:iCs/>
          <w:color w:val="000000" w:themeColor="text1"/>
          <w:kern w:val="0"/>
          <w:sz w:val="22"/>
          <w:szCs w:val="22"/>
        </w:rPr>
        <w:t>of paid time off</w:t>
      </w:r>
      <w:r w:rsidRPr="00DD7BD1">
        <w:rPr>
          <w:rFonts w:ascii="Calibri" w:hAnsi="Calibri" w:cs="Calibri"/>
          <w:b w:val="0"/>
          <w:bCs w:val="0"/>
          <w:color w:val="000000" w:themeColor="text1"/>
          <w:kern w:val="0"/>
          <w:sz w:val="22"/>
          <w:szCs w:val="22"/>
        </w:rPr>
        <w:t> because such leave is not unpaid. Rather, when disability or workers’ compensation benefits are being received, the employer and the employee may only </w:t>
      </w:r>
      <w:r w:rsidRPr="00DD7BD1">
        <w:rPr>
          <w:rFonts w:ascii="Calibri" w:hAnsi="Calibri" w:cs="Calibri"/>
          <w:b w:val="0"/>
          <w:bCs w:val="0"/>
          <w:i/>
          <w:iCs/>
          <w:color w:val="000000" w:themeColor="text1"/>
          <w:kern w:val="0"/>
          <w:sz w:val="22"/>
          <w:szCs w:val="22"/>
        </w:rPr>
        <w:t xml:space="preserve">mutually </w:t>
      </w:r>
      <w:r w:rsidRPr="00DD7BD1">
        <w:rPr>
          <w:rFonts w:ascii="Calibri" w:hAnsi="Calibri" w:cs="Calibri"/>
          <w:b w:val="0"/>
          <w:bCs w:val="0"/>
          <w:i/>
          <w:iCs/>
          <w:color w:val="000000" w:themeColor="text1"/>
          <w:kern w:val="0"/>
          <w:sz w:val="22"/>
          <w:szCs w:val="22"/>
        </w:rPr>
        <w:lastRenderedPageBreak/>
        <w:t>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roofErr w:type="gramStart"/>
      <w:r w:rsidRPr="00DD7BD1">
        <w:rPr>
          <w:rFonts w:ascii="Calibri" w:hAnsi="Calibri" w:cs="Calibri"/>
          <w:b w:val="0"/>
          <w:bCs w:val="0"/>
          <w:color w:val="000000" w:themeColor="text1"/>
          <w:kern w:val="0"/>
          <w:sz w:val="22"/>
          <w:szCs w:val="22"/>
        </w:rPr>
        <w:t>Likewise</w:t>
      </w:r>
      <w:proofErr w:type="gramEnd"/>
      <w:r w:rsidRPr="00DD7BD1">
        <w:rPr>
          <w:rFonts w:ascii="Calibri" w:hAnsi="Calibri" w:cs="Calibri"/>
          <w:b w:val="0"/>
          <w:bCs w:val="0"/>
          <w:color w:val="000000" w:themeColor="text1"/>
          <w:kern w:val="0"/>
          <w:sz w:val="22"/>
          <w:szCs w:val="22"/>
        </w:rPr>
        <w:t xml:space="preserve"> now, when an employee is concurrently on a state and municipal paid FML, the leave is also not technically unpaid.  Thus,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
    <w:p w14:paraId="3046B43F"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237D9D32"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Managers &amp; Tip-pool Tops for Nonsupervisory Time</w:t>
      </w:r>
    </w:p>
    <w:p w14:paraId="25044582"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Jan. 14, 2025, the U.S. Department of Labor’s (DOL) Wage and Hour Division (WHD) issued opinion letter </w:t>
      </w:r>
      <w:hyperlink r:id="rId366" w:history="1">
        <w:r w:rsidRPr="00DD7BD1">
          <w:rPr>
            <w:rStyle w:val="Hyperlink"/>
            <w:rFonts w:ascii="Calibri" w:hAnsi="Calibri" w:cs="Calibri"/>
            <w:b w:val="0"/>
            <w:bCs w:val="0"/>
            <w:sz w:val="22"/>
            <w:szCs w:val="22"/>
          </w:rPr>
          <w:t>FLSA2025-1</w:t>
        </w:r>
      </w:hyperlink>
      <w:r w:rsidRPr="00DD7BD1">
        <w:rPr>
          <w:rFonts w:ascii="Calibri" w:hAnsi="Calibri" w:cs="Calibri"/>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DD7BD1" w:rsidRDefault="00BD445F" w:rsidP="00BD445F">
      <w:pPr>
        <w:pStyle w:val="Heading1"/>
        <w:shd w:val="clear" w:color="auto" w:fill="FFFFFF"/>
        <w:spacing w:after="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0"/>
          <w:szCs w:val="20"/>
        </w:rPr>
      </w:pPr>
    </w:p>
    <w:p w14:paraId="53FA272B"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Newly Passed Legislation Modifies ACA Reporting Requirements</w:t>
      </w:r>
    </w:p>
    <w:p w14:paraId="3EBD7423"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16"/>
          <w:szCs w:val="16"/>
        </w:rPr>
      </w:pPr>
    </w:p>
    <w:p w14:paraId="4E8EDAE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Individual Statements Only Required Upon Request</w:t>
      </w:r>
    </w:p>
    <w:p w14:paraId="5971059E"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Under existing rules, reporting entities must provide annual statements to </w:t>
      </w:r>
      <w:proofErr w:type="gramStart"/>
      <w:r w:rsidRPr="00DD7BD1">
        <w:rPr>
          <w:rFonts w:ascii="Calibri" w:hAnsi="Calibri" w:cs="Calibri"/>
          <w:b w:val="0"/>
          <w:bCs w:val="0"/>
          <w:color w:val="000000" w:themeColor="text1"/>
          <w:sz w:val="22"/>
          <w:szCs w:val="22"/>
        </w:rPr>
        <w:t>each individual</w:t>
      </w:r>
      <w:proofErr w:type="gramEnd"/>
      <w:r w:rsidRPr="00DD7BD1">
        <w:rPr>
          <w:rFonts w:ascii="Calibri" w:hAnsi="Calibri" w:cs="Calibri"/>
          <w:b w:val="0"/>
          <w:bCs w:val="0"/>
          <w:color w:val="000000" w:themeColor="text1"/>
          <w:sz w:val="22"/>
          <w:szCs w:val="22"/>
        </w:rPr>
        <w:t xml:space="preserve">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4B932E2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w:t>
      </w:r>
      <w:bookmarkStart w:id="28" w:name="_Hlk185848233"/>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"https://www.congress.gov/bill/118th-congress/house-bill/3797"</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Paperwork Burden Reduction Act</w:t>
      </w:r>
      <w:r w:rsidRPr="00DD7BD1">
        <w:rPr>
          <w:rFonts w:ascii="Calibri" w:hAnsi="Calibri" w:cs="Calibri"/>
          <w:b w:val="0"/>
          <w:bCs w:val="0"/>
          <w:color w:val="000000" w:themeColor="text1"/>
          <w:kern w:val="0"/>
          <w:sz w:val="22"/>
          <w:szCs w:val="22"/>
        </w:rPr>
        <w:fldChar w:fldCharType="end"/>
      </w:r>
      <w:r w:rsidRPr="00DD7BD1">
        <w:rPr>
          <w:rFonts w:ascii="Calibri" w:hAnsi="Calibri" w:cs="Calibri"/>
          <w:b w:val="0"/>
          <w:bCs w:val="0"/>
          <w:color w:val="000000" w:themeColor="text1"/>
          <w:kern w:val="0"/>
          <w:sz w:val="22"/>
          <w:szCs w:val="22"/>
        </w:rPr>
        <w:t xml:space="preserve"> </w:t>
      </w:r>
      <w:bookmarkEnd w:id="28"/>
      <w:r w:rsidRPr="00DD7BD1">
        <w:rPr>
          <w:rFonts w:ascii="Calibri" w:hAnsi="Calibri" w:cs="Calibri"/>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Electronic Consent for Individual Statements</w:t>
      </w:r>
    </w:p>
    <w:p w14:paraId="44EC00E7" w14:textId="5AB71204"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IRS currently allows reporting entities to offer Forms 1095-B and 1095-C to individuals electronically. The </w:t>
      </w:r>
      <w:hyperlink r:id="rId367" w:history="1">
        <w:r w:rsidRPr="00DD7BD1">
          <w:rPr>
            <w:rStyle w:val="Hyperlink"/>
            <w:rFonts w:ascii="Calibri" w:hAnsi="Calibri" w:cs="Calibri"/>
            <w:b w:val="0"/>
            <w:bCs w:val="0"/>
            <w:sz w:val="22"/>
            <w:szCs w:val="22"/>
          </w:rPr>
          <w:t>Employer Reporting Improvement Act</w:t>
        </w:r>
      </w:hyperlink>
      <w:r w:rsidRPr="00DD7BD1">
        <w:rPr>
          <w:rFonts w:ascii="Calibri" w:hAnsi="Calibri" w:cs="Calibri"/>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758D85C6" w14:textId="77777777" w:rsidR="00601C66" w:rsidRPr="00DD7BD1" w:rsidRDefault="00601C66" w:rsidP="00BD445F">
      <w:pPr>
        <w:pStyle w:val="Heading1"/>
        <w:shd w:val="clear" w:color="auto" w:fill="FFFFFF"/>
        <w:spacing w:before="0" w:beforeAutospacing="0" w:after="0" w:afterAutospacing="0"/>
        <w:rPr>
          <w:rFonts w:ascii="Calibri" w:hAnsi="Calibri" w:cs="Calibri"/>
          <w:color w:val="000000" w:themeColor="text1"/>
          <w:sz w:val="22"/>
          <w:szCs w:val="22"/>
        </w:rPr>
      </w:pPr>
    </w:p>
    <w:p w14:paraId="2CEB798F" w14:textId="58029150"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Other ACA Provisions</w:t>
      </w:r>
    </w:p>
    <w:p w14:paraId="60A32782"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w:t>
      </w:r>
      <w:proofErr w:type="gramStart"/>
      <w:r w:rsidRPr="00DD7BD1">
        <w:rPr>
          <w:rFonts w:ascii="Calibri" w:hAnsi="Calibri" w:cs="Calibri"/>
          <w:b w:val="0"/>
          <w:bCs w:val="0"/>
          <w:color w:val="000000" w:themeColor="text1"/>
          <w:sz w:val="22"/>
          <w:szCs w:val="22"/>
        </w:rPr>
        <w:t>have to</w:t>
      </w:r>
      <w:proofErr w:type="gramEnd"/>
      <w:r w:rsidRPr="00DD7BD1">
        <w:rPr>
          <w:rFonts w:ascii="Calibri" w:hAnsi="Calibri" w:cs="Calibri"/>
          <w:b w:val="0"/>
          <w:bCs w:val="0"/>
          <w:color w:val="000000" w:themeColor="text1"/>
          <w:sz w:val="22"/>
          <w:szCs w:val="22"/>
        </w:rPr>
        <w:t xml:space="preserve"> respond to IRS penalty assessment warning letters from 30 days to 90 days. The legislation also imposes a six-year time limit on when the IRS can try to collect assessments. </w:t>
      </w:r>
    </w:p>
    <w:p w14:paraId="6E2F87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078F08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 xml:space="preserve">Issued Executive Order: Targeting of </w:t>
      </w:r>
      <w:r w:rsidRPr="00DD7BD1">
        <w:rPr>
          <w:rFonts w:ascii="Calibri" w:hAnsi="Calibri" w:cs="Calibri"/>
          <w:color w:val="000000" w:themeColor="text1"/>
          <w:kern w:val="0"/>
          <w:sz w:val="28"/>
          <w:szCs w:val="28"/>
          <w:u w:val="single"/>
        </w:rPr>
        <w:t>Illegal</w:t>
      </w:r>
      <w:r w:rsidRPr="00DD7BD1">
        <w:rPr>
          <w:rFonts w:ascii="Calibri" w:hAnsi="Calibri" w:cs="Calibri"/>
          <w:color w:val="000000" w:themeColor="text1"/>
          <w:kern w:val="0"/>
          <w:sz w:val="28"/>
          <w:szCs w:val="28"/>
        </w:rPr>
        <w:t xml:space="preserve"> DEI Efforts – Federal Contractors – </w:t>
      </w:r>
      <w:r w:rsidRPr="00DD7BD1">
        <w:rPr>
          <w:rFonts w:ascii="Calibri" w:hAnsi="Calibri" w:cs="Calibri"/>
          <w:color w:val="C00000"/>
          <w:kern w:val="0"/>
          <w:sz w:val="28"/>
          <w:szCs w:val="28"/>
        </w:rPr>
        <w:t>April 21, 2025</w:t>
      </w:r>
    </w:p>
    <w:p w14:paraId="2AB0420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Overview</w:t>
      </w:r>
    </w:p>
    <w:p w14:paraId="6D3FC479" w14:textId="3C31B9F0" w:rsidR="00BD445F" w:rsidRPr="00DD7BD1" w:rsidRDefault="00BD445F" w:rsidP="00BD445F">
      <w:pPr>
        <w:pStyle w:val="Heading1"/>
        <w:shd w:val="clear" w:color="auto" w:fill="FFFFFF"/>
        <w:spacing w:before="0" w:beforeAutospacing="0" w:after="0" w:afterAutospacing="0"/>
        <w:rPr>
          <w:rFonts w:ascii="Calibri" w:hAnsi="Calibri" w:cs="Calibri"/>
          <w:b w:val="0"/>
          <w:bCs w:val="0"/>
        </w:rPr>
      </w:pPr>
      <w:r w:rsidRPr="00DD7BD1">
        <w:rPr>
          <w:rFonts w:ascii="Calibri" w:hAnsi="Calibri" w:cs="Calibri"/>
          <w:b w:val="0"/>
          <w:bCs w:val="0"/>
          <w:color w:val="000000" w:themeColor="text1"/>
          <w:sz w:val="22"/>
          <w:szCs w:val="22"/>
        </w:rPr>
        <w:t xml:space="preserve">President Trump’s EO revising EO 11246 does not alter existing federal EEO anti-discrimination laws and employer compliance obligations, it signals the new administration’s focus on </w:t>
      </w:r>
      <w:r w:rsidRPr="00DD7BD1">
        <w:rPr>
          <w:rFonts w:ascii="Calibri" w:hAnsi="Calibri" w:cs="Calibri"/>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2753815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Equal Employment Opportunity (EEO) refers to fair and equal treatment for designated protected classes as defined by law. EEO means that the employer gives equal consideration for a job and terms and conditions of employment to all individuals prohibiting employers from discriminating based on race, color, religion, age, marital status, national origin, disability or sex (including sexual orientation, and gender identity or expression).</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Nothing has changed relative to the EEO federal regulations being applicable to all employers – federal and private, alike.</w:t>
      </w:r>
    </w:p>
    <w:p w14:paraId="49958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07E3B03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January 21, 2025, President Trump signed an executive order (EO) titled </w:t>
      </w:r>
      <w:hyperlink r:id="rId368" w:tgtFrame="_blank" w:history="1">
        <w:r w:rsidRPr="00DD7BD1">
          <w:rPr>
            <w:rStyle w:val="Hyperlink"/>
            <w:rFonts w:ascii="Calibri" w:hAnsi="Calibri" w:cs="Calibri"/>
            <w:b w:val="0"/>
            <w:bCs w:val="0"/>
            <w:sz w:val="22"/>
            <w:szCs w:val="22"/>
          </w:rPr>
          <w:t>Ending Illegal Discrimination and Restoring Merit-Based Opportunity</w:t>
        </w:r>
      </w:hyperlink>
      <w:r w:rsidRPr="00DD7BD1">
        <w:rPr>
          <w:rFonts w:ascii="Calibri" w:hAnsi="Calibri" w:cs="Calibri"/>
          <w:b w:val="0"/>
          <w:bCs w:val="0"/>
          <w:color w:val="000000" w:themeColor="text1"/>
          <w:sz w:val="22"/>
          <w:szCs w:val="22"/>
        </w:rPr>
        <w:t xml:space="preserve">. In addition to eliminating affirmative action for federal contractors, the EO states the Trump administration’s view that certain DEI programs and policies </w:t>
      </w:r>
      <w:r w:rsidRPr="00DD7BD1">
        <w:rPr>
          <w:rFonts w:ascii="Calibri" w:hAnsi="Calibri" w:cs="Calibri"/>
          <w:color w:val="000000" w:themeColor="text1"/>
          <w:sz w:val="22"/>
          <w:szCs w:val="22"/>
        </w:rPr>
        <w:t>may</w:t>
      </w:r>
      <w:r w:rsidRPr="00DD7BD1">
        <w:rPr>
          <w:rFonts w:ascii="Calibri" w:hAnsi="Calibri" w:cs="Calibri"/>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10E58FA"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EO encourages employers to focus on “individual merit, aptitude, hard work, and determination” when selecting people for jobs. The EO does </w:t>
      </w:r>
      <w:r w:rsidRPr="00DD7BD1">
        <w:rPr>
          <w:rFonts w:ascii="Calibri" w:hAnsi="Calibri" w:cs="Calibri"/>
          <w:color w:val="000000" w:themeColor="text1"/>
          <w:sz w:val="22"/>
          <w:szCs w:val="22"/>
        </w:rPr>
        <w:t xml:space="preserve">not </w:t>
      </w:r>
      <w:r w:rsidRPr="00DD7BD1">
        <w:rPr>
          <w:rFonts w:ascii="Calibri" w:hAnsi="Calibri" w:cs="Calibri"/>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90C5B9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Notably, the </w:t>
      </w:r>
      <w:r w:rsidRPr="00DD7BD1">
        <w:rPr>
          <w:rFonts w:ascii="Calibri" w:hAnsi="Calibri" w:cs="Calibri"/>
          <w:color w:val="000000" w:themeColor="text1"/>
          <w:sz w:val="22"/>
          <w:szCs w:val="22"/>
        </w:rPr>
        <w:t>EO allows federal contractors to</w:t>
      </w:r>
      <w:r w:rsidRPr="00DD7BD1">
        <w:rPr>
          <w:rFonts w:ascii="Calibri" w:hAnsi="Calibri" w:cs="Calibri"/>
          <w:i/>
          <w:iCs/>
          <w:color w:val="000000" w:themeColor="text1"/>
          <w:sz w:val="22"/>
          <w:szCs w:val="22"/>
        </w:rPr>
        <w:t> </w:t>
      </w:r>
      <w:r w:rsidRPr="00DD7BD1">
        <w:rPr>
          <w:rFonts w:ascii="Calibri" w:hAnsi="Calibri" w:cs="Calibri"/>
          <w:color w:val="000000" w:themeColor="text1"/>
          <w:sz w:val="22"/>
          <w:szCs w:val="22"/>
        </w:rPr>
        <w:t>maintain DEI programs</w:t>
      </w:r>
      <w:r w:rsidRPr="00DD7BD1">
        <w:rPr>
          <w:rFonts w:ascii="Calibri" w:hAnsi="Calibri" w:cs="Calibri"/>
          <w:b w:val="0"/>
          <w:bCs w:val="0"/>
          <w:color w:val="000000" w:themeColor="text1"/>
          <w:sz w:val="22"/>
          <w:szCs w:val="22"/>
        </w:rPr>
        <w:t xml:space="preserve"> so long as they do not run afoul of federal (EEO) law. The EO also revokes </w:t>
      </w:r>
      <w:proofErr w:type="gramStart"/>
      <w:r w:rsidRPr="00DD7BD1">
        <w:rPr>
          <w:rFonts w:ascii="Calibri" w:hAnsi="Calibri" w:cs="Calibri"/>
          <w:b w:val="0"/>
          <w:bCs w:val="0"/>
          <w:color w:val="000000" w:themeColor="text1"/>
          <w:sz w:val="22"/>
          <w:szCs w:val="22"/>
        </w:rPr>
        <w:t>a number of</w:t>
      </w:r>
      <w:proofErr w:type="gramEnd"/>
      <w:r w:rsidRPr="00DD7BD1">
        <w:rPr>
          <w:rFonts w:ascii="Calibri" w:hAnsi="Calibri" w:cs="Calibri"/>
          <w:b w:val="0"/>
          <w:bCs w:val="0"/>
          <w:color w:val="000000" w:themeColor="text1"/>
          <w:sz w:val="22"/>
          <w:szCs w:val="22"/>
        </w:rPr>
        <w:t xml:space="preserve"> EOs which imposed affirmative action obligations on federal contractors and subcontractors in its attempt to return to merit-based employment actions that are legal and compliant with federal anti-discriminatory regulations. The elimination of such affirmative action programs should be in place by April 21, 2025.</w:t>
      </w:r>
    </w:p>
    <w:p w14:paraId="7A2335CD"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6635328F" w14:textId="6EA1471B" w:rsidR="00BD445F" w:rsidRPr="00DD7BD1" w:rsidRDefault="00BD445F" w:rsidP="00BD445F">
      <w:pPr>
        <w:pStyle w:val="Heading1"/>
        <w:spacing w:before="0" w:beforeAutospacing="0" w:after="0" w:afterAutospacing="0"/>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 xml:space="preserve">To Recap Has Federal Law Changed for Private-Sector Employers? </w:t>
      </w:r>
      <w:r w:rsidRPr="00DD7BD1">
        <w:rPr>
          <w:rFonts w:ascii="Calibri" w:hAnsi="Calibri" w:cs="Calibri"/>
          <w:b w:val="0"/>
          <w:bCs w:val="0"/>
          <w:color w:val="000000" w:themeColor="text1"/>
          <w:sz w:val="22"/>
          <w:szCs w:val="22"/>
          <w:u w:val="single"/>
        </w:rPr>
        <w:t xml:space="preserve">No, federal </w:t>
      </w:r>
      <w:proofErr w:type="gramStart"/>
      <w:r w:rsidRPr="00DD7BD1">
        <w:rPr>
          <w:rFonts w:ascii="Calibri" w:hAnsi="Calibri" w:cs="Calibri"/>
          <w:b w:val="0"/>
          <w:bCs w:val="0"/>
          <w:color w:val="000000" w:themeColor="text1"/>
          <w:sz w:val="22"/>
          <w:szCs w:val="22"/>
          <w:u w:val="single"/>
        </w:rPr>
        <w:t>antidiscrimination</w:t>
      </w:r>
      <w:proofErr w:type="gramEnd"/>
      <w:r w:rsidRPr="00DD7BD1">
        <w:rPr>
          <w:rFonts w:ascii="Calibri" w:hAnsi="Calibri" w:cs="Calibri"/>
          <w:b w:val="0"/>
          <w:bCs w:val="0"/>
          <w:color w:val="000000" w:themeColor="text1"/>
          <w:sz w:val="22"/>
          <w:szCs w:val="22"/>
          <w:u w:val="single"/>
        </w:rPr>
        <w:t xml:space="preserve"> laws remain unchanged. </w:t>
      </w:r>
    </w:p>
    <w:p w14:paraId="21E17DB4"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highlight w:val="darkGray"/>
        </w:rPr>
        <w:t>Employer Takeaways</w:t>
      </w:r>
      <w:r w:rsidRPr="00DD7BD1">
        <w:rPr>
          <w:rFonts w:ascii="Calibri" w:hAnsi="Calibri" w:cs="Calibri"/>
          <w:color w:val="000000" w:themeColor="text1"/>
          <w:sz w:val="22"/>
          <w:szCs w:val="22"/>
        </w:rPr>
        <w:t xml:space="preserve"> </w:t>
      </w:r>
      <w:r w:rsidRPr="00DD7BD1">
        <w:rPr>
          <w:rFonts w:ascii="Calibri" w:hAnsi="Calibri" w:cs="Calibri"/>
          <w:b w:val="0"/>
          <w:bCs w:val="0"/>
          <w:color w:val="000000" w:themeColor="text1"/>
          <w:sz w:val="22"/>
          <w:szCs w:val="22"/>
        </w:rPr>
        <w:t xml:space="preserve">Employers should review existing DEI practices to ensure that such practices do not discriminate </w:t>
      </w:r>
      <w:proofErr w:type="gramStart"/>
      <w:r w:rsidRPr="00DD7BD1">
        <w:rPr>
          <w:rFonts w:ascii="Calibri" w:hAnsi="Calibri" w:cs="Calibri"/>
          <w:b w:val="0"/>
          <w:bCs w:val="0"/>
          <w:color w:val="000000" w:themeColor="text1"/>
          <w:sz w:val="22"/>
          <w:szCs w:val="22"/>
        </w:rPr>
        <w:t>on the basis of</w:t>
      </w:r>
      <w:proofErr w:type="gramEnd"/>
      <w:r w:rsidRPr="00DD7BD1">
        <w:rPr>
          <w:rFonts w:ascii="Calibri" w:hAnsi="Calibri" w:cs="Calibri"/>
          <w:b w:val="0"/>
          <w:bCs w:val="0"/>
          <w:color w:val="000000" w:themeColor="text1"/>
          <w:sz w:val="22"/>
          <w:szCs w:val="22"/>
        </w:rPr>
        <w:t xml:space="preserve"> a federally protected class as well comply with any applicable, state regulatory requirements. Further, employers who </w:t>
      </w:r>
      <w:r w:rsidRPr="00DD7BD1">
        <w:rPr>
          <w:rFonts w:ascii="Calibri" w:hAnsi="Calibri" w:cs="Calibri"/>
          <w:color w:val="000000" w:themeColor="text1"/>
          <w:sz w:val="22"/>
          <w:szCs w:val="22"/>
        </w:rPr>
        <w:t>are</w:t>
      </w:r>
      <w:r w:rsidRPr="00DD7BD1">
        <w:rPr>
          <w:rFonts w:ascii="Calibri" w:hAnsi="Calibri" w:cs="Calibri"/>
          <w:b w:val="0"/>
          <w:bCs w:val="0"/>
          <w:color w:val="000000" w:themeColor="text1"/>
          <w:sz w:val="22"/>
          <w:szCs w:val="22"/>
        </w:rPr>
        <w:t xml:space="preserve"> federal contractors or subcontractors should review their DEI policies and programs as well as ensure that they eliminate noncompliant affirmative action programs by April 21, 2025. Employers committed to a fair, merit-based nondiscriminatory practices adhering to compliance with EEOC antidiscrimination regulations need not change their policies, practices or initiatives.</w:t>
      </w:r>
    </w:p>
    <w:p w14:paraId="62A02F7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u w:val="single"/>
        </w:rPr>
      </w:pPr>
    </w:p>
    <w:p w14:paraId="364ACB1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Article: Best Practices for Employers in Managing USCIS Administrative Onsite Inspections, ICE Raids, and Form I-9 Audits</w:t>
      </w:r>
    </w:p>
    <w:p w14:paraId="6E5E14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hyperlink r:id="rId369" w:anchor="page=1" w:history="1">
        <w:r w:rsidRPr="00DD7BD1">
          <w:rPr>
            <w:rStyle w:val="Hyperlink"/>
            <w:rFonts w:ascii="Calibri" w:hAnsi="Calibri" w:cs="Calibri"/>
            <w:b w:val="0"/>
            <w:bCs w:val="0"/>
            <w:sz w:val="22"/>
            <w:szCs w:val="22"/>
          </w:rPr>
          <w:t>Akerman, LLP’s January 23, 2025, publication</w:t>
        </w:r>
      </w:hyperlink>
      <w:r w:rsidRPr="00DD7BD1">
        <w:rPr>
          <w:rFonts w:ascii="Calibri" w:hAnsi="Calibri" w:cs="Calibri"/>
          <w:b w:val="0"/>
          <w:bCs w:val="0"/>
          <w:color w:val="000000" w:themeColor="text1"/>
          <w:sz w:val="22"/>
          <w:szCs w:val="22"/>
        </w:rPr>
        <w:t xml:space="preserve"> walks employers through what to expect:</w:t>
      </w:r>
    </w:p>
    <w:p w14:paraId="2A503E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H1B Onsite Inspection</w:t>
      </w:r>
    </w:p>
    <w:p w14:paraId="637233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ICE Raid &amp; Steps Employers Should Follow</w:t>
      </w:r>
    </w:p>
    <w:p w14:paraId="2F265D46"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 Form I-9 Audit</w:t>
      </w:r>
    </w:p>
    <w:p w14:paraId="6DD51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1CB682A4"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Supreme Court: Clarifies Evidence Standard for FLSA Overtime Exemption Disputes</w:t>
      </w:r>
    </w:p>
    <w:p w14:paraId="13ECA4BB" w14:textId="6EFCADB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DD7BD1">
        <w:rPr>
          <w:rFonts w:ascii="Calibri" w:hAnsi="Calibri" w:cs="Calibri"/>
          <w:b w:val="0"/>
          <w:bCs w:val="0"/>
          <w:i/>
          <w:iCs/>
          <w:color w:val="000000" w:themeColor="text1"/>
          <w:kern w:val="0"/>
          <w:sz w:val="22"/>
          <w:szCs w:val="22"/>
        </w:rPr>
        <w:t>EMD Sales Inc. v. Carrera</w:t>
      </w:r>
      <w:r w:rsidRPr="00DD7BD1">
        <w:rPr>
          <w:rFonts w:ascii="Calibri" w:hAnsi="Calibri" w:cs="Calibri"/>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DD7BD1">
        <w:rPr>
          <w:rFonts w:ascii="Calibri" w:hAnsi="Calibri" w:cs="Calibri"/>
          <w:b w:val="0"/>
          <w:bCs w:val="0"/>
          <w:color w:val="000000" w:themeColor="text1"/>
          <w:kern w:val="0"/>
          <w:sz w:val="22"/>
          <w:szCs w:val="22"/>
          <w:u w:val="single"/>
        </w:rPr>
        <w:t>employers instead need only meet the “preponderance of the evidence” standard traditionally applicable in civil litigation</w:t>
      </w:r>
      <w:r w:rsidRPr="00DD7BD1">
        <w:rPr>
          <w:rFonts w:ascii="Calibri" w:hAnsi="Calibri" w:cs="Calibri"/>
          <w:b w:val="0"/>
          <w:bCs w:val="0"/>
          <w:color w:val="000000" w:themeColor="text1"/>
          <w:kern w:val="0"/>
          <w:sz w:val="22"/>
          <w:szCs w:val="22"/>
        </w:rPr>
        <w:t>.</w:t>
      </w:r>
    </w:p>
    <w:p w14:paraId="78784936"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kern w:val="0"/>
          <w:sz w:val="22"/>
          <w:szCs w:val="22"/>
        </w:rPr>
      </w:pPr>
      <w:r w:rsidRPr="00DD7BD1">
        <w:rPr>
          <w:rFonts w:ascii="Calibri" w:hAnsi="Calibri" w:cs="Calibri"/>
          <w:color w:val="000000" w:themeColor="text1"/>
          <w:kern w:val="0"/>
          <w:sz w:val="22"/>
          <w:szCs w:val="22"/>
          <w:highlight w:val="darkGray"/>
        </w:rPr>
        <w:t>Employer Takeaways:</w:t>
      </w:r>
    </w:p>
    <w:p w14:paraId="399D8E0F"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Evidentiary Standard</w:t>
      </w:r>
      <w:r w:rsidRPr="00DD7BD1">
        <w:rPr>
          <w:rFonts w:ascii="Calibri" w:hAnsi="Calibri" w:cs="Calibri"/>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lastRenderedPageBreak/>
        <w:t>Outside Sales Exemption</w:t>
      </w:r>
      <w:r w:rsidRPr="00DD7BD1">
        <w:rPr>
          <w:rFonts w:ascii="Calibri" w:hAnsi="Calibri" w:cs="Calibri"/>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Continued Vigilance</w:t>
      </w:r>
      <w:r w:rsidRPr="00DD7BD1">
        <w:rPr>
          <w:rFonts w:ascii="Calibri" w:hAnsi="Calibri" w:cs="Calibri"/>
          <w:b w:val="0"/>
          <w:bCs w:val="0"/>
          <w:color w:val="000000" w:themeColor="text1"/>
          <w:sz w:val="22"/>
          <w:szCs w:val="22"/>
        </w:rPr>
        <w:t>: While this decision simplifies the evidentiary standard in overtime exemption cases, employers must continue to ensure proper classification of employees under the FLSA. Even under the preponderance standard, the burden of proof is still on </w:t>
      </w:r>
      <w:r w:rsidRPr="00DD7BD1">
        <w:rPr>
          <w:rFonts w:ascii="Calibri" w:hAnsi="Calibri" w:cs="Calibri"/>
          <w:b w:val="0"/>
          <w:bCs w:val="0"/>
          <w:i/>
          <w:iCs/>
          <w:color w:val="000000" w:themeColor="text1"/>
          <w:sz w:val="22"/>
          <w:szCs w:val="22"/>
        </w:rPr>
        <w:t>employers</w:t>
      </w:r>
      <w:r w:rsidRPr="00DD7BD1">
        <w:rPr>
          <w:rFonts w:ascii="Calibri" w:hAnsi="Calibri" w:cs="Calibri"/>
          <w:b w:val="0"/>
          <w:bCs w:val="0"/>
          <w:color w:val="000000" w:themeColor="text1"/>
          <w:sz w:val="22"/>
          <w:szCs w:val="22"/>
        </w:rPr>
        <w:t> to establish their employees properly qualify for an exemption from the FLSA’s minimum wage and overtime requirements. Misclassification can still place employers at risk of significant employer liabilities.</w:t>
      </w:r>
    </w:p>
    <w:p w14:paraId="75007671" w14:textId="77777777"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p>
    <w:p w14:paraId="2B419685" w14:textId="77777777" w:rsidR="00B939E8" w:rsidRPr="00DD7BD1" w:rsidRDefault="00B939E8" w:rsidP="00B939E8">
      <w:pPr>
        <w:pStyle w:val="Heading1"/>
        <w:spacing w:before="0" w:beforeAutospacing="0" w:after="0" w:afterAutospacing="0"/>
        <w:jc w:val="center"/>
        <w:rPr>
          <w:rFonts w:ascii="Calibri" w:hAnsi="Calibri" w:cs="Calibri"/>
          <w:b w:val="0"/>
          <w:bCs w:val="0"/>
          <w:sz w:val="22"/>
          <w:szCs w:val="22"/>
        </w:rPr>
      </w:pPr>
      <w:r w:rsidRPr="00DD7BD1">
        <w:rPr>
          <w:rFonts w:ascii="Calibri" w:eastAsiaTheme="minorHAnsi" w:hAnsi="Calibri" w:cs="Calibri"/>
          <w:kern w:val="0"/>
          <w:sz w:val="28"/>
          <w:szCs w:val="28"/>
          <w:shd w:val="clear" w:color="auto" w:fill="FFFFFF"/>
          <w:lang w:val="en"/>
        </w:rPr>
        <w:t>Form I-9: EAD AUTOMATIC EXTENSION PERIOD LENGTHENED</w:t>
      </w:r>
      <w:r w:rsidRPr="00DD7BD1">
        <w:rPr>
          <w:rFonts w:ascii="Calibri" w:hAnsi="Calibri" w:cs="Calibri"/>
          <w:sz w:val="22"/>
          <w:szCs w:val="22"/>
        </w:rPr>
        <w:br/>
      </w:r>
      <w:r w:rsidRPr="00DD7BD1">
        <w:rPr>
          <w:rFonts w:ascii="Calibri" w:hAnsi="Calibri" w:cs="Calibri"/>
          <w:b w:val="0"/>
          <w:bCs w:val="0"/>
          <w:sz w:val="22"/>
          <w:szCs w:val="22"/>
        </w:rPr>
        <w:t>Since 2022, the Department of Homeland Security has had </w:t>
      </w:r>
      <w:r w:rsidRPr="00DD7BD1">
        <w:rPr>
          <w:rFonts w:ascii="Calibri" w:hAnsi="Calibri" w:cs="Calibri"/>
          <w:b w:val="0"/>
          <w:bCs w:val="0"/>
          <w:i/>
          <w:iCs/>
          <w:sz w:val="22"/>
          <w:szCs w:val="22"/>
        </w:rPr>
        <w:t>temporary</w:t>
      </w:r>
      <w:r w:rsidRPr="00DD7BD1">
        <w:rPr>
          <w:rFonts w:ascii="Calibri" w:hAnsi="Calibri" w:cs="Calibri"/>
          <w:b w:val="0"/>
          <w:bCs w:val="0"/>
          <w:sz w:val="22"/>
          <w:szCs w:val="22"/>
        </w:rPr>
        <w:t> rules in place that extended the automatic extension period for employment authorization and Employment Authorization Documents (EADs) from 180 days to 540 days (due to processing backlogs). A permanent </w:t>
      </w:r>
      <w:hyperlink r:id="rId370" w:tgtFrame="_blank" w:history="1">
        <w:r w:rsidRPr="00DD7BD1">
          <w:rPr>
            <w:rStyle w:val="Hyperlink"/>
            <w:rFonts w:ascii="Calibri" w:hAnsi="Calibri" w:cs="Calibri"/>
            <w:b w:val="0"/>
            <w:bCs w:val="0"/>
            <w:sz w:val="22"/>
            <w:szCs w:val="22"/>
          </w:rPr>
          <w:t>final rule</w:t>
        </w:r>
      </w:hyperlink>
      <w:r w:rsidRPr="00DD7BD1">
        <w:rPr>
          <w:rFonts w:ascii="Calibri" w:hAnsi="Calibri" w:cs="Calibri"/>
          <w:b w:val="0"/>
          <w:bCs w:val="0"/>
          <w:sz w:val="22"/>
          <w:szCs w:val="22"/>
        </w:rPr>
        <w:t xml:space="preserve"> making this 540-day extension standard will take effect </w:t>
      </w:r>
      <w:r w:rsidRPr="00DD7BD1">
        <w:rPr>
          <w:rFonts w:ascii="Calibri" w:hAnsi="Calibri" w:cs="Calibri"/>
          <w:b w:val="0"/>
          <w:bCs w:val="0"/>
          <w:color w:val="C00000"/>
          <w:sz w:val="22"/>
          <w:szCs w:val="22"/>
        </w:rPr>
        <w:t>January 13, 2025</w:t>
      </w:r>
      <w:r w:rsidRPr="00DD7BD1">
        <w:rPr>
          <w:rFonts w:ascii="Calibri" w:hAnsi="Calibri" w:cs="Calibri"/>
          <w:b w:val="0"/>
          <w:bCs w:val="0"/>
          <w:sz w:val="22"/>
          <w:szCs w:val="22"/>
        </w:rPr>
        <w:t>. The final rule will apply to certain renewal EAD applications pending or filed on or after May 4, 2022. You can learn more about EAD extensions </w:t>
      </w:r>
      <w:hyperlink r:id="rId371"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sz w:val="22"/>
          <w:szCs w:val="22"/>
        </w:rPr>
        <w:t>.</w:t>
      </w:r>
    </w:p>
    <w:p w14:paraId="4F525683" w14:textId="77777777" w:rsidR="00B939E8" w:rsidRPr="00DD7BD1" w:rsidRDefault="00B939E8" w:rsidP="00B939E8">
      <w:pPr>
        <w:pStyle w:val="Heading1"/>
        <w:spacing w:before="0" w:beforeAutospacing="0" w:after="0" w:afterAutospacing="0"/>
        <w:jc w:val="center"/>
        <w:rPr>
          <w:rFonts w:ascii="Calibri" w:eastAsiaTheme="minorHAnsi" w:hAnsi="Calibri" w:cs="Calibri"/>
          <w:kern w:val="0"/>
          <w:sz w:val="22"/>
          <w:szCs w:val="22"/>
          <w:shd w:val="clear" w:color="auto" w:fill="FFFFFF"/>
          <w:lang w:val="en"/>
        </w:rPr>
      </w:pPr>
    </w:p>
    <w:p w14:paraId="60F3B1F4" w14:textId="505B0818" w:rsidR="00B939E8" w:rsidRPr="00DD7BD1" w:rsidRDefault="00B939E8" w:rsidP="00B939E8">
      <w:pPr>
        <w:pStyle w:val="Heading1"/>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OSHA Revises PPE Standard for Construction Industry</w:t>
      </w:r>
    </w:p>
    <w:p w14:paraId="7FFEB754" w14:textId="77777777" w:rsidR="00B939E8" w:rsidRPr="00DD7BD1" w:rsidRDefault="00B939E8" w:rsidP="00B939E8">
      <w:pPr>
        <w:pStyle w:val="Heading1"/>
        <w:spacing w:before="0" w:beforeAutospacing="0" w:after="0" w:afterAutospacing="0"/>
        <w:rPr>
          <w:rFonts w:ascii="Calibri" w:eastAsiaTheme="minorHAnsi" w:hAnsi="Calibri" w:cs="Calibri"/>
          <w:b w:val="0"/>
          <w:bCs w:val="0"/>
          <w:kern w:val="0"/>
          <w:sz w:val="22"/>
          <w:szCs w:val="22"/>
          <w:shd w:val="clear" w:color="auto" w:fill="FFFFFF"/>
          <w:lang w:val="en"/>
        </w:rPr>
      </w:pPr>
      <w:r w:rsidRPr="00DD7BD1">
        <w:rPr>
          <w:rFonts w:ascii="Calibri" w:eastAsiaTheme="minorHAnsi" w:hAnsi="Calibri" w:cs="Calibri"/>
          <w:b w:val="0"/>
          <w:bCs w:val="0"/>
          <w:kern w:val="0"/>
          <w:sz w:val="22"/>
          <w:szCs w:val="22"/>
          <w:shd w:val="clear" w:color="auto" w:fill="FFFFFF"/>
          <w:lang w:val="en"/>
        </w:rPr>
        <w:t>See attached Legal Update.</w:t>
      </w:r>
    </w:p>
    <w:p w14:paraId="212533D1" w14:textId="77777777" w:rsidR="00B939E8" w:rsidRPr="00DD7BD1" w:rsidRDefault="00B939E8" w:rsidP="00B939E8">
      <w:pPr>
        <w:pStyle w:val="Body0"/>
        <w:spacing w:after="0" w:line="240" w:lineRule="auto"/>
        <w:jc w:val="center"/>
        <w:rPr>
          <w:rFonts w:eastAsiaTheme="minorHAnsi" w:cs="Calibri"/>
          <w:b/>
          <w:bCs/>
          <w:szCs w:val="22"/>
          <w:shd w:val="clear" w:color="auto" w:fill="FFFFFF"/>
          <w:lang w:val="en"/>
        </w:rPr>
      </w:pPr>
    </w:p>
    <w:p w14:paraId="26D25F72" w14:textId="2DCCB414"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r w:rsidRPr="00DD7BD1">
        <w:rPr>
          <w:rFonts w:eastAsiaTheme="minorHAnsi" w:cs="Calibri"/>
          <w:b/>
          <w:bCs/>
          <w:sz w:val="28"/>
          <w:szCs w:val="28"/>
          <w:shd w:val="clear" w:color="auto" w:fill="FFFFFF"/>
          <w:lang w:val="en"/>
        </w:rPr>
        <w:t>IRS MILEAGE REIMBURSEMENT RATE</w:t>
      </w:r>
      <w:r w:rsidRPr="00DD7BD1">
        <w:rPr>
          <w:rFonts w:eastAsiaTheme="minorHAnsi" w:cs="Calibri"/>
          <w:sz w:val="28"/>
          <w:szCs w:val="28"/>
          <w:shd w:val="clear" w:color="auto" w:fill="FFFFFF"/>
          <w:lang w:val="en"/>
        </w:rPr>
        <w:br/>
      </w:r>
      <w:r w:rsidRPr="00DD7BD1">
        <w:rPr>
          <w:rFonts w:cs="Calibri"/>
        </w:rPr>
        <w:t>The IRS standard mileage rate will be 70 cents per mile driven for business purposes (up from 67 cents in 2024). This rate also applies to electric and hybrid vehicles. 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DD7BD1" w:rsidRDefault="00B939E8" w:rsidP="00B939E8">
      <w:pPr>
        <w:pStyle w:val="Heading1"/>
        <w:shd w:val="clear" w:color="auto" w:fill="FFFFFF"/>
        <w:spacing w:before="0" w:beforeAutospacing="0" w:after="0" w:afterAutospacing="0"/>
        <w:rPr>
          <w:rFonts w:ascii="Calibri" w:hAnsi="Calibri" w:cs="Calibri"/>
          <w:color w:val="C00000"/>
          <w:sz w:val="22"/>
          <w:szCs w:val="22"/>
        </w:rPr>
      </w:pPr>
    </w:p>
    <w:p w14:paraId="5570C371" w14:textId="77777777" w:rsidR="00FC0387" w:rsidRDefault="00FC0387"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32CC2407" w14:textId="77777777" w:rsidR="00FC0387" w:rsidRDefault="00FC0387"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55704EA5" w14:textId="62069D44"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FYI: DOL Announces Dual Jobs Final Rule (Tip Crediting)</w:t>
      </w:r>
    </w:p>
    <w:p w14:paraId="5085F53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Dec. 16, 2024, the U.S. Department of Labor (DOL) announced a </w:t>
      </w:r>
      <w:hyperlink r:id="rId372" w:history="1">
        <w:r w:rsidRPr="00DD7BD1">
          <w:rPr>
            <w:rStyle w:val="Hyperlink"/>
            <w:rFonts w:ascii="Calibri" w:hAnsi="Calibri" w:cs="Calibri"/>
            <w:b w:val="0"/>
            <w:bCs w:val="0"/>
            <w:sz w:val="22"/>
            <w:szCs w:val="22"/>
          </w:rPr>
          <w:t>final rule</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373" w:history="1">
        <w:r w:rsidRPr="00DD7BD1">
          <w:rPr>
            <w:rStyle w:val="Hyperlink"/>
            <w:rFonts w:ascii="Calibri" w:hAnsi="Calibri" w:cs="Calibri"/>
            <w:b w:val="0"/>
            <w:bCs w:val="0"/>
            <w:sz w:val="22"/>
            <w:szCs w:val="22"/>
          </w:rPr>
          <w:t>vacated</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the DOL’s 2021 Dual Jobs Rule. The final rule is scheduled to be published in the Federal Register on Dec. 17, 2024. </w:t>
      </w:r>
    </w:p>
    <w:p w14:paraId="3E1E3B8B"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28DF0C2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11D85A70"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Key Highlights</w:t>
      </w:r>
    </w:p>
    <w:p w14:paraId="34123FD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technical correction was issued in response to a Fifth Circuit decision invalidating these provisions.</w:t>
      </w:r>
    </w:p>
    <w:p w14:paraId="106F6C0D"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review their tip credit compliance, including compliance with state law requirements.</w:t>
      </w:r>
    </w:p>
    <w:p w14:paraId="1D90E247"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Background</w:t>
      </w:r>
    </w:p>
    <w:p w14:paraId="5A457012"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FLSA allows employers to claim a tip credit when compensating tipped employees for tipped work. This credit allows employers to pay their tipped employees as little as $2.13 per hour </w:t>
      </w:r>
      <w:proofErr w:type="gramStart"/>
      <w:r w:rsidRPr="00DD7BD1">
        <w:rPr>
          <w:rFonts w:ascii="Calibri" w:hAnsi="Calibri" w:cs="Calibri"/>
          <w:b w:val="0"/>
          <w:bCs w:val="0"/>
          <w:sz w:val="22"/>
          <w:szCs w:val="22"/>
        </w:rPr>
        <w:t>as long as</w:t>
      </w:r>
      <w:proofErr w:type="gramEnd"/>
      <w:r w:rsidRPr="00DD7BD1">
        <w:rPr>
          <w:rFonts w:ascii="Calibri" w:hAnsi="Calibri" w:cs="Calibri"/>
          <w:b w:val="0"/>
          <w:bCs w:val="0"/>
          <w:sz w:val="22"/>
          <w:szCs w:val="22"/>
        </w:rPr>
        <w:t xml:space="preserve"> they make at least the federal minimum wage </w:t>
      </w:r>
      <w:r w:rsidRPr="00DD7BD1">
        <w:rPr>
          <w:rFonts w:ascii="Calibri" w:hAnsi="Calibri" w:cs="Calibri"/>
          <w:b w:val="0"/>
          <w:bCs w:val="0"/>
          <w:sz w:val="22"/>
          <w:szCs w:val="22"/>
        </w:rPr>
        <w:lastRenderedPageBreak/>
        <w:t xml:space="preserve">when tips are factored in. Tipped employees are those engaged in occupations in which they customarily and regularly receive more than $30 a month in tips. The DOL recognizes that some employees routinely engage in both tipped and </w:t>
      </w:r>
      <w:proofErr w:type="gramStart"/>
      <w:r w:rsidRPr="00DD7BD1">
        <w:rPr>
          <w:rFonts w:ascii="Calibri" w:hAnsi="Calibri" w:cs="Calibri"/>
          <w:b w:val="0"/>
          <w:bCs w:val="0"/>
          <w:sz w:val="22"/>
          <w:szCs w:val="22"/>
        </w:rPr>
        <w:t>nontipped</w:t>
      </w:r>
      <w:proofErr w:type="gramEnd"/>
      <w:r w:rsidRPr="00DD7BD1">
        <w:rPr>
          <w:rFonts w:ascii="Calibri" w:hAnsi="Calibri" w:cs="Calibri"/>
          <w:b w:val="0"/>
          <w:bCs w:val="0"/>
          <w:sz w:val="22"/>
          <w:szCs w:val="22"/>
        </w:rPr>
        <w:t xml:space="preserve"> occupations. These are known as dual-job situations. However, there is a difference between employees with dual jobs and employees who incidentally engage in </w:t>
      </w:r>
      <w:proofErr w:type="gramStart"/>
      <w:r w:rsidRPr="00DD7BD1">
        <w:rPr>
          <w:rFonts w:ascii="Calibri" w:hAnsi="Calibri" w:cs="Calibri"/>
          <w:b w:val="0"/>
          <w:bCs w:val="0"/>
          <w:sz w:val="22"/>
          <w:szCs w:val="22"/>
        </w:rPr>
        <w:t>nontipped</w:t>
      </w:r>
      <w:proofErr w:type="gramEnd"/>
      <w:r w:rsidRPr="00DD7BD1">
        <w:rPr>
          <w:rFonts w:ascii="Calibri" w:hAnsi="Calibri" w:cs="Calibri"/>
          <w:b w:val="0"/>
          <w:bCs w:val="0"/>
          <w:sz w:val="22"/>
          <w:szCs w:val="22"/>
        </w:rPr>
        <w:t xml:space="preserve"> occupations, such as maintenance work and preparatory or closing activities.</w:t>
      </w:r>
    </w:p>
    <w:p w14:paraId="34E937CF"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720ECECC"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Oct. 29, 2021, the DOL </w:t>
      </w:r>
      <w:hyperlink r:id="rId374" w:history="1">
        <w:r w:rsidRPr="00DD7BD1">
          <w:rPr>
            <w:rStyle w:val="Hyperlink"/>
            <w:rFonts w:ascii="Calibri" w:hAnsi="Calibri" w:cs="Calibri"/>
            <w:b w:val="0"/>
            <w:bCs w:val="0"/>
            <w:sz w:val="22"/>
            <w:szCs w:val="22"/>
          </w:rPr>
          <w:t>issued</w:t>
        </w:r>
      </w:hyperlink>
      <w:r w:rsidRPr="00DD7BD1">
        <w:rPr>
          <w:rFonts w:ascii="Calibri" w:hAnsi="Calibri" w:cs="Calibri"/>
          <w:b w:val="0"/>
          <w:bCs w:val="0"/>
          <w:sz w:val="22"/>
          <w:szCs w:val="22"/>
        </w:rPr>
        <w:t xml:space="preserve"> a final rule that addressed the circumstances under which an employer can take a partial credit against its minimum wage obligations based on the tips received by employees. This rule </w:t>
      </w:r>
      <w:proofErr w:type="gramStart"/>
      <w:r w:rsidRPr="00DD7BD1">
        <w:rPr>
          <w:rFonts w:ascii="Calibri" w:hAnsi="Calibri" w:cs="Calibri"/>
          <w:b w:val="0"/>
          <w:bCs w:val="0"/>
          <w:sz w:val="22"/>
          <w:szCs w:val="22"/>
        </w:rPr>
        <w:t>limited</w:t>
      </w:r>
      <w:proofErr w:type="gramEnd"/>
      <w:r w:rsidRPr="00DD7BD1">
        <w:rPr>
          <w:rFonts w:ascii="Calibri" w:hAnsi="Calibri" w:cs="Calibri"/>
          <w:b w:val="0"/>
          <w:bCs w:val="0"/>
          <w:sz w:val="22"/>
          <w:szCs w:val="22"/>
        </w:rPr>
        <w:t xml:space="preserve"> the time an employee could spend on work that was not tip-producing to 20% of the employee’s hours </w:t>
      </w:r>
      <w:proofErr w:type="gramStart"/>
      <w:r w:rsidRPr="00DD7BD1">
        <w:rPr>
          <w:rFonts w:ascii="Calibri" w:hAnsi="Calibri" w:cs="Calibri"/>
          <w:b w:val="0"/>
          <w:bCs w:val="0"/>
          <w:sz w:val="22"/>
          <w:szCs w:val="22"/>
        </w:rPr>
        <w:t>in a given</w:t>
      </w:r>
      <w:proofErr w:type="gramEnd"/>
      <w:r w:rsidRPr="00DD7BD1">
        <w:rPr>
          <w:rFonts w:ascii="Calibri" w:hAnsi="Calibri" w:cs="Calibri"/>
          <w:b w:val="0"/>
          <w:bCs w:val="0"/>
          <w:sz w:val="22"/>
          <w:szCs w:val="22"/>
        </w:rPr>
        <w:t xml:space="preserve"> workweek while still allowing the employer to claim a tip credit. The final rule </w:t>
      </w:r>
      <w:proofErr w:type="gramStart"/>
      <w:r w:rsidRPr="00DD7BD1">
        <w:rPr>
          <w:rFonts w:ascii="Calibri" w:hAnsi="Calibri" w:cs="Calibri"/>
          <w:b w:val="0"/>
          <w:bCs w:val="0"/>
          <w:sz w:val="22"/>
          <w:szCs w:val="22"/>
        </w:rPr>
        <w:t>distinguished</w:t>
      </w:r>
      <w:proofErr w:type="gramEnd"/>
      <w:r w:rsidRPr="00DD7BD1">
        <w:rPr>
          <w:rFonts w:ascii="Calibri" w:hAnsi="Calibri" w:cs="Calibri"/>
          <w:b w:val="0"/>
          <w:bCs w:val="0"/>
          <w:sz w:val="22"/>
          <w:szCs w:val="22"/>
        </w:rPr>
        <w:t xml:space="preserve">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1CAB1521"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Aug. 23, 2024, the 5th Circuit found that the DOL’s 2021 Dual Jobs Rule was inconsistent with the text of the FLSA and arbitrary and capricious under the Administrative Procedure Act (APA). In doing so, the court vacated </w:t>
      </w:r>
      <w:proofErr w:type="gramStart"/>
      <w:r w:rsidRPr="00DD7BD1">
        <w:rPr>
          <w:rFonts w:ascii="Calibri" w:hAnsi="Calibri" w:cs="Calibri"/>
          <w:b w:val="0"/>
          <w:bCs w:val="0"/>
          <w:sz w:val="22"/>
          <w:szCs w:val="22"/>
        </w:rPr>
        <w:t>all of</w:t>
      </w:r>
      <w:proofErr w:type="gramEnd"/>
      <w:r w:rsidRPr="00DD7BD1">
        <w:rPr>
          <w:rFonts w:ascii="Calibri" w:hAnsi="Calibri" w:cs="Calibri"/>
          <w:b w:val="0"/>
          <w:bCs w:val="0"/>
          <w:sz w:val="22"/>
          <w:szCs w:val="22"/>
        </w:rPr>
        <w:t xml:space="preserve"> the 2021 final rule.</w:t>
      </w:r>
    </w:p>
    <w:p w14:paraId="6A564F61"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622F2362" w14:textId="0F8B6E64" w:rsidR="00434AFC" w:rsidRPr="00DD7BD1" w:rsidRDefault="00B939E8" w:rsidP="00B939E8">
      <w:pPr>
        <w:pStyle w:val="Heading1"/>
        <w:shd w:val="clear" w:color="auto" w:fill="FFFFFF"/>
        <w:spacing w:before="0" w:beforeAutospacing="0" w:after="0" w:afterAutospacing="0"/>
        <w:rPr>
          <w:rFonts w:ascii="Calibri" w:hAnsi="Calibri" w:cs="Calibri"/>
          <w:b w:val="0"/>
          <w:bCs w:val="0"/>
          <w:color w:val="C00000"/>
          <w:sz w:val="22"/>
          <w:szCs w:val="22"/>
        </w:rPr>
      </w:pPr>
      <w:r w:rsidRPr="00DD7BD1">
        <w:rPr>
          <w:rFonts w:ascii="Calibri" w:hAnsi="Calibri" w:cs="Calibri"/>
          <w:sz w:val="22"/>
          <w:szCs w:val="22"/>
        </w:rPr>
        <w:t>More Information</w:t>
      </w:r>
      <w:r w:rsidRPr="00DD7BD1">
        <w:rPr>
          <w:rFonts w:ascii="Calibri" w:hAnsi="Calibri" w:cs="Calibri"/>
          <w:b w:val="0"/>
          <w:bCs w:val="0"/>
          <w:sz w:val="22"/>
          <w:szCs w:val="22"/>
        </w:rPr>
        <w:t xml:space="preserve">:  Employers can find more information and resources related to the tip regulations and the final rule on the DOL’s </w:t>
      </w:r>
      <w:hyperlink r:id="rId375" w:history="1">
        <w:r w:rsidRPr="00DD7BD1">
          <w:rPr>
            <w:rStyle w:val="Hyperlink"/>
            <w:rFonts w:ascii="Calibri" w:hAnsi="Calibri" w:cs="Calibri"/>
            <w:b w:val="0"/>
            <w:bCs w:val="0"/>
            <w:sz w:val="22"/>
            <w:szCs w:val="22"/>
          </w:rPr>
          <w:t>webpage</w:t>
        </w:r>
      </w:hyperlink>
      <w:r w:rsidRPr="00DD7BD1">
        <w:rPr>
          <w:rFonts w:ascii="Calibri" w:hAnsi="Calibri" w:cs="Calibri"/>
          <w:b w:val="0"/>
          <w:bCs w:val="0"/>
          <w:color w:val="C00000"/>
          <w:sz w:val="22"/>
          <w:szCs w:val="22"/>
        </w:rPr>
        <w:t xml:space="preserve">. </w:t>
      </w:r>
    </w:p>
    <w:p w14:paraId="10B7B0B2" w14:textId="77777777" w:rsidR="00B939E8" w:rsidRPr="00DD7BD1" w:rsidRDefault="00B939E8" w:rsidP="007C5376">
      <w:pPr>
        <w:pStyle w:val="Heading1"/>
        <w:shd w:val="clear" w:color="auto" w:fill="FFFFFF"/>
        <w:spacing w:before="0" w:beforeAutospacing="0" w:after="0" w:afterAutospacing="0" w:line="264" w:lineRule="atLeast"/>
        <w:jc w:val="center"/>
        <w:rPr>
          <w:rFonts w:ascii="Calibri" w:hAnsi="Calibri" w:cs="Calibri"/>
          <w:sz w:val="22"/>
          <w:szCs w:val="22"/>
        </w:rPr>
      </w:pPr>
    </w:p>
    <w:p w14:paraId="2585FEC3" w14:textId="6FA464B0" w:rsidR="007C5376" w:rsidRPr="00DD7BD1" w:rsidRDefault="007C5376" w:rsidP="007C5376">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PCORI Fee Amount Adjusted for 2025 – </w:t>
      </w:r>
      <w:r w:rsidRPr="00DD7BD1">
        <w:rPr>
          <w:rFonts w:ascii="Calibri" w:hAnsi="Calibri" w:cs="Calibri"/>
          <w:color w:val="C00000"/>
          <w:sz w:val="28"/>
          <w:szCs w:val="28"/>
        </w:rPr>
        <w:t>Due July 31, 2025</w:t>
      </w:r>
    </w:p>
    <w:p w14:paraId="208B4C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Internal Revenue Service (IRS) has issued </w:t>
      </w:r>
      <w:hyperlink r:id="rId376" w:anchor="NOT-2024-83" w:history="1">
        <w:r w:rsidRPr="00DD7BD1">
          <w:rPr>
            <w:rStyle w:val="Hyperlink"/>
            <w:rFonts w:ascii="Calibri" w:hAnsi="Calibri" w:cs="Calibri"/>
            <w:b w:val="0"/>
            <w:bCs w:val="0"/>
            <w:sz w:val="22"/>
            <w:szCs w:val="22"/>
          </w:rPr>
          <w:t>Notice 2024-83</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p>
    <w:p w14:paraId="0FCC1BC7" w14:textId="1225D096" w:rsidR="000C0E84"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1F57896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Applicability of PCORI Fee</w:t>
      </w:r>
    </w:p>
    <w:p w14:paraId="7C3EAAE6"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 was created by the Affordable Care Act (ACA) and first applied for plan or policy years ending on or after Oct. 1, 2012. The fee is imposed on health insurance issuers and </w:t>
      </w:r>
      <w:r w:rsidRPr="00DD7BD1">
        <w:rPr>
          <w:rFonts w:ascii="Calibri" w:hAnsi="Calibri" w:cs="Calibri"/>
          <w:b w:val="0"/>
          <w:bCs w:val="0"/>
          <w:color w:val="C00000"/>
          <w:sz w:val="22"/>
          <w:szCs w:val="22"/>
          <w:u w:val="single"/>
        </w:rPr>
        <w:t>self-insured plan (which includes self-funded medical plans as well as level-funded medical plans)</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2D62FDAD"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Payment Deadline</w:t>
      </w:r>
    </w:p>
    <w:p w14:paraId="49AAA6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PCORI fees are reported and paid annually on IRS </w:t>
      </w:r>
      <w:hyperlink r:id="rId377" w:history="1">
        <w:r w:rsidRPr="00DD7BD1">
          <w:rPr>
            <w:rStyle w:val="Hyperlink"/>
            <w:rFonts w:ascii="Calibri" w:hAnsi="Calibri" w:cs="Calibri"/>
            <w:b w:val="0"/>
            <w:bCs w:val="0"/>
            <w:sz w:val="22"/>
            <w:szCs w:val="22"/>
          </w:rPr>
          <w:t>Form 720</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u w:val="single"/>
        </w:rPr>
      </w:pPr>
    </w:p>
    <w:p w14:paraId="2362122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Calculating the PCORI Fee</w:t>
      </w:r>
    </w:p>
    <w:p w14:paraId="546799D9" w14:textId="1BDCA131" w:rsidR="007C5376" w:rsidRPr="00DD7BD1" w:rsidRDefault="007C5376" w:rsidP="00B939E8">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fees are calculated based on the average number of </w:t>
      </w:r>
      <w:proofErr w:type="gramStart"/>
      <w:r w:rsidRPr="00DD7BD1">
        <w:rPr>
          <w:rFonts w:ascii="Calibri" w:hAnsi="Calibri" w:cs="Calibri"/>
          <w:b w:val="0"/>
          <w:bCs w:val="0"/>
          <w:sz w:val="22"/>
          <w:szCs w:val="22"/>
        </w:rPr>
        <w:t>covered lives</w:t>
      </w:r>
      <w:proofErr w:type="gramEnd"/>
      <w:r w:rsidRPr="00DD7BD1">
        <w:rPr>
          <w:rFonts w:ascii="Calibri" w:hAnsi="Calibri" w:cs="Calibri"/>
          <w:b w:val="0"/>
          <w:bCs w:val="0"/>
          <w:sz w:val="22"/>
          <w:szCs w:val="22"/>
        </w:rPr>
        <w:t xml:space="preserve"> under the plan or policy. This generally includes employees and their enrolled spouses and dependents, unless the plan is an HRA or FSA</w:t>
      </w:r>
      <w:r w:rsidRPr="00DD7BD1">
        <w:rPr>
          <w:rFonts w:ascii="Calibri" w:hAnsi="Calibri" w:cs="Calibri"/>
          <w:b w:val="0"/>
          <w:bCs w:val="0"/>
          <w:color w:val="C00000"/>
          <w:sz w:val="22"/>
          <w:szCs w:val="22"/>
        </w:rPr>
        <w:t xml:space="preserve">. </w:t>
      </w:r>
      <w:hyperlink r:id="rId378" w:history="1">
        <w:r w:rsidRPr="00DD7BD1">
          <w:rPr>
            <w:rStyle w:val="Hyperlink"/>
            <w:rFonts w:ascii="Calibri" w:hAnsi="Calibri" w:cs="Calibri"/>
            <w:b w:val="0"/>
            <w:bCs w:val="0"/>
            <w:sz w:val="22"/>
            <w:szCs w:val="22"/>
          </w:rPr>
          <w:t>Final rules</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outline </w:t>
      </w:r>
      <w:proofErr w:type="gramStart"/>
      <w:r w:rsidRPr="00DD7BD1">
        <w:rPr>
          <w:rFonts w:ascii="Calibri" w:hAnsi="Calibri" w:cs="Calibri"/>
          <w:b w:val="0"/>
          <w:bCs w:val="0"/>
          <w:sz w:val="22"/>
          <w:szCs w:val="22"/>
        </w:rPr>
        <w:t>a number of</w:t>
      </w:r>
      <w:proofErr w:type="gramEnd"/>
      <w:r w:rsidRPr="00DD7BD1">
        <w:rPr>
          <w:rFonts w:ascii="Calibri" w:hAnsi="Calibri" w:cs="Calibri"/>
          <w:b w:val="0"/>
          <w:bCs w:val="0"/>
          <w:sz w:val="22"/>
          <w:szCs w:val="22"/>
        </w:rPr>
        <w:t xml:space="preserve"> alternatives for issuers and plan sponsors to determine the average number of covered lives.</w:t>
      </w:r>
    </w:p>
    <w:p w14:paraId="32288F85" w14:textId="77777777" w:rsidR="00B939E8" w:rsidRPr="00DD7BD1" w:rsidRDefault="00B939E8" w:rsidP="00B939E8">
      <w:pPr>
        <w:pStyle w:val="Heading1"/>
        <w:shd w:val="clear" w:color="auto" w:fill="FFFFFF"/>
        <w:spacing w:before="0" w:beforeAutospacing="0" w:after="0" w:afterAutospacing="0"/>
        <w:jc w:val="both"/>
        <w:rPr>
          <w:rFonts w:ascii="Calibri" w:hAnsi="Calibri" w:cs="Calibri"/>
          <w:b w:val="0"/>
          <w:bCs w:val="0"/>
          <w:sz w:val="22"/>
          <w:szCs w:val="22"/>
        </w:rPr>
      </w:pPr>
    </w:p>
    <w:p w14:paraId="4AB06466" w14:textId="454E1578" w:rsidR="00B939E8" w:rsidRPr="00DD7BD1" w:rsidRDefault="00B939E8" w:rsidP="00B939E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Resource: State Overtime Salary Minim</w:t>
      </w:r>
      <w:r w:rsidR="00DA581D" w:rsidRPr="00DD7BD1">
        <w:rPr>
          <w:rFonts w:ascii="Calibri" w:hAnsi="Calibri" w:cs="Calibri"/>
          <w:sz w:val="28"/>
          <w:szCs w:val="28"/>
        </w:rPr>
        <w:t>um</w:t>
      </w:r>
      <w:r w:rsidRPr="00DD7BD1">
        <w:rPr>
          <w:rFonts w:ascii="Calibri" w:hAnsi="Calibri" w:cs="Calibri"/>
          <w:sz w:val="28"/>
          <w:szCs w:val="28"/>
        </w:rPr>
        <w:t xml:space="preserve"> Threshold</w:t>
      </w:r>
    </w:p>
    <w:p w14:paraId="56BDCEB9" w14:textId="353C2B35"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See attached </w:t>
      </w:r>
      <w:proofErr w:type="gramStart"/>
      <w:r w:rsidRPr="00DD7BD1">
        <w:rPr>
          <w:rFonts w:ascii="Calibri" w:hAnsi="Calibri" w:cs="Calibri"/>
          <w:b w:val="0"/>
          <w:bCs w:val="0"/>
          <w:sz w:val="22"/>
          <w:szCs w:val="22"/>
        </w:rPr>
        <w:t>chart resource</w:t>
      </w:r>
      <w:proofErr w:type="gramEnd"/>
      <w:r w:rsidRPr="00DD7BD1">
        <w:rPr>
          <w:rFonts w:ascii="Calibri" w:hAnsi="Calibri" w:cs="Calibri"/>
          <w:b w:val="0"/>
          <w:bCs w:val="0"/>
          <w:sz w:val="22"/>
          <w:szCs w:val="22"/>
        </w:rPr>
        <w:t>.</w:t>
      </w:r>
    </w:p>
    <w:p w14:paraId="28E3F8E2" w14:textId="77777777" w:rsidR="00636C21" w:rsidRPr="00DD7BD1" w:rsidRDefault="00636C21"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4650809D" w14:textId="2B2E4398"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UPDATE: Corporate Transparency Act (BOI Disclosure Requirements)</w:t>
      </w:r>
    </w:p>
    <w:p w14:paraId="1962D9AF" w14:textId="77777777"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12"/>
          <w:szCs w:val="12"/>
          <w:shd w:val="clear" w:color="auto" w:fill="FFFFFF"/>
          <w:lang w:val="en"/>
        </w:rPr>
      </w:pPr>
    </w:p>
    <w:p w14:paraId="5DDEC5A0" w14:textId="43E6A7E1"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As of December 26, 2024, the injunction issued by the district court in </w:t>
      </w:r>
      <w:r w:rsidRPr="00DD7BD1">
        <w:rPr>
          <w:rFonts w:ascii="Calibri" w:eastAsiaTheme="minorHAnsi" w:hAnsi="Calibri" w:cs="Calibri"/>
          <w:b w:val="0"/>
          <w:bCs w:val="0"/>
          <w:i/>
          <w:iCs/>
          <w:kern w:val="0"/>
          <w:sz w:val="22"/>
          <w:szCs w:val="22"/>
          <w:shd w:val="clear" w:color="auto" w:fill="FFFFFF"/>
        </w:rPr>
        <w:t>Texas Top Cop Shop, Inc. v. Garland </w:t>
      </w:r>
      <w:r w:rsidRPr="00DD7BD1">
        <w:rPr>
          <w:rFonts w:ascii="Calibri" w:eastAsiaTheme="minorHAnsi" w:hAnsi="Calibri" w:cs="Calibri"/>
          <w:kern w:val="0"/>
          <w:sz w:val="22"/>
          <w:szCs w:val="22"/>
          <w:shd w:val="clear" w:color="auto" w:fill="FFFFFF"/>
        </w:rPr>
        <w:t>remains in effect</w:t>
      </w:r>
      <w:r w:rsidRPr="00DD7BD1">
        <w:rPr>
          <w:rFonts w:ascii="Calibri" w:eastAsiaTheme="minorHAnsi" w:hAnsi="Calibri" w:cs="Calibri"/>
          <w:b w:val="0"/>
          <w:bCs w:val="0"/>
          <w:kern w:val="0"/>
          <w:sz w:val="22"/>
          <w:szCs w:val="22"/>
          <w:shd w:val="clear" w:color="auto" w:fill="FFFFFF"/>
        </w:rPr>
        <w:t xml:space="preserve"> and reporting companies are </w:t>
      </w:r>
      <w:r w:rsidRPr="00DD7BD1">
        <w:rPr>
          <w:rFonts w:ascii="Calibri" w:eastAsiaTheme="minorHAnsi" w:hAnsi="Calibri" w:cs="Calibri"/>
          <w:kern w:val="0"/>
          <w:sz w:val="22"/>
          <w:szCs w:val="22"/>
          <w:shd w:val="clear" w:color="auto" w:fill="FFFFFF"/>
        </w:rPr>
        <w:t>not currently required to file beneficial ownership information with FinCEN</w:t>
      </w:r>
      <w:r w:rsidRPr="00DD7BD1">
        <w:rPr>
          <w:rFonts w:ascii="Calibri" w:eastAsiaTheme="minorHAnsi" w:hAnsi="Calibri" w:cs="Calibri"/>
          <w:b w:val="0"/>
          <w:bCs w:val="0"/>
          <w:kern w:val="0"/>
          <w:sz w:val="22"/>
          <w:szCs w:val="22"/>
          <w:shd w:val="clear" w:color="auto" w:fill="FFFFFF"/>
        </w:rPr>
        <w:t xml:space="preserve">. ETC will continue to </w:t>
      </w:r>
      <w:r w:rsidRPr="00DD7BD1">
        <w:rPr>
          <w:rFonts w:ascii="Calibri" w:eastAsiaTheme="minorHAnsi" w:hAnsi="Calibri" w:cs="Calibri"/>
          <w:b w:val="0"/>
          <w:bCs w:val="0"/>
          <w:kern w:val="0"/>
          <w:sz w:val="22"/>
          <w:szCs w:val="22"/>
          <w:shd w:val="clear" w:color="auto" w:fill="FFFFFF"/>
        </w:rPr>
        <w:lastRenderedPageBreak/>
        <w:t>monitor the situation. Visit </w:t>
      </w:r>
      <w:hyperlink r:id="rId379" w:tgtFrame="_blank" w:history="1">
        <w:r w:rsidRPr="00DD7BD1">
          <w:rPr>
            <w:rStyle w:val="Hyperlink"/>
            <w:rFonts w:ascii="Calibri" w:eastAsiaTheme="minorHAnsi" w:hAnsi="Calibri" w:cs="Calibri"/>
            <w:b w:val="0"/>
            <w:bCs w:val="0"/>
            <w:kern w:val="0"/>
            <w:sz w:val="22"/>
            <w:szCs w:val="22"/>
            <w:shd w:val="clear" w:color="auto" w:fill="FFFFFF"/>
          </w:rPr>
          <w:t>https://fincen.gov/boi</w:t>
        </w:r>
      </w:hyperlink>
      <w:r w:rsidRPr="00DD7BD1">
        <w:rPr>
          <w:rFonts w:ascii="Calibri" w:eastAsiaTheme="minorHAnsi" w:hAnsi="Calibri" w:cs="Calibri"/>
          <w:b w:val="0"/>
          <w:bCs w:val="0"/>
          <w:kern w:val="0"/>
          <w:sz w:val="22"/>
          <w:szCs w:val="22"/>
          <w:shd w:val="clear" w:color="auto" w:fill="FFFFFF"/>
        </w:rPr>
        <w:t> for up-to-</w:t>
      </w:r>
      <w:proofErr w:type="gramStart"/>
      <w:r w:rsidRPr="00DD7BD1">
        <w:rPr>
          <w:rFonts w:ascii="Calibri" w:eastAsiaTheme="minorHAnsi" w:hAnsi="Calibri" w:cs="Calibri"/>
          <w:b w:val="0"/>
          <w:bCs w:val="0"/>
          <w:kern w:val="0"/>
          <w:sz w:val="22"/>
          <w:szCs w:val="22"/>
          <w:shd w:val="clear" w:color="auto" w:fill="FFFFFF"/>
        </w:rPr>
        <w:t>date Alerts and additional information on the federal filing requirements.</w:t>
      </w:r>
      <w:proofErr w:type="gramEnd"/>
    </w:p>
    <w:p w14:paraId="16CF98B7" w14:textId="77777777"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p>
    <w:p w14:paraId="022F2DF0" w14:textId="70785BD3" w:rsidR="001A580B" w:rsidRPr="00DD7BD1" w:rsidRDefault="001A580B" w:rsidP="001A580B">
      <w:pPr>
        <w:pStyle w:val="ListParagraph"/>
        <w:shd w:val="clear" w:color="auto" w:fill="FFFFFF"/>
        <w:spacing w:line="235" w:lineRule="atLeast"/>
        <w:ind w:left="-90"/>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Corporate Transparency Act Halted Ahead of Jan 1 Reporting Deadline</w:t>
      </w:r>
    </w:p>
    <w:p w14:paraId="400D5C83" w14:textId="7D6AB85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In </w:t>
      </w:r>
      <w:hyperlink r:id="rId380" w:tgtFrame="_blank" w:tooltip="https://cta-v-garland-district-court-opinion-preliminary-injunction" w:history="1">
        <w:r w:rsidRPr="00DD7BD1">
          <w:rPr>
            <w:rStyle w:val="Hyperlink"/>
            <w:rFonts w:ascii="Calibri" w:hAnsi="Calibri" w:cs="Calibri"/>
            <w:i/>
            <w:iCs/>
            <w:color w:val="467886"/>
          </w:rPr>
          <w:t>Texas Top Cop Shop v Garland et al.</w:t>
        </w:r>
      </w:hyperlink>
      <w:r w:rsidRPr="00DD7BD1">
        <w:rPr>
          <w:rFonts w:ascii="Calibri" w:hAnsi="Calibri" w:cs="Calibri"/>
          <w:color w:val="222222"/>
        </w:rPr>
        <w:t> ( case 4:24-cv-00478 December 3, 2024)</w:t>
      </w:r>
      <w:r w:rsidRPr="00DD7BD1">
        <w:rPr>
          <w:rFonts w:ascii="Calibri" w:hAnsi="Calibri" w:cs="Calibri"/>
          <w:i/>
          <w:iCs/>
          <w:color w:val="222222"/>
        </w:rPr>
        <w:t> </w:t>
      </w:r>
      <w:r w:rsidRPr="00DD7BD1">
        <w:rPr>
          <w:rFonts w:ascii="Calibri" w:hAnsi="Calibri" w:cs="Calibri"/>
          <w:color w:val="222222"/>
        </w:rPr>
        <w:t>, the U.S. District Court for the Eastern District of Texas issued </w:t>
      </w:r>
      <w:r w:rsidRPr="00DD7BD1">
        <w:rPr>
          <w:rFonts w:ascii="Calibri" w:hAnsi="Calibri" w:cs="Calibri"/>
          <w:color w:val="222222"/>
          <w:u w:val="single"/>
        </w:rPr>
        <w:t>a nationwide</w:t>
      </w:r>
      <w:r w:rsidRPr="00DD7BD1">
        <w:rPr>
          <w:rFonts w:ascii="Calibri" w:hAnsi="Calibri" w:cs="Calibri"/>
          <w:color w:val="222222"/>
        </w:rPr>
        <w:t> </w:t>
      </w:r>
      <w:r w:rsidRPr="00DD7BD1">
        <w:rPr>
          <w:rFonts w:ascii="Calibri" w:hAnsi="Calibri" w:cs="Calibri"/>
          <w:color w:val="222222"/>
          <w:u w:val="single"/>
        </w:rPr>
        <w:t>preliminary injunction</w:t>
      </w:r>
      <w:r w:rsidRPr="00DD7BD1">
        <w:rPr>
          <w:rFonts w:ascii="Calibri" w:hAnsi="Calibri" w:cs="Calibri"/>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 xml:space="preserve">The CTA, enacted back in 2021, mandates that most U.S. companies report personal identifying information about their beneficial owners to FinCEN as part of efforts to combat money laundering, sanctions busting, and other illicit financing. The court’s ruling </w:t>
      </w:r>
      <w:proofErr w:type="gramStart"/>
      <w:r w:rsidRPr="00DD7BD1">
        <w:rPr>
          <w:rFonts w:ascii="Calibri" w:hAnsi="Calibri" w:cs="Calibri"/>
          <w:color w:val="222222"/>
        </w:rPr>
        <w:t>temporarily suspends</w:t>
      </w:r>
      <w:proofErr w:type="gramEnd"/>
      <w:r w:rsidRPr="00DD7BD1">
        <w:rPr>
          <w:rFonts w:ascii="Calibri" w:hAnsi="Calibri" w:cs="Calibri"/>
          <w:color w:val="222222"/>
        </w:rPr>
        <w:t xml:space="preserve"> these obligations, including the disclosure beneficial ownership information requirements, giving companies a temporary reprieve from the impending January 1 compliance deadline.</w:t>
      </w:r>
    </w:p>
    <w:p w14:paraId="7060ED9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124D8761" w14:textId="77777777" w:rsidR="001A580B" w:rsidRPr="00DD7BD1" w:rsidRDefault="001A580B" w:rsidP="001A580B">
      <w:pPr>
        <w:pStyle w:val="ListParagraph"/>
        <w:shd w:val="clear" w:color="auto" w:fill="FFFFFF"/>
        <w:spacing w:line="235" w:lineRule="atLeast"/>
        <w:ind w:left="0"/>
        <w:jc w:val="both"/>
        <w:rPr>
          <w:rFonts w:ascii="Calibri" w:hAnsi="Calibri" w:cs="Calibri"/>
          <w:b/>
          <w:bCs/>
          <w:color w:val="222222"/>
        </w:rPr>
      </w:pPr>
      <w:r w:rsidRPr="00DD7BD1">
        <w:rPr>
          <w:rFonts w:ascii="Calibri" w:hAnsi="Calibri" w:cs="Calibri"/>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434F50B5"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 xml:space="preserve">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w:t>
      </w:r>
      <w:proofErr w:type="gramStart"/>
      <w:r w:rsidRPr="00DD7BD1">
        <w:rPr>
          <w:rFonts w:ascii="Calibri" w:hAnsi="Calibri" w:cs="Calibri"/>
          <w:b/>
          <w:bCs/>
          <w:color w:val="222222"/>
        </w:rPr>
        <w:t>enjoined</w:t>
      </w:r>
      <w:proofErr w:type="gramEnd"/>
      <w:r w:rsidRPr="00DD7BD1">
        <w:rPr>
          <w:rFonts w:ascii="Calibri" w:hAnsi="Calibri" w:cs="Calibri"/>
          <w:b/>
          <w:bCs/>
          <w:color w:val="222222"/>
        </w:rPr>
        <w:t xml:space="preserve"> by the courts.</w:t>
      </w:r>
    </w:p>
    <w:p w14:paraId="54D7F9A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7C90996F"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Nationwide Injunction</w:t>
      </w:r>
    </w:p>
    <w:p w14:paraId="525B328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BBD1A3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Court's Reasoning</w:t>
      </w:r>
    </w:p>
    <w:p w14:paraId="70A2CBA6"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5709B41" w14:textId="3179926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DOL’s 2024 Exempt Salary Rule Struck Down</w:t>
      </w:r>
    </w:p>
    <w:p w14:paraId="479C68B7"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bookmarkStart w:id="29" w:name="_Hlk184202507"/>
      <w:r w:rsidRPr="00DD7BD1">
        <w:rPr>
          <w:rFonts w:ascii="Calibri" w:hAnsi="Calibri" w:cs="Calibri"/>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409F8FD6"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29"/>
      <w:r w:rsidRPr="00DD7BD1">
        <w:rPr>
          <w:rFonts w:ascii="Calibri" w:hAnsi="Calibri" w:cs="Calibri"/>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608707EB"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lastRenderedPageBreak/>
        <w:t xml:space="preserve">Employees ensure compliance with any applicable state or local laws </w:t>
      </w:r>
      <w:proofErr w:type="gramStart"/>
      <w:r w:rsidRPr="00DD7BD1">
        <w:rPr>
          <w:rFonts w:ascii="Calibri" w:hAnsi="Calibri" w:cs="Calibri"/>
          <w:b w:val="0"/>
          <w:bCs w:val="0"/>
          <w:sz w:val="22"/>
          <w:szCs w:val="22"/>
        </w:rPr>
        <w:t>relative</w:t>
      </w:r>
      <w:proofErr w:type="gramEnd"/>
      <w:r w:rsidRPr="00DD7BD1">
        <w:rPr>
          <w:rFonts w:ascii="Calibri" w:hAnsi="Calibri" w:cs="Calibri"/>
          <w:b w:val="0"/>
          <w:bCs w:val="0"/>
          <w:sz w:val="22"/>
          <w:szCs w:val="22"/>
        </w:rPr>
        <w:t xml:space="preserve"> the minimum salary thresholds for position exemptions which remain applicable.</w:t>
      </w:r>
    </w:p>
    <w:p w14:paraId="3747B995"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55A76298" w14:textId="77777777" w:rsidR="00590EB9" w:rsidRPr="00DD7BD1" w:rsidRDefault="00590EB9" w:rsidP="00590EB9">
      <w:pPr>
        <w:pStyle w:val="Heading1"/>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DD7BD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AK</w:t>
                  </w:r>
                  <w:r w:rsidRPr="00DD7BD1">
                    <w:rPr>
                      <w:rFonts w:ascii="Calibri" w:hAnsi="Calibri" w:cs="Calibri"/>
                      <w:b w:val="0"/>
                      <w:bCs w:val="0"/>
                      <w:sz w:val="22"/>
                      <w:szCs w:val="22"/>
                    </w:rPr>
                    <w:t>:  as of Jan 1, 2025: $938.40/week $49,796.80 annually</w:t>
                  </w:r>
                </w:p>
                <w:p w14:paraId="31FA482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CA</w:t>
                  </w:r>
                  <w:r w:rsidRPr="00DD7BD1">
                    <w:rPr>
                      <w:rFonts w:ascii="Calibri" w:hAnsi="Calibri" w:cs="Calibri"/>
                      <w:b w:val="0"/>
                      <w:bCs w:val="0"/>
                      <w:sz w:val="22"/>
                      <w:szCs w:val="22"/>
                    </w:rPr>
                    <w:t>:  as of Jan 1, 2025: $1,320/week ($68,640 annually)</w:t>
                  </w:r>
                </w:p>
              </w:tc>
            </w:tr>
          </w:tbl>
          <w:p w14:paraId="60A9AE5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CO</w:t>
                  </w:r>
                  <w:r w:rsidRPr="00DD7BD1">
                    <w:rPr>
                      <w:rFonts w:ascii="Calibri" w:hAnsi="Calibri" w:cs="Calibri"/>
                      <w:b w:val="0"/>
                      <w:bCs w:val="0"/>
                      <w:sz w:val="22"/>
                      <w:szCs w:val="22"/>
                    </w:rPr>
                    <w:t>:  as of Jan 1, 2025: $1,086.25/week ($56,485 annually)</w:t>
                  </w:r>
                </w:p>
                <w:p w14:paraId="44E7732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ME</w:t>
                  </w:r>
                  <w:r w:rsidRPr="00DD7BD1">
                    <w:rPr>
                      <w:rFonts w:ascii="Calibri" w:hAnsi="Calibri" w:cs="Calibri"/>
                      <w:b w:val="0"/>
                      <w:bCs w:val="0"/>
                      <w:sz w:val="22"/>
                      <w:szCs w:val="22"/>
                    </w:rPr>
                    <w:t>:  $845.19/week ($43,950 annually)</w:t>
                  </w:r>
                </w:p>
              </w:tc>
            </w:tr>
          </w:tbl>
          <w:p w14:paraId="62F9E96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NY:</w:t>
                  </w:r>
                  <w:r w:rsidRPr="00DD7BD1">
                    <w:rPr>
                      <w:rFonts w:ascii="Calibri" w:hAnsi="Calibri" w:cs="Calibri"/>
                      <w:b w:val="0"/>
                      <w:bCs w:val="0"/>
                      <w:sz w:val="22"/>
                      <w:szCs w:val="22"/>
                    </w:rPr>
                    <w:t>  as of Jan 1, 2025:</w:t>
                  </w:r>
                </w:p>
                <w:p w14:paraId="7C75C1B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In New York City, Long Island, &amp; Westchester County</w:t>
                  </w:r>
                </w:p>
                <w:p w14:paraId="4C964D52" w14:textId="77777777" w:rsidR="00590EB9" w:rsidRPr="00DD7BD1" w:rsidRDefault="00590EB9">
                  <w:pPr>
                    <w:pStyle w:val="Heading1"/>
                    <w:numPr>
                      <w:ilvl w:val="0"/>
                      <w:numId w:val="104"/>
                    </w:numPr>
                    <w:tabs>
                      <w:tab w:val="clear" w:pos="720"/>
                      <w:tab w:val="num" w:pos="120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$1,237.50/week ($64,350 annually) </w:t>
                  </w:r>
                </w:p>
                <w:p w14:paraId="3D211EB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Remainder of New York State</w:t>
                  </w:r>
                </w:p>
                <w:p w14:paraId="3AA49A8A" w14:textId="77777777" w:rsidR="00590EB9" w:rsidRPr="00DD7BD1" w:rsidRDefault="00590EB9">
                  <w:pPr>
                    <w:pStyle w:val="Heading1"/>
                    <w:numPr>
                      <w:ilvl w:val="0"/>
                      <w:numId w:val="105"/>
                    </w:numPr>
                    <w:tabs>
                      <w:tab w:val="clear" w:pos="72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$1,161.65/week ($60,405.80 annually) </w:t>
                  </w:r>
                </w:p>
              </w:tc>
            </w:tr>
          </w:tbl>
          <w:p w14:paraId="673C586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WA</w:t>
                  </w:r>
                  <w:r w:rsidRPr="00DD7BD1">
                    <w:rPr>
                      <w:rFonts w:ascii="Calibri" w:hAnsi="Calibri" w:cs="Calibri"/>
                      <w:b w:val="0"/>
                      <w:bCs w:val="0"/>
                      <w:sz w:val="22"/>
                      <w:szCs w:val="22"/>
                    </w:rPr>
                    <w:t>:  as of Jan 1, 2025:</w:t>
                  </w:r>
                </w:p>
                <w:p w14:paraId="2D3BA84B"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Small Employer (1-50 EEs) $1,332.80/week ($69,305.60 annually)</w:t>
                  </w:r>
                </w:p>
                <w:p w14:paraId="64B41F75"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with 51 or more Employees $1,499.40/week ($77,968.80 annually)</w:t>
                  </w:r>
                </w:p>
                <w:p w14:paraId="6D27C004" w14:textId="77777777" w:rsidR="00590EB9" w:rsidRPr="00DD7BD1" w:rsidRDefault="00590EB9" w:rsidP="00EB2872">
                  <w:pPr>
                    <w:pStyle w:val="Heading1"/>
                    <w:spacing w:before="0" w:beforeAutospacing="0" w:after="0" w:afterAutospacing="0"/>
                    <w:ind w:left="720"/>
                    <w:rPr>
                      <w:rFonts w:ascii="Calibri" w:hAnsi="Calibri" w:cs="Calibri"/>
                      <w:b w:val="0"/>
                      <w:bCs w:val="0"/>
                      <w:sz w:val="22"/>
                      <w:szCs w:val="22"/>
                    </w:rPr>
                  </w:pPr>
                </w:p>
              </w:tc>
            </w:tr>
          </w:tbl>
          <w:p w14:paraId="3D9A983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bl>
    <w:p w14:paraId="3D5FFF42"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Prohibits Captive Audience Meetings</w:t>
      </w:r>
    </w:p>
    <w:p w14:paraId="26D04C96"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Pr="00DD7BD1" w:rsidRDefault="00590EB9" w:rsidP="00590EB9">
      <w:pPr>
        <w:pStyle w:val="Heading1"/>
        <w:spacing w:before="0" w:beforeAutospacing="0" w:after="0" w:afterAutospacing="0"/>
        <w:jc w:val="both"/>
        <w:rPr>
          <w:rFonts w:ascii="Calibri" w:hAnsi="Calibri" w:cs="Calibri"/>
          <w:b w:val="0"/>
          <w:bCs w:val="0"/>
          <w:i/>
          <w:iCs/>
          <w:color w:val="000000" w:themeColor="text1"/>
          <w:sz w:val="22"/>
          <w:szCs w:val="22"/>
        </w:rPr>
      </w:pPr>
    </w:p>
    <w:p w14:paraId="29962F7E"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i/>
          <w:iCs/>
          <w:color w:val="000000" w:themeColor="text1"/>
          <w:sz w:val="22"/>
          <w:szCs w:val="22"/>
        </w:rPr>
        <w:t>Captive audience meetings</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44644AB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However, the NLRB explained that employers can hold </w:t>
      </w:r>
      <w:r w:rsidRPr="00DD7BD1">
        <w:rPr>
          <w:rFonts w:ascii="Calibri" w:hAnsi="Calibri" w:cs="Calibri"/>
          <w:b w:val="0"/>
          <w:bCs w:val="0"/>
          <w:i/>
          <w:iCs/>
          <w:color w:val="000000" w:themeColor="text1"/>
          <w:sz w:val="22"/>
          <w:szCs w:val="22"/>
        </w:rPr>
        <w:t>voluntary</w:t>
      </w:r>
      <w:r w:rsidRPr="00DD7BD1">
        <w:rPr>
          <w:rFonts w:ascii="Calibri" w:hAnsi="Calibri" w:cs="Calibri"/>
          <w:b w:val="0"/>
          <w:bCs w:val="0"/>
          <w:color w:val="000000" w:themeColor="text1"/>
          <w:sz w:val="22"/>
          <w:szCs w:val="22"/>
        </w:rPr>
        <w:t> workplace meetings to express their views on unionization if, with reasonable advance notice, they inform employees that:</w:t>
      </w:r>
    </w:p>
    <w:p w14:paraId="569281C1"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employer intends to express </w:t>
      </w:r>
      <w:proofErr w:type="gramStart"/>
      <w:r w:rsidRPr="00DD7BD1">
        <w:rPr>
          <w:rFonts w:ascii="Calibri" w:hAnsi="Calibri" w:cs="Calibri"/>
          <w:b w:val="0"/>
          <w:bCs w:val="0"/>
          <w:color w:val="000000" w:themeColor="text1"/>
          <w:sz w:val="22"/>
          <w:szCs w:val="22"/>
        </w:rPr>
        <w:t>its</w:t>
      </w:r>
      <w:proofErr w:type="gramEnd"/>
      <w:r w:rsidRPr="00DD7BD1">
        <w:rPr>
          <w:rFonts w:ascii="Calibri" w:hAnsi="Calibri" w:cs="Calibri"/>
          <w:b w:val="0"/>
          <w:bCs w:val="0"/>
          <w:color w:val="000000" w:themeColor="text1"/>
          <w:sz w:val="22"/>
          <w:szCs w:val="22"/>
        </w:rPr>
        <w:t xml:space="preserve"> views on unionization at a meeting that is voluntary for employees to attend,</w:t>
      </w:r>
    </w:p>
    <w:p w14:paraId="4D88AE6A"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Employees won’t be subject to discipline, discharge, or other adverse action for not attending the meeting or for leaving the meeting, </w:t>
      </w:r>
      <w:r w:rsidRPr="00DD7BD1">
        <w:rPr>
          <w:rFonts w:ascii="Calibri" w:hAnsi="Calibri" w:cs="Calibri"/>
          <w:b w:val="0"/>
          <w:bCs w:val="0"/>
          <w:i/>
          <w:iCs/>
          <w:color w:val="000000" w:themeColor="text1"/>
          <w:sz w:val="22"/>
          <w:szCs w:val="22"/>
        </w:rPr>
        <w:t>and</w:t>
      </w:r>
    </w:p>
    <w:p w14:paraId="0F980887"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employer won’t keep records of which employees attend, fail to attend, or leave the meeting.</w:t>
      </w:r>
    </w:p>
    <w:p w14:paraId="568BEBB9"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50DEF96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addition to communicating this information, employers </w:t>
      </w:r>
      <w:proofErr w:type="gramStart"/>
      <w:r w:rsidRPr="00DD7BD1">
        <w:rPr>
          <w:rFonts w:ascii="Calibri" w:hAnsi="Calibri" w:cs="Calibri"/>
          <w:b w:val="0"/>
          <w:bCs w:val="0"/>
          <w:color w:val="000000" w:themeColor="text1"/>
          <w:sz w:val="22"/>
          <w:szCs w:val="22"/>
        </w:rPr>
        <w:t>have to</w:t>
      </w:r>
      <w:proofErr w:type="gramEnd"/>
      <w:r w:rsidRPr="00DD7BD1">
        <w:rPr>
          <w:rFonts w:ascii="Calibri" w:hAnsi="Calibri" w:cs="Calibri"/>
          <w:b w:val="0"/>
          <w:bCs w:val="0"/>
          <w:color w:val="000000" w:themeColor="text1"/>
          <w:sz w:val="22"/>
          <w:szCs w:val="22"/>
        </w:rPr>
        <w:t xml:space="preserve"> abide by the above statements in practice as well.</w:t>
      </w:r>
    </w:p>
    <w:p w14:paraId="15123B5C"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6ABC09B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highlight w:val="lightGray"/>
        </w:rPr>
      </w:pPr>
    </w:p>
    <w:p w14:paraId="3CD636B0"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Action Items</w:t>
      </w:r>
    </w:p>
    <w:p w14:paraId="00FCCE57"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Allow employees to opt out of any meeting covered by this decision</w:t>
      </w:r>
    </w:p>
    <w:p w14:paraId="7D848F42"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Make sure supervisors understand these requirements</w:t>
      </w:r>
    </w:p>
    <w:p w14:paraId="5F122329" w14:textId="77777777" w:rsidR="00590EB9" w:rsidRPr="00DD7BD1" w:rsidRDefault="00590EB9" w:rsidP="00590EB9">
      <w:pPr>
        <w:pStyle w:val="Heading1"/>
        <w:jc w:val="center"/>
        <w:rPr>
          <w:rFonts w:ascii="Calibri" w:hAnsi="Calibri" w:cs="Calibri"/>
          <w:color w:val="000000" w:themeColor="text1"/>
          <w:sz w:val="28"/>
          <w:szCs w:val="28"/>
        </w:rPr>
      </w:pPr>
      <w:r w:rsidRPr="00DD7BD1">
        <w:rPr>
          <w:rFonts w:ascii="Calibri" w:hAnsi="Calibri" w:cs="Calibri"/>
          <w:color w:val="000000" w:themeColor="text1"/>
          <w:sz w:val="28"/>
          <w:szCs w:val="28"/>
        </w:rPr>
        <w:t>NLRB Expands Definition of “Unlawful Communication” to Employees Concerning Effects of Unionization on Employer-Employee Relationship</w:t>
      </w:r>
    </w:p>
    <w:p w14:paraId="55DBB848"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lastRenderedPageBreak/>
        <w:t>On November 8, 2024, the National Labor Relations Board (“NLRB” or the “Board”) ruled that employers can no longer broadly warn employees that unionizing may strain or negatively impact their direct relationship with management.</w:t>
      </w:r>
      <w:bookmarkStart w:id="30" w:name="_ftnref1"/>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u w:val="none"/>
        </w:rPr>
        <w:t>[1]</w:t>
      </w:r>
      <w:r w:rsidRPr="00DD7BD1">
        <w:rPr>
          <w:rFonts w:ascii="Calibri" w:hAnsi="Calibri" w:cs="Calibri"/>
          <w:b w:val="0"/>
          <w:bCs w:val="0"/>
          <w:color w:val="000000" w:themeColor="text1"/>
          <w:kern w:val="0"/>
          <w:sz w:val="22"/>
          <w:szCs w:val="22"/>
        </w:rPr>
        <w:fldChar w:fldCharType="end"/>
      </w:r>
      <w:bookmarkEnd w:id="30"/>
      <w:r w:rsidRPr="00DD7BD1">
        <w:rPr>
          <w:rFonts w:ascii="Calibri" w:hAnsi="Calibri" w:cs="Calibri"/>
          <w:b w:val="0"/>
          <w:bCs w:val="0"/>
          <w:color w:val="000000" w:themeColor="text1"/>
          <w:kern w:val="0"/>
          <w:sz w:val="22"/>
          <w:szCs w:val="22"/>
        </w:rPr>
        <w:t> In doing so, the Board overturned over forty years of precedent, set by </w:t>
      </w:r>
      <w:r w:rsidRPr="00DD7BD1">
        <w:rPr>
          <w:rFonts w:ascii="Calibri" w:hAnsi="Calibri" w:cs="Calibri"/>
          <w:b w:val="0"/>
          <w:bCs w:val="0"/>
          <w:i/>
          <w:iCs/>
          <w:color w:val="000000" w:themeColor="text1"/>
          <w:kern w:val="0"/>
          <w:sz w:val="22"/>
          <w:szCs w:val="22"/>
        </w:rPr>
        <w:t>Tri-Cast, Inc.</w:t>
      </w:r>
      <w:r w:rsidRPr="00DD7BD1">
        <w:rPr>
          <w:rFonts w:ascii="Calibri" w:hAnsi="Calibri" w:cs="Calibri"/>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5D2019C4"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1" w:name="_ftnref2"/>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[2]</w:t>
      </w:r>
      <w:r w:rsidRPr="00DD7BD1">
        <w:rPr>
          <w:rFonts w:ascii="Calibri" w:hAnsi="Calibri" w:cs="Calibri"/>
          <w:b w:val="0"/>
          <w:bCs w:val="0"/>
          <w:color w:val="000000" w:themeColor="text1"/>
          <w:kern w:val="0"/>
          <w:sz w:val="22"/>
          <w:szCs w:val="22"/>
        </w:rPr>
        <w:fldChar w:fldCharType="end"/>
      </w:r>
      <w:bookmarkEnd w:id="31"/>
      <w:r w:rsidRPr="00DD7BD1">
        <w:rPr>
          <w:rFonts w:ascii="Calibri" w:hAnsi="Calibri" w:cs="Calibri"/>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35AEEBB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2" w:name="_ftn1"/>
    <w:p w14:paraId="129626E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[1]</w:t>
      </w:r>
      <w:r w:rsidRPr="00DD7BD1">
        <w:rPr>
          <w:rFonts w:ascii="Calibri" w:hAnsi="Calibri" w:cs="Calibri"/>
          <w:b w:val="0"/>
          <w:bCs w:val="0"/>
          <w:color w:val="000000" w:themeColor="text1"/>
          <w:sz w:val="16"/>
          <w:szCs w:val="16"/>
        </w:rPr>
        <w:fldChar w:fldCharType="end"/>
      </w:r>
      <w:bookmarkEnd w:id="32"/>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Siren Retail Corp. d/b/a Starbucks</w:t>
      </w:r>
      <w:r w:rsidRPr="00DD7BD1">
        <w:rPr>
          <w:rFonts w:ascii="Calibri" w:hAnsi="Calibri" w:cs="Calibri"/>
          <w:b w:val="0"/>
          <w:bCs w:val="0"/>
          <w:color w:val="000000" w:themeColor="text1"/>
          <w:sz w:val="16"/>
          <w:szCs w:val="16"/>
        </w:rPr>
        <w:t>, 373 NLRB No. 135 (2024).</w:t>
      </w:r>
    </w:p>
    <w:bookmarkStart w:id="33" w:name="_ftn2"/>
    <w:p w14:paraId="7E128BF9" w14:textId="5A16E49A"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[2]</w:t>
      </w:r>
      <w:r w:rsidRPr="00DD7BD1">
        <w:rPr>
          <w:rFonts w:ascii="Calibri" w:hAnsi="Calibri" w:cs="Calibri"/>
          <w:b w:val="0"/>
          <w:bCs w:val="0"/>
          <w:color w:val="000000" w:themeColor="text1"/>
          <w:sz w:val="16"/>
          <w:szCs w:val="16"/>
        </w:rPr>
        <w:fldChar w:fldCharType="end"/>
      </w:r>
      <w:bookmarkEnd w:id="33"/>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NLRB v. Gissel Packing Co.</w:t>
      </w:r>
      <w:r w:rsidRPr="00DD7BD1">
        <w:rPr>
          <w:rFonts w:ascii="Calibri" w:hAnsi="Calibri" w:cs="Calibri"/>
          <w:b w:val="0"/>
          <w:bCs w:val="0"/>
          <w:color w:val="000000" w:themeColor="text1"/>
          <w:sz w:val="16"/>
          <w:szCs w:val="16"/>
        </w:rPr>
        <w:t>, 395 U.S. 575 (1969).</w:t>
      </w:r>
    </w:p>
    <w:p w14:paraId="1B733093" w14:textId="77777777" w:rsidR="00590EB9" w:rsidRPr="00DD7BD1" w:rsidRDefault="00590EB9" w:rsidP="00590EB9">
      <w:pPr>
        <w:pStyle w:val="Heading1"/>
        <w:shd w:val="clear" w:color="auto" w:fill="FFFFFF"/>
        <w:spacing w:before="0" w:beforeAutospacing="0" w:after="0" w:afterAutospacing="0" w:line="264" w:lineRule="atLeast"/>
        <w:rPr>
          <w:rFonts w:ascii="Calibri" w:hAnsi="Calibri" w:cs="Calibri"/>
          <w:sz w:val="22"/>
          <w:szCs w:val="22"/>
        </w:rPr>
      </w:pPr>
    </w:p>
    <w:p w14:paraId="7A899673" w14:textId="45CE6E88"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Compliance Deadline Reminder: Gag Clause Attestation Is Due by Dec. 31, 2024</w:t>
      </w:r>
    </w:p>
    <w:p w14:paraId="0B5DC67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 xml:space="preserve">Effective in 2020, the </w:t>
      </w:r>
      <w:hyperlink r:id="rId381" w:history="1">
        <w:r w:rsidRPr="00DD7BD1">
          <w:rPr>
            <w:rStyle w:val="Hyperlink"/>
            <w:rFonts w:eastAsiaTheme="majorEastAsia" w:cs="Calibri"/>
          </w:rPr>
          <w:t>Consolidated Appropriations Act, 2021 (CAA)</w:t>
        </w:r>
      </w:hyperlink>
      <w:r w:rsidRPr="00DD7BD1">
        <w:rPr>
          <w:rFonts w:cs="Calibri"/>
        </w:rPr>
        <w:t xml:space="preserve"> </w:t>
      </w:r>
      <w:r w:rsidRPr="00DD7BD1">
        <w:rPr>
          <w:rFonts w:cs="Calibri"/>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DD7BD1" w:rsidRDefault="00724B5B" w:rsidP="00724B5B">
      <w:pPr>
        <w:pStyle w:val="BodyText"/>
        <w:spacing w:after="0" w:line="240" w:lineRule="auto"/>
        <w:rPr>
          <w:rFonts w:cs="Calibri"/>
          <w:color w:val="auto"/>
        </w:rPr>
      </w:pPr>
      <w:r w:rsidRPr="00DD7BD1">
        <w:rPr>
          <w:rFonts w:cs="Calibri"/>
          <w:color w:val="auto"/>
        </w:rPr>
        <w:t xml:space="preserve">The attestation requirement applies to </w:t>
      </w:r>
      <w:r w:rsidRPr="00DD7BD1">
        <w:rPr>
          <w:rFonts w:cs="Calibri"/>
          <w:b/>
          <w:bCs/>
          <w:color w:val="auto"/>
        </w:rPr>
        <w:t>fully insured and self-insured group health plans</w:t>
      </w:r>
      <w:r w:rsidRPr="00DD7BD1">
        <w:rPr>
          <w:rFonts w:cs="Calibri"/>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Pr="00DD7BD1" w:rsidRDefault="00724B5B" w:rsidP="00724B5B">
      <w:pPr>
        <w:pStyle w:val="BodyText"/>
        <w:spacing w:after="0" w:line="240" w:lineRule="auto"/>
        <w:ind w:right="274"/>
        <w:rPr>
          <w:rFonts w:cs="Calibri"/>
          <w:b/>
          <w:bCs/>
          <w:color w:val="C00000"/>
        </w:rPr>
      </w:pPr>
      <w:r w:rsidRPr="00DD7BD1">
        <w:rPr>
          <w:rFonts w:cs="Calibri"/>
          <w:b/>
          <w:bCs/>
          <w:color w:val="auto"/>
        </w:rPr>
        <w:t xml:space="preserve">The deadline for submitting the next attestation is </w:t>
      </w:r>
      <w:r w:rsidRPr="00DD7BD1">
        <w:rPr>
          <w:rFonts w:cs="Calibri"/>
          <w:b/>
          <w:bCs/>
          <w:color w:val="C00000"/>
        </w:rPr>
        <w:t>Dec. 31, 2024.</w:t>
      </w:r>
    </w:p>
    <w:p w14:paraId="05E7E395" w14:textId="77777777" w:rsidR="00724B5B" w:rsidRPr="00DD7BD1" w:rsidRDefault="00724B5B" w:rsidP="00724B5B">
      <w:pPr>
        <w:pStyle w:val="BodyText"/>
        <w:spacing w:after="0" w:line="240" w:lineRule="auto"/>
        <w:ind w:right="274"/>
        <w:rPr>
          <w:rFonts w:cs="Calibri"/>
          <w:b/>
          <w:bCs/>
          <w:color w:val="C00000"/>
        </w:rPr>
      </w:pPr>
    </w:p>
    <w:p w14:paraId="167D64BF" w14:textId="77777777" w:rsidR="00724B5B" w:rsidRPr="00DD7BD1" w:rsidRDefault="00724B5B" w:rsidP="00724B5B">
      <w:pPr>
        <w:pStyle w:val="BodyText"/>
        <w:spacing w:after="0" w:line="240" w:lineRule="auto"/>
        <w:ind w:right="274"/>
        <w:rPr>
          <w:rFonts w:cs="Calibri"/>
          <w:color w:val="auto"/>
        </w:rPr>
      </w:pPr>
      <w:r w:rsidRPr="00DD7BD1">
        <w:rPr>
          <w:rFonts w:cs="Calibri"/>
          <w:b/>
          <w:bCs/>
          <w:color w:val="auto"/>
          <w:highlight w:val="lightGray"/>
        </w:rPr>
        <w:t>Employer Takeaway:</w:t>
      </w:r>
      <w:r w:rsidRPr="00DD7BD1">
        <w:rPr>
          <w:rFonts w:cs="Calibri"/>
          <w:color w:val="auto"/>
        </w:rPr>
        <w:t xml:space="preserve"> Employers should review their contracts with issuers, TPAs or other health plan service providers to confirm they do not contain prohibited gag clauses. </w:t>
      </w:r>
    </w:p>
    <w:p w14:paraId="638EB6B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Also, employers should review what actions they may need to take to comply with the gag clause attestation requirement:</w:t>
      </w:r>
    </w:p>
    <w:p w14:paraId="7505A289"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fully insured health plans do not need to provide an attestation if their plan’s issuer provides the attestation; and</w:t>
      </w:r>
    </w:p>
    <w:p w14:paraId="74396A36" w14:textId="77777777" w:rsidR="00724B5B" w:rsidRPr="00DD7BD1" w:rsidRDefault="00724B5B" w:rsidP="00724B5B">
      <w:pPr>
        <w:pStyle w:val="BulletListText"/>
        <w:spacing w:after="0"/>
        <w:ind w:left="540"/>
        <w:rPr>
          <w:rFonts w:cs="Calibri"/>
          <w:color w:val="auto"/>
        </w:rPr>
      </w:pPr>
      <w:r w:rsidRPr="00DD7BD1">
        <w:rPr>
          <w:rFonts w:cs="Calibri"/>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level funded health plans must check with their health plan carrier to see what the carrier is and is not doing for employers as this varies.</w:t>
      </w:r>
    </w:p>
    <w:p w14:paraId="4C42AE4C" w14:textId="77777777" w:rsidR="00724B5B" w:rsidRPr="00DD7BD1" w:rsidRDefault="00724B5B" w:rsidP="00724B5B">
      <w:pPr>
        <w:pStyle w:val="BulletListText"/>
        <w:numPr>
          <w:ilvl w:val="0"/>
          <w:numId w:val="0"/>
        </w:numPr>
        <w:spacing w:after="0"/>
        <w:ind w:left="540"/>
        <w:rPr>
          <w:rFonts w:cs="Calibri"/>
          <w:color w:val="auto"/>
        </w:rPr>
      </w:pPr>
    </w:p>
    <w:p w14:paraId="35256D88"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DD7BD1" w:rsidRDefault="00724B5B" w:rsidP="00724B5B">
      <w:pPr>
        <w:pStyle w:val="BodyText"/>
        <w:spacing w:after="0" w:line="240" w:lineRule="auto"/>
        <w:ind w:right="274"/>
        <w:rPr>
          <w:rFonts w:cs="Calibri"/>
          <w:b/>
          <w:bCs/>
          <w:color w:val="auto"/>
        </w:rPr>
      </w:pPr>
      <w:r w:rsidRPr="00DD7BD1">
        <w:rPr>
          <w:rFonts w:cs="Calibri"/>
          <w:b/>
          <w:bCs/>
          <w:color w:val="auto"/>
          <w:highlight w:val="lightGray"/>
        </w:rPr>
        <w:t>Resources:</w:t>
      </w:r>
    </w:p>
    <w:p w14:paraId="121C3F8C" w14:textId="77777777" w:rsidR="00724B5B" w:rsidRPr="00DD7BD1" w:rsidRDefault="00724B5B" w:rsidP="00724B5B">
      <w:pPr>
        <w:pStyle w:val="BulletListText"/>
        <w:spacing w:after="0"/>
        <w:ind w:left="360"/>
        <w:jc w:val="left"/>
        <w:rPr>
          <w:rFonts w:cs="Calibri"/>
          <w:color w:val="auto"/>
        </w:rPr>
      </w:pPr>
      <w:hyperlink r:id="rId382" w:history="1">
        <w:r w:rsidRPr="00DD7BD1">
          <w:rPr>
            <w:rStyle w:val="Hyperlink"/>
            <w:rFonts w:eastAsiaTheme="majorEastAsia" w:cs="Calibri"/>
          </w:rPr>
          <w:t>FAQs</w:t>
        </w:r>
      </w:hyperlink>
      <w:r w:rsidRPr="00DD7BD1">
        <w:rPr>
          <w:rFonts w:cs="Calibri"/>
        </w:rPr>
        <w:t xml:space="preserve"> </w:t>
      </w:r>
      <w:r w:rsidRPr="00DD7BD1">
        <w:rPr>
          <w:rFonts w:cs="Calibri"/>
          <w:color w:val="auto"/>
        </w:rPr>
        <w:t xml:space="preserve">from the Departments regarding the CAA’s prohibition on gag clauses in provider agreements </w:t>
      </w:r>
    </w:p>
    <w:p w14:paraId="60BE905C" w14:textId="77777777" w:rsidR="00724B5B" w:rsidRPr="00DD7BD1" w:rsidRDefault="00724B5B" w:rsidP="00724B5B">
      <w:pPr>
        <w:pStyle w:val="BulletListText"/>
        <w:spacing w:after="0"/>
        <w:ind w:left="360"/>
        <w:jc w:val="left"/>
        <w:rPr>
          <w:rFonts w:cs="Calibri"/>
          <w:color w:val="auto"/>
        </w:rPr>
      </w:pPr>
      <w:r w:rsidRPr="00DD7BD1">
        <w:rPr>
          <w:rFonts w:cs="Calibri"/>
          <w:color w:val="auto"/>
        </w:rPr>
        <w:t xml:space="preserve">CMS </w:t>
      </w:r>
      <w:hyperlink r:id="rId383" w:history="1">
        <w:r w:rsidRPr="00DD7BD1">
          <w:rPr>
            <w:rStyle w:val="Hyperlink"/>
            <w:rFonts w:eastAsiaTheme="majorEastAsia" w:cs="Calibri"/>
          </w:rPr>
          <w:t>website</w:t>
        </w:r>
      </w:hyperlink>
      <w:r w:rsidRPr="00DD7BD1">
        <w:rPr>
          <w:rFonts w:cs="Calibri"/>
          <w:color w:val="auto"/>
        </w:rPr>
        <w:t xml:space="preserve"> for submitting gag clause attestations </w:t>
      </w:r>
    </w:p>
    <w:p w14:paraId="09B50399" w14:textId="77777777" w:rsidR="00724B5B" w:rsidRPr="00DD7BD1" w:rsidRDefault="00724B5B" w:rsidP="00724B5B">
      <w:pPr>
        <w:pStyle w:val="BulletListText"/>
        <w:spacing w:after="0"/>
        <w:ind w:left="360"/>
        <w:jc w:val="left"/>
        <w:rPr>
          <w:rFonts w:cs="Calibri"/>
        </w:rPr>
      </w:pPr>
      <w:r w:rsidRPr="00DD7BD1">
        <w:rPr>
          <w:rFonts w:cs="Calibri"/>
          <w:color w:val="auto"/>
        </w:rPr>
        <w:t xml:space="preserve">The latest instructions and user manual for submitting attestations available </w:t>
      </w:r>
      <w:hyperlink r:id="rId384" w:history="1">
        <w:r w:rsidRPr="00DD7BD1">
          <w:rPr>
            <w:rStyle w:val="Hyperlink"/>
            <w:rFonts w:eastAsiaTheme="majorEastAsia" w:cs="Calibri"/>
          </w:rPr>
          <w:t>here</w:t>
        </w:r>
      </w:hyperlink>
      <w:r w:rsidRPr="00DD7BD1">
        <w:rPr>
          <w:rFonts w:cs="Calibri"/>
        </w:rPr>
        <w:t xml:space="preserve">  </w:t>
      </w:r>
    </w:p>
    <w:p w14:paraId="5C3C75BB" w14:textId="77777777" w:rsidR="00724B5B" w:rsidRPr="00DD7BD1" w:rsidRDefault="00724B5B" w:rsidP="00724B5B">
      <w:pPr>
        <w:pStyle w:val="BodyText"/>
        <w:spacing w:after="0" w:line="240" w:lineRule="auto"/>
        <w:ind w:right="274"/>
        <w:rPr>
          <w:rFonts w:cs="Calibri"/>
        </w:rPr>
      </w:pPr>
    </w:p>
    <w:p w14:paraId="1DD366E7" w14:textId="5C8EF0B7" w:rsidR="00724B5B" w:rsidRPr="00FC0387" w:rsidRDefault="00724B5B" w:rsidP="00FC0387">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Beneficial Ownership Information (BOI) Reporting – </w:t>
      </w:r>
      <w:r w:rsidRPr="00DD7BD1">
        <w:rPr>
          <w:rFonts w:ascii="Calibri" w:hAnsi="Calibri" w:cs="Calibri"/>
          <w:color w:val="C00000"/>
          <w:sz w:val="28"/>
          <w:szCs w:val="28"/>
        </w:rPr>
        <w:t>Jan 1, 2025</w:t>
      </w:r>
    </w:p>
    <w:p w14:paraId="521F6ED4"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lastRenderedPageBreak/>
        <w:t>Starting January 1, 2024, a new federal requirement is for small entities (</w:t>
      </w:r>
      <w:r w:rsidRPr="00DD7BD1">
        <w:rPr>
          <w:rFonts w:ascii="Calibri" w:eastAsia="Arial" w:hAnsi="Calibri" w:cs="Calibri"/>
          <w:b w:val="0"/>
          <w:bCs w:val="0"/>
          <w:sz w:val="22"/>
          <w:szCs w:val="22"/>
          <w:u w:val="single"/>
        </w:rPr>
        <w:t xml:space="preserve">less than 20 </w:t>
      </w:r>
      <w:proofErr w:type="gramStart"/>
      <w:r w:rsidRPr="00DD7BD1">
        <w:rPr>
          <w:rFonts w:ascii="Calibri" w:eastAsia="Arial" w:hAnsi="Calibri" w:cs="Calibri"/>
          <w:b w:val="0"/>
          <w:bCs w:val="0"/>
          <w:sz w:val="22"/>
          <w:szCs w:val="22"/>
          <w:u w:val="single"/>
        </w:rPr>
        <w:t>Full Time</w:t>
      </w:r>
      <w:proofErr w:type="gramEnd"/>
      <w:r w:rsidRPr="00DD7BD1">
        <w:rPr>
          <w:rFonts w:ascii="Calibri" w:eastAsia="Arial" w:hAnsi="Calibri" w:cs="Calibri"/>
          <w:b w:val="0"/>
          <w:bCs w:val="0"/>
          <w:sz w:val="22"/>
          <w:szCs w:val="22"/>
          <w:u w:val="single"/>
        </w:rPr>
        <w:t xml:space="preserve"> employees</w:t>
      </w:r>
      <w:r w:rsidRPr="00DD7BD1">
        <w:rPr>
          <w:rFonts w:ascii="Calibri" w:eastAsia="Arial" w:hAnsi="Calibri" w:cs="Calibri"/>
          <w:b w:val="0"/>
          <w:bCs w:val="0"/>
          <w:sz w:val="22"/>
          <w:szCs w:val="22"/>
        </w:rPr>
        <w:t>) that are NOT one of the 23 exemptions are required to register their business ownership information (BOI) to the Financial Crimes Enforcement Network (</w:t>
      </w:r>
      <w:proofErr w:type="spellStart"/>
      <w:r w:rsidRPr="00DD7BD1">
        <w:rPr>
          <w:rFonts w:ascii="Calibri" w:eastAsia="Arial" w:hAnsi="Calibri" w:cs="Calibri"/>
          <w:b w:val="0"/>
          <w:bCs w:val="0"/>
          <w:sz w:val="22"/>
          <w:szCs w:val="22"/>
        </w:rPr>
        <w:t>FinCen</w:t>
      </w:r>
      <w:proofErr w:type="spellEnd"/>
      <w:r w:rsidRPr="00DD7BD1">
        <w:rPr>
          <w:rFonts w:ascii="Calibri" w:eastAsia="Arial" w:hAnsi="Calibri" w:cs="Calibri"/>
          <w:b w:val="0"/>
          <w:bCs w:val="0"/>
          <w:sz w:val="22"/>
          <w:szCs w:val="22"/>
        </w:rPr>
        <w:t>).  The Corporate Transparency Act (“CTA”) went into effect January 1, 2024, requiring most legal entities in the United States to file a beneficial ownership information report (“BOI Report”) with the U.S. Financial Crimes Enforcement Network (“FinCEN”). Before January 1, 2025, </w:t>
      </w:r>
      <w:r w:rsidRPr="00DD7BD1">
        <w:rPr>
          <w:rFonts w:ascii="Calibri" w:eastAsia="Arial" w:hAnsi="Calibri" w:cs="Calibri"/>
          <w:b w:val="0"/>
          <w:bCs w:val="0"/>
          <w:i/>
          <w:iCs/>
          <w:sz w:val="22"/>
          <w:szCs w:val="22"/>
        </w:rPr>
        <w:t>all </w:t>
      </w:r>
      <w:r w:rsidRPr="00DD7BD1">
        <w:rPr>
          <w:rFonts w:ascii="Calibri" w:eastAsia="Arial" w:hAnsi="Calibri" w:cs="Calibri"/>
          <w:b w:val="0"/>
          <w:bCs w:val="0"/>
          <w:sz w:val="22"/>
          <w:szCs w:val="22"/>
        </w:rPr>
        <w:t>covered entities must file a BOI Report through FinCEN’s electronic </w:t>
      </w:r>
      <w:hyperlink r:id="rId385" w:tgtFrame="_blank" w:history="1">
        <w:r w:rsidRPr="00DD7BD1">
          <w:rPr>
            <w:rStyle w:val="Hyperlink"/>
            <w:rFonts w:ascii="Calibri" w:eastAsia="Arial" w:hAnsi="Calibri" w:cs="Calibri"/>
            <w:b w:val="0"/>
            <w:bCs w:val="0"/>
            <w:sz w:val="22"/>
            <w:szCs w:val="22"/>
          </w:rPr>
          <w:t>filing system</w:t>
        </w:r>
      </w:hyperlink>
      <w:r w:rsidRPr="00DD7BD1">
        <w:rPr>
          <w:rFonts w:ascii="Calibri" w:eastAsia="Arial" w:hAnsi="Calibri" w:cs="Calibri"/>
          <w:b w:val="0"/>
          <w:bCs w:val="0"/>
          <w:sz w:val="22"/>
          <w:szCs w:val="22"/>
        </w:rPr>
        <w:t>.</w:t>
      </w:r>
    </w:p>
    <w:p w14:paraId="1AEB9CBA"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Beneficial ownership information reporting is </w:t>
      </w:r>
      <w:r w:rsidRPr="00DD7BD1">
        <w:rPr>
          <w:rFonts w:ascii="Calibri" w:eastAsia="Arial" w:hAnsi="Calibri" w:cs="Calibri"/>
          <w:b w:val="0"/>
          <w:bCs w:val="0"/>
          <w:sz w:val="22"/>
          <w:szCs w:val="22"/>
          <w:u w:val="single"/>
        </w:rPr>
        <w:t>not</w:t>
      </w:r>
      <w:r w:rsidRPr="00DD7BD1">
        <w:rPr>
          <w:rFonts w:ascii="Calibri" w:eastAsia="Arial" w:hAnsi="Calibri" w:cs="Calibri"/>
          <w:b w:val="0"/>
          <w:bCs w:val="0"/>
          <w:sz w:val="22"/>
          <w:szCs w:val="22"/>
        </w:rPr>
        <w:t xml:space="preserve"> an annual requirement. </w:t>
      </w:r>
    </w:p>
    <w:p w14:paraId="5BE839A6"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Unless a company needs to update or correct information, a report only needs to be submitted once. </w:t>
      </w:r>
    </w:p>
    <w:p w14:paraId="76F88A57"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color w:val="0000FF"/>
          <w:sz w:val="22"/>
          <w:szCs w:val="22"/>
          <w:u w:val="single"/>
        </w:rPr>
      </w:pPr>
      <w:r w:rsidRPr="00DD7BD1">
        <w:rPr>
          <w:rFonts w:ascii="Calibri" w:eastAsia="Arial" w:hAnsi="Calibri" w:cs="Calibri"/>
          <w:b w:val="0"/>
          <w:bCs w:val="0"/>
          <w:sz w:val="22"/>
          <w:szCs w:val="22"/>
        </w:rPr>
        <w:t xml:space="preserve">For details on who, when, and how to fulfill this new federal reporting requirement, please visit: </w:t>
      </w:r>
      <w:hyperlink r:id="rId386" w:history="1">
        <w:r w:rsidRPr="00DD7BD1">
          <w:rPr>
            <w:rFonts w:ascii="Calibri" w:hAnsi="Calibri" w:cs="Calibri"/>
            <w:b w:val="0"/>
            <w:bCs w:val="0"/>
            <w:color w:val="0000FF"/>
            <w:sz w:val="22"/>
            <w:szCs w:val="22"/>
            <w:u w:val="single"/>
          </w:rPr>
          <w:t>Beneficial Ownership Information Reporting | FinCEN.gov</w:t>
        </w:r>
      </w:hyperlink>
    </w:p>
    <w:p w14:paraId="1FDA9651" w14:textId="1FC55308"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r w:rsidRPr="00DD7BD1">
        <w:rPr>
          <w:rFonts w:ascii="Calibri" w:hAnsi="Calibri" w:cs="Calibri"/>
          <w:b w:val="0"/>
          <w:bCs w:val="0"/>
          <w:sz w:val="22"/>
          <w:szCs w:val="22"/>
        </w:rPr>
        <w:t>If you find that you need assistance and/or wish to have this obligation completed by a Third Party, ETC can provide employers with the contact details of a party who can assist.</w:t>
      </w:r>
    </w:p>
    <w:p w14:paraId="0DEB69FB"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p>
    <w:p w14:paraId="7B6AAA32" w14:textId="21EFC3A6"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Retirement &amp; Benefit Limits –</w:t>
      </w:r>
      <w:r w:rsidRPr="00DD7BD1">
        <w:rPr>
          <w:rFonts w:ascii="Calibri" w:hAnsi="Calibri" w:cs="Calibri"/>
          <w:color w:val="C00000"/>
          <w:sz w:val="28"/>
          <w:szCs w:val="28"/>
        </w:rPr>
        <w:t xml:space="preserve"> 2025</w:t>
      </w:r>
    </w:p>
    <w:p w14:paraId="46103EF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w:t>
      </w:r>
      <w:r w:rsidRPr="00DD7BD1">
        <w:rPr>
          <w:rFonts w:ascii="Calibri" w:hAnsi="Calibri" w:cs="Calibri"/>
          <w:color w:val="7030A0"/>
          <w:sz w:val="22"/>
          <w:szCs w:val="22"/>
          <w:u w:val="single"/>
        </w:rPr>
        <w:t>Retirement</w:t>
      </w:r>
      <w:r w:rsidRPr="00DD7BD1">
        <w:rPr>
          <w:rFonts w:ascii="Calibri" w:hAnsi="Calibri" w:cs="Calibri"/>
          <w:sz w:val="22"/>
          <w:szCs w:val="22"/>
          <w:u w:val="single"/>
        </w:rPr>
        <w:t xml:space="preserve"> Plan Maximums</w:t>
      </w:r>
    </w:p>
    <w:p w14:paraId="784B8A46"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November 1, 2024, the IRS released the 2025 limits for retirement plans and individual retirement accounts. You can find the full list of the new amounts in </w:t>
      </w:r>
      <w:hyperlink r:id="rId387" w:tgtFrame="_blank" w:history="1">
        <w:r w:rsidRPr="00DD7BD1">
          <w:rPr>
            <w:rStyle w:val="Hyperlink"/>
            <w:rFonts w:ascii="Calibri" w:hAnsi="Calibri" w:cs="Calibri"/>
            <w:b w:val="0"/>
            <w:bCs w:val="0"/>
            <w:sz w:val="22"/>
            <w:szCs w:val="22"/>
          </w:rPr>
          <w:t>IRS Notice 2024-80</w:t>
        </w:r>
      </w:hyperlink>
      <w:r w:rsidRPr="00DD7BD1">
        <w:rPr>
          <w:rFonts w:ascii="Calibri" w:hAnsi="Calibri" w:cs="Calibri"/>
          <w:b w:val="0"/>
          <w:bCs w:val="0"/>
          <w:sz w:val="22"/>
          <w:szCs w:val="22"/>
        </w:rPr>
        <w:t>.</w:t>
      </w:r>
    </w:p>
    <w:p w14:paraId="0504A0C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few of the notable changes include the following:</w:t>
      </w:r>
    </w:p>
    <w:p w14:paraId="1D97F9BC"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annual contribution limit for 401(k) plans will increase nominally to $23,500 (from $23,000)</w:t>
      </w:r>
    </w:p>
    <w:p w14:paraId="6A54712B"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annual catch-up contribution limit remains the same at $7,500 for participants </w:t>
      </w:r>
      <w:proofErr w:type="gramStart"/>
      <w:r w:rsidRPr="00DD7BD1">
        <w:rPr>
          <w:rFonts w:ascii="Calibri" w:hAnsi="Calibri" w:cs="Calibri"/>
          <w:b w:val="0"/>
          <w:bCs w:val="0"/>
          <w:sz w:val="22"/>
          <w:szCs w:val="22"/>
        </w:rPr>
        <w:t>age</w:t>
      </w:r>
      <w:proofErr w:type="gramEnd"/>
      <w:r w:rsidRPr="00DD7BD1">
        <w:rPr>
          <w:rFonts w:ascii="Calibri" w:hAnsi="Calibri" w:cs="Calibri"/>
          <w:b w:val="0"/>
          <w:bCs w:val="0"/>
          <w:sz w:val="22"/>
          <w:szCs w:val="22"/>
        </w:rPr>
        <w:t xml:space="preserve"> 50 and over  </w:t>
      </w:r>
    </w:p>
    <w:p w14:paraId="68F44378" w14:textId="1ADDA333" w:rsidR="00A83553"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new category of catch-up contributions, introduced by the SECURE Act 2.0, allows participants between ages 60 to 63 to contribute up to $11,250 annually </w:t>
      </w:r>
    </w:p>
    <w:p w14:paraId="749A0EE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8"/>
          <w:szCs w:val="28"/>
        </w:rPr>
        <w:t xml:space="preserve"> </w:t>
      </w:r>
    </w:p>
    <w:p w14:paraId="553A50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Annual </w:t>
      </w:r>
      <w:r w:rsidRPr="00DD7BD1">
        <w:rPr>
          <w:rFonts w:ascii="Calibri" w:hAnsi="Calibri" w:cs="Calibri"/>
          <w:color w:val="7030A0"/>
          <w:sz w:val="22"/>
          <w:szCs w:val="22"/>
          <w:u w:val="single"/>
        </w:rPr>
        <w:t>Benefit</w:t>
      </w:r>
      <w:r w:rsidRPr="00DD7BD1">
        <w:rPr>
          <w:rFonts w:ascii="Calibri" w:hAnsi="Calibri" w:cs="Calibri"/>
          <w:sz w:val="22"/>
          <w:szCs w:val="22"/>
          <w:u w:val="single"/>
        </w:rPr>
        <w:t xml:space="preserve"> Maximums</w:t>
      </w:r>
    </w:p>
    <w:p w14:paraId="3928074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IRS published the 2025 limits for several types of benefits that have maximums subject to annual change. You can find the full list of the new amounts in the </w:t>
      </w:r>
      <w:hyperlink r:id="rId388" w:tgtFrame="_blank" w:history="1">
        <w:r w:rsidRPr="00DD7BD1">
          <w:rPr>
            <w:rStyle w:val="Hyperlink"/>
            <w:rFonts w:ascii="Calibri" w:hAnsi="Calibri" w:cs="Calibri"/>
            <w:b w:val="0"/>
            <w:bCs w:val="0"/>
            <w:sz w:val="22"/>
            <w:szCs w:val="22"/>
          </w:rPr>
          <w:t>IRS Revenue Procedure 2024-40</w:t>
        </w:r>
      </w:hyperlink>
      <w:r w:rsidRPr="00DD7BD1">
        <w:rPr>
          <w:rFonts w:ascii="Calibri" w:hAnsi="Calibri" w:cs="Calibri"/>
          <w:b w:val="0"/>
          <w:bCs w:val="0"/>
          <w:sz w:val="22"/>
          <w:szCs w:val="22"/>
        </w:rPr>
        <w:t>.</w:t>
      </w:r>
    </w:p>
    <w:p w14:paraId="4FABC5B8"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w:t>
      </w:r>
      <w:proofErr w:type="gramStart"/>
      <w:r w:rsidRPr="00DD7BD1">
        <w:rPr>
          <w:rFonts w:ascii="Calibri" w:hAnsi="Calibri" w:cs="Calibri"/>
          <w:b w:val="0"/>
          <w:bCs w:val="0"/>
          <w:sz w:val="22"/>
          <w:szCs w:val="22"/>
        </w:rPr>
        <w:t>most commonly asked</w:t>
      </w:r>
      <w:proofErr w:type="gramEnd"/>
      <w:r w:rsidRPr="00DD7BD1">
        <w:rPr>
          <w:rFonts w:ascii="Calibri" w:hAnsi="Calibri" w:cs="Calibri"/>
          <w:b w:val="0"/>
          <w:bCs w:val="0"/>
          <w:sz w:val="22"/>
          <w:szCs w:val="22"/>
        </w:rPr>
        <w:t xml:space="preserve"> about limits are below and are applicable to taxable years starting in 2025.</w:t>
      </w:r>
    </w:p>
    <w:p w14:paraId="0BCD1404" w14:textId="77777777" w:rsidR="00724B5B" w:rsidRPr="00DD7BD1" w:rsidRDefault="00724B5B" w:rsidP="00724B5B">
      <w:pPr>
        <w:pStyle w:val="Heading1"/>
        <w:spacing w:before="0" w:beforeAutospacing="0" w:after="0" w:afterAutospacing="0"/>
        <w:rPr>
          <w:rFonts w:ascii="Calibri" w:hAnsi="Calibri" w:cs="Calibri"/>
          <w:b w:val="0"/>
          <w:bCs w:val="0"/>
          <w:i/>
          <w:iCs/>
          <w:sz w:val="12"/>
          <w:szCs w:val="12"/>
        </w:rPr>
      </w:pPr>
    </w:p>
    <w:p w14:paraId="55858DB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Health Flexible Spending Account (HFSA)</w:t>
      </w:r>
    </w:p>
    <w:p w14:paraId="7F9A31B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HFSA contribution limit is $3,300. For HFSAs that include a carryover feature, the maximum carryover is $660.</w:t>
      </w:r>
    </w:p>
    <w:p w14:paraId="5971447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Qualified Small Employer Health Reimbursement Arrangement (QSEHRA)</w:t>
      </w:r>
    </w:p>
    <w:p w14:paraId="695B87AD"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total for all QSEHRA reimbursement and payments is $6,350 for single coverage and $12,800 for family coverage.</w:t>
      </w:r>
    </w:p>
    <w:p w14:paraId="7770F5E0"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4395802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Adoption Assistance Programs</w:t>
      </w:r>
    </w:p>
    <w:p w14:paraId="5961E95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058A1081"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Qualified Commuter Plans—Mass Transit and Parking</w:t>
      </w:r>
    </w:p>
    <w:p w14:paraId="1CA7E0F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monthly limits for both qualified parking and mass transit </w:t>
      </w:r>
      <w:proofErr w:type="gramStart"/>
      <w:r w:rsidRPr="00DD7BD1">
        <w:rPr>
          <w:rFonts w:ascii="Calibri" w:hAnsi="Calibri" w:cs="Calibri"/>
          <w:b w:val="0"/>
          <w:bCs w:val="0"/>
          <w:sz w:val="22"/>
          <w:szCs w:val="22"/>
        </w:rPr>
        <w:t>is</w:t>
      </w:r>
      <w:proofErr w:type="gramEnd"/>
      <w:r w:rsidRPr="00DD7BD1">
        <w:rPr>
          <w:rFonts w:ascii="Calibri" w:hAnsi="Calibri" w:cs="Calibri"/>
          <w:b w:val="0"/>
          <w:bCs w:val="0"/>
          <w:sz w:val="22"/>
          <w:szCs w:val="22"/>
        </w:rPr>
        <w:t xml:space="preserve"> $325.</w:t>
      </w:r>
    </w:p>
    <w:p w14:paraId="6F6DE467"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65E0359B" w14:textId="7C45EF06"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575749E"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For more information, see the September HR WIRE</w:t>
      </w:r>
    </w:p>
    <w:p w14:paraId="6607AE28"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4FB12FCA"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520273B3"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431D75E4"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C4079D4"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9" w:history="1">
        <w:r w:rsidRPr="00DD7BD1">
          <w:rPr>
            <w:rStyle w:val="Hyperlink"/>
            <w:rFonts w:ascii="Calibri" w:hAnsi="Calibri" w:cs="Calibri"/>
            <w:b w:val="0"/>
            <w:bCs w:val="0"/>
            <w:sz w:val="22"/>
            <w:szCs w:val="22"/>
          </w:rPr>
          <w:t>Information Reporting by Providers of Minimum Essential Coverage</w:t>
        </w:r>
      </w:hyperlink>
    </w:p>
    <w:p w14:paraId="308E973A"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90" w:anchor="top" w:history="1">
        <w:r w:rsidRPr="00DD7BD1">
          <w:rPr>
            <w:rStyle w:val="Hyperlink"/>
            <w:rFonts w:ascii="Calibri" w:hAnsi="Calibri" w:cs="Calibri"/>
            <w:b w:val="0"/>
            <w:bCs w:val="0"/>
            <w:sz w:val="22"/>
            <w:szCs w:val="22"/>
          </w:rPr>
          <w:t>Q&amp;As: Information Reporting by Health Coverage Providers (Section 6055)</w:t>
        </w:r>
      </w:hyperlink>
    </w:p>
    <w:p w14:paraId="694C6469"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91" w:history="1">
        <w:r w:rsidRPr="00DD7BD1">
          <w:rPr>
            <w:rStyle w:val="Hyperlink"/>
            <w:rFonts w:ascii="Calibri" w:hAnsi="Calibri" w:cs="Calibri"/>
            <w:b w:val="0"/>
            <w:bCs w:val="0"/>
            <w:sz w:val="22"/>
            <w:szCs w:val="22"/>
          </w:rPr>
          <w:t>Information Reporting by Applicable Large Employers</w:t>
        </w:r>
      </w:hyperlink>
    </w:p>
    <w:p w14:paraId="32B4EFE7"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92" w:history="1">
        <w:r w:rsidRPr="00DD7BD1">
          <w:rPr>
            <w:rStyle w:val="Hyperlink"/>
            <w:rFonts w:ascii="Calibri" w:hAnsi="Calibri" w:cs="Calibri"/>
            <w:b w:val="0"/>
            <w:bCs w:val="0"/>
            <w:sz w:val="22"/>
            <w:szCs w:val="22"/>
          </w:rPr>
          <w:t>Q&amp;As: Employer Information Reporting on Form 1094-C and Form 1095-C</w:t>
        </w:r>
      </w:hyperlink>
    </w:p>
    <w:p w14:paraId="62645000"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93" w:history="1">
        <w:r w:rsidRPr="00DD7BD1">
          <w:rPr>
            <w:rStyle w:val="Hyperlink"/>
            <w:rFonts w:ascii="Calibri" w:hAnsi="Calibri" w:cs="Calibri"/>
            <w:b w:val="0"/>
            <w:bCs w:val="0"/>
            <w:sz w:val="22"/>
            <w:szCs w:val="22"/>
          </w:rPr>
          <w:t xml:space="preserve">Q&amp;As: </w:t>
        </w:r>
        <w:proofErr w:type="gramStart"/>
        <w:r w:rsidRPr="00DD7BD1">
          <w:rPr>
            <w:rStyle w:val="Hyperlink"/>
            <w:rFonts w:ascii="Calibri" w:hAnsi="Calibri" w:cs="Calibri"/>
            <w:b w:val="0"/>
            <w:bCs w:val="0"/>
            <w:sz w:val="22"/>
            <w:szCs w:val="22"/>
          </w:rPr>
          <w:t>Reporting of</w:t>
        </w:r>
        <w:proofErr w:type="gramEnd"/>
        <w:r w:rsidRPr="00DD7BD1">
          <w:rPr>
            <w:rStyle w:val="Hyperlink"/>
            <w:rFonts w:ascii="Calibri" w:hAnsi="Calibri" w:cs="Calibri"/>
            <w:b w:val="0"/>
            <w:bCs w:val="0"/>
            <w:sz w:val="22"/>
            <w:szCs w:val="22"/>
          </w:rPr>
          <w:t xml:space="preserve"> Offers of Health Insurance Coverage by Employers (Section 6056)</w:t>
        </w:r>
      </w:hyperlink>
    </w:p>
    <w:p w14:paraId="3D5DFD19"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59C36D8A" w14:textId="77777777"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p>
    <w:p w14:paraId="394E2F95" w14:textId="4C693C95"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ACA &amp; Affordability - 2025</w:t>
      </w:r>
    </w:p>
    <w:p w14:paraId="078448EA"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94"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5AD28000"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130D2E27"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See the September HR WIRE for more information.</w:t>
      </w:r>
    </w:p>
    <w:p w14:paraId="7BB05892"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3742C10A" w14:textId="4C96B34C"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16F47AF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w:t>
      </w:r>
      <w:r w:rsidRPr="00DD7BD1">
        <w:rPr>
          <w:rFonts w:ascii="Calibri" w:hAnsi="Calibri" w:cs="Calibri"/>
          <w:b w:val="0"/>
          <w:bCs w:val="0"/>
          <w:color w:val="C00000"/>
          <w:sz w:val="22"/>
          <w:szCs w:val="22"/>
        </w:rPr>
        <w:t>December 23, 2024</w:t>
      </w:r>
      <w:r w:rsidRPr="00DD7BD1">
        <w:rPr>
          <w:rFonts w:ascii="Calibri" w:hAnsi="Calibri" w:cs="Calibri"/>
          <w:b w:val="0"/>
          <w:bCs w:val="0"/>
          <w:sz w:val="22"/>
          <w:szCs w:val="22"/>
        </w:rPr>
        <w:t xml:space="preserve">, regulated entities and their business associates must comply with stricter </w:t>
      </w:r>
      <w:hyperlink r:id="rId395"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3C1E49DF"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p>
    <w:p w14:paraId="7104B8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5D1FE02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AE630A0"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5BE42D69"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p>
    <w:p w14:paraId="5BAEF354"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1B9C3B7"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2E963A65"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544AF24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5A3D99D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08436CE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0FEC19FF" w14:textId="497C69F0" w:rsidR="00BB4530"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96"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p>
    <w:p w14:paraId="5A2CF072"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36275EDF" w14:textId="4CCFC7B3" w:rsidR="00E267B1" w:rsidRPr="00DD7BD1" w:rsidRDefault="00E267B1" w:rsidP="00E267B1">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Medicare Part D Notices Are Due Before Oct. 15, 2024</w:t>
      </w:r>
    </w:p>
    <w:p w14:paraId="1F6F6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Plan sponsors must provide the annual disclosure notice to Medicare-eligible individuals before Oct. 15, </w:t>
      </w:r>
      <w:proofErr w:type="gramStart"/>
      <w:r w:rsidRPr="00DD7BD1">
        <w:rPr>
          <w:rFonts w:ascii="Calibri" w:hAnsi="Calibri" w:cs="Calibri"/>
          <w:b w:val="0"/>
          <w:bCs w:val="0"/>
          <w:color w:val="000000" w:themeColor="text1"/>
          <w:kern w:val="0"/>
          <w:sz w:val="22"/>
          <w:szCs w:val="20"/>
        </w:rPr>
        <w:t>2024—</w:t>
      </w:r>
      <w:proofErr w:type="gramEnd"/>
      <w:r w:rsidRPr="00DD7BD1">
        <w:rPr>
          <w:rFonts w:ascii="Calibri" w:hAnsi="Calibri" w:cs="Calibri"/>
          <w:b w:val="0"/>
          <w:bCs w:val="0"/>
          <w:color w:val="000000" w:themeColor="text1"/>
          <w:kern w:val="0"/>
          <w:sz w:val="22"/>
          <w:szCs w:val="20"/>
        </w:rPr>
        <w:t xml:space="preserve">the start date of the annual enrollment period for Medicare Part D. CMS has provided </w:t>
      </w:r>
      <w:hyperlink r:id="rId397" w:history="1">
        <w:r w:rsidRPr="00DD7BD1">
          <w:rPr>
            <w:rStyle w:val="Hyperlink"/>
            <w:rFonts w:ascii="Calibri" w:eastAsiaTheme="minorHAnsi" w:hAnsi="Calibri" w:cs="Calibri"/>
            <w:b w:val="0"/>
            <w:bCs w:val="0"/>
            <w:sz w:val="22"/>
            <w:szCs w:val="22"/>
          </w:rPr>
          <w:t>model disclosure notices</w:t>
        </w:r>
      </w:hyperlink>
      <w:r w:rsidRPr="00DD7BD1">
        <w:rPr>
          <w:rFonts w:ascii="Calibri" w:hAnsi="Calibri" w:cs="Calibri"/>
          <w:b w:val="0"/>
          <w:bCs w:val="0"/>
          <w:color w:val="000000" w:themeColor="text1"/>
          <w:kern w:val="0"/>
          <w:sz w:val="22"/>
          <w:szCs w:val="20"/>
        </w:rPr>
        <w:t xml:space="preserve"> for employers to use.</w:t>
      </w:r>
    </w:p>
    <w:p w14:paraId="1959357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CMS has provided two model notices for employers to use:</w:t>
      </w:r>
    </w:p>
    <w:p w14:paraId="0E656E07"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98" w:history="1">
        <w:r w:rsidRPr="00DD7BD1">
          <w:rPr>
            <w:rStyle w:val="Hyperlink"/>
            <w:rFonts w:ascii="Calibri" w:hAnsi="Calibri" w:cs="Calibri"/>
            <w:b w:val="0"/>
            <w:bCs w:val="0"/>
            <w:sz w:val="22"/>
            <w:szCs w:val="22"/>
          </w:rPr>
          <w:t>Model 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creditable; and</w:t>
      </w:r>
    </w:p>
    <w:p w14:paraId="643ABAD0"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99" w:history="1">
        <w:r w:rsidRPr="00DD7BD1">
          <w:rPr>
            <w:rStyle w:val="Hyperlink"/>
            <w:rFonts w:ascii="Calibri" w:hAnsi="Calibri" w:cs="Calibri"/>
            <w:b w:val="0"/>
            <w:bCs w:val="0"/>
            <w:sz w:val="22"/>
            <w:szCs w:val="22"/>
          </w:rPr>
          <w:t>Model Non-creditable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not creditable.</w:t>
      </w:r>
    </w:p>
    <w:p w14:paraId="3C1DA736"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 xml:space="preserve">These model notices are also available in Spanish on CMS’ </w:t>
      </w:r>
      <w:hyperlink r:id="rId400" w:history="1">
        <w:r w:rsidRPr="00DD7BD1">
          <w:rPr>
            <w:rStyle w:val="Hyperlink"/>
            <w:rFonts w:ascii="Calibri" w:hAnsi="Calibri" w:cs="Calibri"/>
            <w:b w:val="0"/>
            <w:bCs w:val="0"/>
            <w:sz w:val="22"/>
            <w:szCs w:val="22"/>
          </w:rPr>
          <w:t>website</w:t>
        </w:r>
      </w:hyperlink>
      <w:r w:rsidRPr="00DD7BD1">
        <w:rPr>
          <w:rFonts w:ascii="Calibri" w:hAnsi="Calibri" w:cs="Calibri"/>
          <w:b w:val="0"/>
          <w:bCs w:val="0"/>
          <w:color w:val="000000" w:themeColor="text1"/>
          <w:sz w:val="22"/>
          <w:szCs w:val="22"/>
        </w:rPr>
        <w:t>.</w:t>
      </w:r>
    </w:p>
    <w:p w14:paraId="58A4A0CD"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760B359F" w14:textId="09113E21" w:rsidR="00434AFC" w:rsidRPr="00DD7BD1" w:rsidRDefault="00E267B1" w:rsidP="00636C2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This notice is important because Medicare beneficiaries who are not covered by creditable prescription drug coverage and do not enroll in Medicare Part D when first eligible will likely pay higher premiums if they enroll </w:t>
      </w:r>
      <w:proofErr w:type="gramStart"/>
      <w:r w:rsidRPr="00DD7BD1">
        <w:rPr>
          <w:rFonts w:ascii="Calibri" w:hAnsi="Calibri" w:cs="Calibri"/>
          <w:b w:val="0"/>
          <w:bCs w:val="0"/>
          <w:color w:val="000000" w:themeColor="text1"/>
          <w:kern w:val="0"/>
          <w:sz w:val="22"/>
          <w:szCs w:val="20"/>
        </w:rPr>
        <w:t>at a later date</w:t>
      </w:r>
      <w:proofErr w:type="gramEnd"/>
      <w:r w:rsidRPr="00DD7BD1">
        <w:rPr>
          <w:rFonts w:ascii="Calibri" w:hAnsi="Calibri" w:cs="Calibri"/>
          <w:b w:val="0"/>
          <w:bCs w:val="0"/>
          <w:color w:val="000000" w:themeColor="text1"/>
          <w:kern w:val="0"/>
          <w:sz w:val="22"/>
          <w:szCs w:val="20"/>
        </w:rPr>
        <w:t>. Although there are no specific penalties associated with this notice requirement, failing to provide the notice may be detrimental to employees.</w:t>
      </w:r>
    </w:p>
    <w:p w14:paraId="6BC9FC65" w14:textId="77777777" w:rsidR="00434AFC" w:rsidRPr="00DD7BD1" w:rsidRDefault="00434AFC" w:rsidP="00E267B1">
      <w:pPr>
        <w:pStyle w:val="Heading1"/>
        <w:shd w:val="clear" w:color="auto" w:fill="FFFFFF"/>
        <w:spacing w:before="0" w:beforeAutospacing="0" w:after="0" w:afterAutospacing="0"/>
        <w:jc w:val="center"/>
        <w:rPr>
          <w:rFonts w:ascii="Calibri" w:hAnsi="Calibri" w:cs="Calibri"/>
          <w:sz w:val="28"/>
          <w:szCs w:val="28"/>
        </w:rPr>
      </w:pPr>
    </w:p>
    <w:p w14:paraId="03499641" w14:textId="271500B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Voting Leave Compliance Obligations</w:t>
      </w:r>
    </w:p>
    <w:p w14:paraId="3915DD6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r w:rsidRPr="00DD7BD1">
        <w:rPr>
          <w:rFonts w:ascii="Calibri" w:hAnsi="Calibri" w:cs="Calibri"/>
          <w:color w:val="000000" w:themeColor="text1"/>
          <w:kern w:val="0"/>
          <w:sz w:val="22"/>
          <w:szCs w:val="22"/>
          <w:u w:val="single"/>
        </w:rPr>
        <w:t>Voting Leave:</w:t>
      </w:r>
    </w:p>
    <w:p w14:paraId="16DBB58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employees about their need for leave, so employers should be prepared to grant last-minute requests to leave work to vote.</w:t>
      </w:r>
    </w:p>
    <w:p w14:paraId="05D0B9B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p>
    <w:p w14:paraId="46F932D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Required Notices:</w:t>
      </w:r>
    </w:p>
    <w:p w14:paraId="611FB1A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833B5B8"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California</w:t>
      </w:r>
    </w:p>
    <w:p w14:paraId="62CF2105"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California requires the notice to be posted at least 10 days before the November 5 </w:t>
      </w:r>
      <w:proofErr w:type="gramStart"/>
      <w:r w:rsidRPr="00DD7BD1">
        <w:rPr>
          <w:rFonts w:ascii="Calibri" w:hAnsi="Calibri" w:cs="Calibri"/>
          <w:b w:val="0"/>
          <w:bCs w:val="0"/>
          <w:color w:val="000000" w:themeColor="text1"/>
          <w:sz w:val="22"/>
          <w:szCs w:val="22"/>
        </w:rPr>
        <w:t>election—</w:t>
      </w:r>
      <w:proofErr w:type="gramEnd"/>
      <w:r w:rsidRPr="00DD7BD1">
        <w:rPr>
          <w:rFonts w:ascii="Calibri" w:hAnsi="Calibri" w:cs="Calibri"/>
          <w:b w:val="0"/>
          <w:bCs w:val="0"/>
          <w:color w:val="000000" w:themeColor="text1"/>
          <w:sz w:val="22"/>
          <w:szCs w:val="22"/>
        </w:rPr>
        <w:t>which is October 26, a Saturday. If you’re closed on Saturdays, we recommend posting or sending this notice by Friday the 25th. California’s notice can be found in English </w:t>
      </w:r>
      <w:hyperlink r:id="rId401"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and in other languages </w:t>
      </w:r>
      <w:hyperlink r:id="rId402"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F329A1A"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134EB6C2"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The District of Columbia</w:t>
      </w:r>
    </w:p>
    <w:p w14:paraId="4DC5E5C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DC </w:t>
      </w:r>
      <w:proofErr w:type="gramStart"/>
      <w:r w:rsidRPr="00DD7BD1">
        <w:rPr>
          <w:rFonts w:ascii="Calibri" w:hAnsi="Calibri" w:cs="Calibri"/>
          <w:b w:val="0"/>
          <w:bCs w:val="0"/>
          <w:color w:val="000000" w:themeColor="text1"/>
          <w:sz w:val="22"/>
          <w:szCs w:val="22"/>
        </w:rPr>
        <w:t>requires that</w:t>
      </w:r>
      <w:proofErr w:type="gramEnd"/>
      <w:r w:rsidRPr="00DD7BD1">
        <w:rPr>
          <w:rFonts w:ascii="Calibri" w:hAnsi="Calibri" w:cs="Calibri"/>
          <w:b w:val="0"/>
          <w:bCs w:val="0"/>
          <w:color w:val="000000" w:themeColor="text1"/>
          <w:sz w:val="22"/>
          <w:szCs w:val="22"/>
        </w:rPr>
        <w:t xml:space="preserve"> employers post a voting leave notice created by the DC Board of Elections (DCBOE) at least 60 days before the November 5 election—which is September 6. If you provide this notice electronically for remote employees, you need to get their </w:t>
      </w:r>
      <w:proofErr w:type="gramStart"/>
      <w:r w:rsidRPr="00DD7BD1">
        <w:rPr>
          <w:rFonts w:ascii="Calibri" w:hAnsi="Calibri" w:cs="Calibri"/>
          <w:b w:val="0"/>
          <w:bCs w:val="0"/>
          <w:color w:val="000000" w:themeColor="text1"/>
          <w:sz w:val="22"/>
          <w:szCs w:val="22"/>
        </w:rPr>
        <w:t>acknowledgment of receipt</w:t>
      </w:r>
      <w:proofErr w:type="gramEnd"/>
      <w:r w:rsidRPr="00DD7BD1">
        <w:rPr>
          <w:rFonts w:ascii="Calibri" w:hAnsi="Calibri" w:cs="Calibri"/>
          <w:b w:val="0"/>
          <w:bCs w:val="0"/>
          <w:color w:val="000000" w:themeColor="text1"/>
          <w:sz w:val="22"/>
          <w:szCs w:val="22"/>
        </w:rPr>
        <w:t>. This election’s notice can be found in English and in other languages </w:t>
      </w:r>
      <w:hyperlink r:id="rId403"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The DCBOE has a </w:t>
      </w:r>
      <w:hyperlink r:id="rId404" w:tgtFrame="_blank" w:history="1">
        <w:r w:rsidRPr="00DD7BD1">
          <w:rPr>
            <w:rStyle w:val="Hyperlink"/>
            <w:rFonts w:ascii="Calibri" w:hAnsi="Calibri" w:cs="Calibri"/>
            <w:b w:val="0"/>
            <w:bCs w:val="0"/>
            <w:sz w:val="22"/>
            <w:szCs w:val="22"/>
          </w:rPr>
          <w:t>web page</w:t>
        </w:r>
      </w:hyperlink>
      <w:r w:rsidRPr="00DD7BD1">
        <w:rPr>
          <w:rFonts w:ascii="Calibri" w:hAnsi="Calibri" w:cs="Calibri"/>
          <w:b w:val="0"/>
          <w:bCs w:val="0"/>
          <w:color w:val="000000" w:themeColor="text1"/>
          <w:sz w:val="22"/>
          <w:szCs w:val="22"/>
        </w:rPr>
        <w:t> with additional information.</w:t>
      </w:r>
    </w:p>
    <w:p w14:paraId="3C0BD636"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D2598D4"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New York</w:t>
      </w:r>
    </w:p>
    <w:p w14:paraId="282A7EDD" w14:textId="11D27289" w:rsidR="00636C21" w:rsidRPr="00DD7BD1" w:rsidRDefault="00E267B1" w:rsidP="000C0E84">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405"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65F75A9" w14:textId="77777777" w:rsidR="00636C21" w:rsidRPr="00DD7BD1" w:rsidRDefault="00636C21" w:rsidP="00E267B1">
      <w:pPr>
        <w:pStyle w:val="Heading1"/>
        <w:shd w:val="clear" w:color="auto" w:fill="FFFFFF"/>
        <w:spacing w:before="0" w:beforeAutospacing="0" w:after="0" w:afterAutospacing="0"/>
        <w:jc w:val="center"/>
        <w:rPr>
          <w:rFonts w:ascii="Calibri" w:hAnsi="Calibri" w:cs="Calibri"/>
          <w:sz w:val="28"/>
          <w:szCs w:val="28"/>
        </w:rPr>
      </w:pPr>
    </w:p>
    <w:p w14:paraId="5E6573A6" w14:textId="0151B37D"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Navigating Election Season as an Employer</w:t>
      </w:r>
    </w:p>
    <w:p w14:paraId="75128EC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may encounter </w:t>
      </w:r>
      <w:proofErr w:type="gramStart"/>
      <w:r w:rsidRPr="00DD7BD1">
        <w:rPr>
          <w:rFonts w:ascii="Calibri" w:hAnsi="Calibri" w:cs="Calibri"/>
          <w:b w:val="0"/>
          <w:bCs w:val="0"/>
          <w:sz w:val="22"/>
          <w:szCs w:val="22"/>
        </w:rPr>
        <w:t>a number of</w:t>
      </w:r>
      <w:proofErr w:type="gramEnd"/>
      <w:r w:rsidRPr="00DD7BD1">
        <w:rPr>
          <w:rFonts w:ascii="Calibri" w:hAnsi="Calibri" w:cs="Calibri"/>
          <w:b w:val="0"/>
          <w:bCs w:val="0"/>
          <w:sz w:val="22"/>
          <w:szCs w:val="22"/>
        </w:rPr>
        <w:t xml:space="preserve">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DD7BD1" w:rsidRDefault="00E267B1" w:rsidP="00E267B1">
      <w:pPr>
        <w:pStyle w:val="BodyText"/>
        <w:spacing w:after="0" w:line="240" w:lineRule="auto"/>
        <w:ind w:right="270"/>
        <w:rPr>
          <w:rFonts w:cs="Calibri"/>
          <w:color w:val="auto"/>
          <w:szCs w:val="22"/>
        </w:rPr>
      </w:pPr>
      <w:r w:rsidRPr="00DD7BD1">
        <w:rPr>
          <w:rFonts w:cs="Calibri"/>
          <w:color w:val="auto"/>
          <w:szCs w:val="22"/>
        </w:rPr>
        <w:t>Among the issues employers may want to consider in the lead-up to the election include:</w:t>
      </w:r>
    </w:p>
    <w:p w14:paraId="645E8C06"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and restrictions with respect to political speech in the workplace;</w:t>
      </w:r>
    </w:p>
    <w:p w14:paraId="1A2EAE3B"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regarding off-duty conduct, including social media use and other political activity;</w:t>
      </w:r>
    </w:p>
    <w:p w14:paraId="0BDEBE11"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Employer rights to and restrictions on political speech and activities; and</w:t>
      </w:r>
    </w:p>
    <w:p w14:paraId="7B2E413A"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voting leave rights</w:t>
      </w:r>
    </w:p>
    <w:p w14:paraId="388950F9" w14:textId="77777777" w:rsidR="00E267B1" w:rsidRPr="00DD7BD1" w:rsidRDefault="00E267B1" w:rsidP="00E267B1">
      <w:pPr>
        <w:pStyle w:val="BulletListText"/>
        <w:numPr>
          <w:ilvl w:val="0"/>
          <w:numId w:val="0"/>
        </w:numPr>
        <w:spacing w:after="0"/>
        <w:ind w:left="720" w:hanging="360"/>
        <w:contextualSpacing/>
        <w:rPr>
          <w:rFonts w:cs="Calibri"/>
          <w:color w:val="auto"/>
          <w:szCs w:val="22"/>
        </w:rPr>
      </w:pPr>
      <w:r w:rsidRPr="00DD7BD1">
        <w:rPr>
          <w:rFonts w:cs="Calibri"/>
          <w:color w:val="auto"/>
          <w:szCs w:val="22"/>
        </w:rPr>
        <w:t>See the attached, stand-alone resource which walks through each of the above considerations.</w:t>
      </w:r>
    </w:p>
    <w:p w14:paraId="06F4208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E9073C5" w14:textId="37794955"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6B6242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lastRenderedPageBreak/>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406" w:history="1">
        <w:r w:rsidRPr="00DD7BD1">
          <w:rPr>
            <w:rStyle w:val="Hyperlink"/>
            <w:rFonts w:ascii="Calibri" w:hAnsi="Calibri" w:cs="Calibri"/>
            <w:b w:val="0"/>
            <w:bCs w:val="0"/>
            <w:sz w:val="22"/>
            <w:szCs w:val="22"/>
          </w:rPr>
          <w:t>1094-B</w:t>
        </w:r>
      </w:hyperlink>
      <w:r w:rsidRPr="00DD7BD1">
        <w:rPr>
          <w:rFonts w:ascii="Calibri" w:hAnsi="Calibri" w:cs="Calibri"/>
          <w:b w:val="0"/>
          <w:bCs w:val="0"/>
          <w:color w:val="000000" w:themeColor="text1"/>
          <w:sz w:val="22"/>
          <w:szCs w:val="22"/>
        </w:rPr>
        <w:t xml:space="preserve"> and </w:t>
      </w:r>
      <w:hyperlink r:id="rId407" w:history="1">
        <w:r w:rsidRPr="00DD7BD1">
          <w:rPr>
            <w:rStyle w:val="Hyperlink"/>
            <w:rFonts w:ascii="Calibri" w:hAnsi="Calibri" w:cs="Calibri"/>
            <w:b w:val="0"/>
            <w:bCs w:val="0"/>
            <w:sz w:val="22"/>
            <w:szCs w:val="22"/>
          </w:rPr>
          <w:t>1095-B</w:t>
        </w:r>
      </w:hyperlink>
      <w:r w:rsidRPr="00DD7BD1">
        <w:rPr>
          <w:rFonts w:ascii="Calibri" w:hAnsi="Calibri" w:cs="Calibri"/>
          <w:b w:val="0"/>
          <w:bCs w:val="0"/>
          <w:color w:val="000000" w:themeColor="text1"/>
          <w:sz w:val="22"/>
          <w:szCs w:val="22"/>
        </w:rPr>
        <w:t xml:space="preserve"> (and related </w:t>
      </w:r>
      <w:hyperlink r:id="rId408"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 xml:space="preserve">can be used by providers of minimum essential </w:t>
      </w:r>
      <w:proofErr w:type="gramStart"/>
      <w:r w:rsidRPr="00DD7BD1">
        <w:rPr>
          <w:rFonts w:ascii="Calibri" w:hAnsi="Calibri" w:cs="Calibri"/>
          <w:b w:val="0"/>
          <w:bCs w:val="0"/>
          <w:sz w:val="22"/>
          <w:szCs w:val="22"/>
        </w:rPr>
        <w:t>coverage—</w:t>
      </w:r>
      <w:proofErr w:type="gramEnd"/>
      <w:r w:rsidRPr="00DD7BD1">
        <w:rPr>
          <w:rFonts w:ascii="Calibri" w:hAnsi="Calibri" w:cs="Calibri"/>
          <w:b w:val="0"/>
          <w:bCs w:val="0"/>
          <w:sz w:val="22"/>
          <w:szCs w:val="22"/>
        </w:rPr>
        <w:t>including self-insured plan sponsors that are not applicable large employers (ALEs)—to report under Section 6055.</w:t>
      </w:r>
    </w:p>
    <w:p w14:paraId="388B13D0"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409" w:history="1">
        <w:r w:rsidRPr="00DD7BD1">
          <w:rPr>
            <w:rStyle w:val="Hyperlink"/>
            <w:rFonts w:ascii="Calibri" w:hAnsi="Calibri" w:cs="Calibri"/>
            <w:b w:val="0"/>
            <w:bCs w:val="0"/>
            <w:sz w:val="22"/>
            <w:szCs w:val="22"/>
          </w:rPr>
          <w:t>1094-C</w:t>
        </w:r>
      </w:hyperlink>
      <w:r w:rsidRPr="00DD7BD1">
        <w:rPr>
          <w:rFonts w:ascii="Calibri" w:hAnsi="Calibri" w:cs="Calibri"/>
          <w:b w:val="0"/>
          <w:bCs w:val="0"/>
          <w:color w:val="000000" w:themeColor="text1"/>
          <w:sz w:val="22"/>
          <w:szCs w:val="22"/>
        </w:rPr>
        <w:t xml:space="preserve"> and </w:t>
      </w:r>
      <w:hyperlink r:id="rId410" w:history="1">
        <w:r w:rsidRPr="00DD7BD1">
          <w:rPr>
            <w:rStyle w:val="Hyperlink"/>
            <w:rFonts w:ascii="Calibri" w:hAnsi="Calibri" w:cs="Calibri"/>
            <w:b w:val="0"/>
            <w:bCs w:val="0"/>
            <w:sz w:val="22"/>
            <w:szCs w:val="22"/>
          </w:rPr>
          <w:t>1095-C</w:t>
        </w:r>
      </w:hyperlink>
      <w:r w:rsidRPr="00DD7BD1">
        <w:rPr>
          <w:rFonts w:ascii="Calibri" w:hAnsi="Calibri" w:cs="Calibri"/>
          <w:b w:val="0"/>
          <w:bCs w:val="0"/>
          <w:color w:val="000000" w:themeColor="text1"/>
          <w:sz w:val="22"/>
          <w:szCs w:val="22"/>
        </w:rPr>
        <w:t xml:space="preserve"> (and related </w:t>
      </w:r>
      <w:hyperlink r:id="rId411"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can be used by ALEs to report under Section 6056 as well as for combined Section 6055 and 6056 reporting by ALEs that sponsor self-insured plans.</w:t>
      </w:r>
    </w:p>
    <w:p w14:paraId="1DB713F9" w14:textId="4DEC2203"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rPr>
        <w:t>To date, no major changes were made to the draft forms or instructions for 2024 reporting</w:t>
      </w:r>
      <w:r w:rsidRPr="00DD7BD1">
        <w:rPr>
          <w:rFonts w:ascii="Calibri" w:hAnsi="Calibri" w:cs="Calibri"/>
          <w:b w:val="0"/>
          <w:bCs w:val="0"/>
          <w:sz w:val="22"/>
          <w:szCs w:val="22"/>
        </w:rPr>
        <w:t xml:space="preserve">. </w:t>
      </w:r>
    </w:p>
    <w:p w14:paraId="1385FF9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p>
    <w:p w14:paraId="16AC00C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Electronic Filing Requirement</w:t>
      </w:r>
    </w:p>
    <w:p w14:paraId="5FA79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54F776A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Employers should become familiar with the draft forms and instructions for 2024 calendar year </w:t>
      </w:r>
      <w:proofErr w:type="gramStart"/>
      <w:r w:rsidRPr="00DD7BD1">
        <w:rPr>
          <w:rFonts w:ascii="Calibri" w:hAnsi="Calibri" w:cs="Calibri"/>
          <w:b w:val="0"/>
          <w:bCs w:val="0"/>
          <w:sz w:val="22"/>
          <w:szCs w:val="22"/>
        </w:rPr>
        <w:t>reporting..</w:t>
      </w:r>
      <w:proofErr w:type="gramEnd"/>
      <w:r w:rsidRPr="00DD7BD1">
        <w:rPr>
          <w:rFonts w:ascii="Calibri" w:hAnsi="Calibri" w:cs="Calibri"/>
          <w:b w:val="0"/>
          <w:bCs w:val="0"/>
          <w:sz w:val="22"/>
          <w:szCs w:val="22"/>
        </w:rPr>
        <w:t xml:space="preserve"> Employers should also monitor future developments for the release of the final forms and instructions.</w:t>
      </w:r>
    </w:p>
    <w:p w14:paraId="34901A7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1753543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72D2A2C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657D66A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6D8596F"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04EBAA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FF30CEB"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412" w:history="1">
        <w:r w:rsidRPr="00DD7BD1">
          <w:rPr>
            <w:rStyle w:val="Hyperlink"/>
            <w:rFonts w:ascii="Calibri" w:hAnsi="Calibri" w:cs="Calibri"/>
            <w:b w:val="0"/>
            <w:bCs w:val="0"/>
            <w:sz w:val="22"/>
            <w:szCs w:val="22"/>
          </w:rPr>
          <w:t>Information Reporting by Providers of Minimum Essential Coverage</w:t>
        </w:r>
      </w:hyperlink>
    </w:p>
    <w:p w14:paraId="0A43857E"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413" w:anchor="top" w:history="1">
        <w:r w:rsidRPr="00DD7BD1">
          <w:rPr>
            <w:rStyle w:val="Hyperlink"/>
            <w:rFonts w:ascii="Calibri" w:hAnsi="Calibri" w:cs="Calibri"/>
            <w:b w:val="0"/>
            <w:bCs w:val="0"/>
            <w:sz w:val="22"/>
            <w:szCs w:val="22"/>
          </w:rPr>
          <w:t>Q&amp;As: Information Reporting by Health Coverage Providers (Section 6055)</w:t>
        </w:r>
      </w:hyperlink>
    </w:p>
    <w:p w14:paraId="5B64D863"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414" w:history="1">
        <w:r w:rsidRPr="00DD7BD1">
          <w:rPr>
            <w:rStyle w:val="Hyperlink"/>
            <w:rFonts w:ascii="Calibri" w:hAnsi="Calibri" w:cs="Calibri"/>
            <w:b w:val="0"/>
            <w:bCs w:val="0"/>
            <w:sz w:val="22"/>
            <w:szCs w:val="22"/>
          </w:rPr>
          <w:t>Information Reporting by Applicable Large Employers</w:t>
        </w:r>
      </w:hyperlink>
    </w:p>
    <w:p w14:paraId="46CE2ED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415" w:history="1">
        <w:r w:rsidRPr="00DD7BD1">
          <w:rPr>
            <w:rStyle w:val="Hyperlink"/>
            <w:rFonts w:ascii="Calibri" w:hAnsi="Calibri" w:cs="Calibri"/>
            <w:b w:val="0"/>
            <w:bCs w:val="0"/>
            <w:sz w:val="22"/>
            <w:szCs w:val="22"/>
          </w:rPr>
          <w:t>Q&amp;As: Employer Information Reporting on Form 1094-C and Form 1095-C</w:t>
        </w:r>
      </w:hyperlink>
    </w:p>
    <w:p w14:paraId="6EE80F5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416" w:history="1">
        <w:r w:rsidRPr="00DD7BD1">
          <w:rPr>
            <w:rStyle w:val="Hyperlink"/>
            <w:rFonts w:ascii="Calibri" w:hAnsi="Calibri" w:cs="Calibri"/>
            <w:b w:val="0"/>
            <w:bCs w:val="0"/>
            <w:sz w:val="22"/>
            <w:szCs w:val="22"/>
          </w:rPr>
          <w:t xml:space="preserve">Q&amp;As: </w:t>
        </w:r>
        <w:proofErr w:type="gramStart"/>
        <w:r w:rsidRPr="00DD7BD1">
          <w:rPr>
            <w:rStyle w:val="Hyperlink"/>
            <w:rFonts w:ascii="Calibri" w:hAnsi="Calibri" w:cs="Calibri"/>
            <w:b w:val="0"/>
            <w:bCs w:val="0"/>
            <w:sz w:val="22"/>
            <w:szCs w:val="22"/>
          </w:rPr>
          <w:t>Reporting of</w:t>
        </w:r>
        <w:proofErr w:type="gramEnd"/>
        <w:r w:rsidRPr="00DD7BD1">
          <w:rPr>
            <w:rStyle w:val="Hyperlink"/>
            <w:rFonts w:ascii="Calibri" w:hAnsi="Calibri" w:cs="Calibri"/>
            <w:b w:val="0"/>
            <w:bCs w:val="0"/>
            <w:sz w:val="22"/>
            <w:szCs w:val="22"/>
          </w:rPr>
          <w:t xml:space="preserve"> Offers of Health Insurance Coverage by Employers (Section 6056)</w:t>
        </w:r>
      </w:hyperlink>
    </w:p>
    <w:p w14:paraId="57A1C55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741C65C1"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36C4A530"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2F4911F6" w14:textId="400FBCA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2025 ACA &amp; Affordability</w:t>
      </w:r>
    </w:p>
    <w:p w14:paraId="2142E9D4"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417"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lastRenderedPageBreak/>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DD7BD1" w:rsidRDefault="00E267B1" w:rsidP="00E267B1">
      <w:pPr>
        <w:pStyle w:val="Heading1"/>
        <w:spacing w:after="0"/>
        <w:jc w:val="center"/>
        <w:rPr>
          <w:rFonts w:ascii="Calibri" w:hAnsi="Calibri" w:cs="Calibri"/>
          <w:b w:val="0"/>
          <w:bCs w:val="0"/>
          <w:sz w:val="22"/>
          <w:szCs w:val="22"/>
        </w:rPr>
      </w:pPr>
      <w:r w:rsidRPr="00DD7BD1">
        <w:rPr>
          <w:rFonts w:ascii="Calibri" w:hAnsi="Calibri" w:cs="Calibri"/>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418"/>
                    <a:stretch>
                      <a:fillRect/>
                    </a:stretch>
                  </pic:blipFill>
                  <pic:spPr>
                    <a:xfrm>
                      <a:off x="0" y="0"/>
                      <a:ext cx="3501452" cy="3653218"/>
                    </a:xfrm>
                    <a:prstGeom prst="rect">
                      <a:avLst/>
                    </a:prstGeom>
                  </pic:spPr>
                </pic:pic>
              </a:graphicData>
            </a:graphic>
          </wp:inline>
        </w:drawing>
      </w:r>
    </w:p>
    <w:p w14:paraId="2E1E6A2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Takeaways:</w:t>
      </w:r>
    </w:p>
    <w:p w14:paraId="5FDA59BD"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rPr>
        <w:t>​</w:t>
      </w:r>
      <w:r w:rsidRPr="00DD7BD1">
        <w:rPr>
          <w:rFonts w:ascii="Calibri" w:hAnsi="Calibri" w:cs="Calibri"/>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such, Applicable Large Employers should do the following in preparation for 2025:</w:t>
      </w:r>
    </w:p>
    <w:p w14:paraId="7698F0F0"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​Familiarize themselves with the updated, increased affordability percentage for plan years beginning in 2025.</w:t>
      </w:r>
    </w:p>
    <w:p w14:paraId="646030FB"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​Be prepared to file forms 1094-C and 1095-C with the IRS electronically in 2025</w:t>
      </w:r>
    </w:p>
    <w:p w14:paraId="1D3C2044"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B0827FA" w14:textId="37F0B13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DOL Issues “AI &amp; Inclusive Hiring Framework”</w:t>
      </w:r>
    </w:p>
    <w:p w14:paraId="12F277B1"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September 24, 2024, the U.S. Department of Labor (DOL) </w:t>
      </w:r>
      <w:hyperlink r:id="rId419" w:tgtFrame="_blank" w:history="1">
        <w:r w:rsidRPr="00DD7BD1">
          <w:rPr>
            <w:rStyle w:val="Hyperlink"/>
            <w:rFonts w:ascii="Calibri" w:hAnsi="Calibri" w:cs="Calibri"/>
            <w:b w:val="0"/>
            <w:bCs w:val="0"/>
            <w:sz w:val="22"/>
            <w:szCs w:val="22"/>
          </w:rPr>
          <w:t>announced </w:t>
        </w:r>
      </w:hyperlink>
      <w:r w:rsidRPr="00DD7BD1">
        <w:rPr>
          <w:rFonts w:ascii="Calibri" w:hAnsi="Calibri" w:cs="Calibri"/>
          <w:b w:val="0"/>
          <w:bCs w:val="0"/>
          <w:sz w:val="22"/>
          <w:szCs w:val="22"/>
        </w:rPr>
        <w:t>publication of its “</w:t>
      </w:r>
      <w:hyperlink r:id="rId420" w:tgtFrame="_blank" w:history="1">
        <w:r w:rsidRPr="00DD7BD1">
          <w:rPr>
            <w:rStyle w:val="Hyperlink"/>
            <w:rFonts w:ascii="Calibri" w:hAnsi="Calibri" w:cs="Calibri"/>
            <w:b w:val="0"/>
            <w:bCs w:val="0"/>
            <w:sz w:val="22"/>
            <w:szCs w:val="22"/>
          </w:rPr>
          <w:t>AI &amp; Inclusive Hiring Framework</w:t>
        </w:r>
      </w:hyperlink>
      <w:r w:rsidRPr="00DD7BD1">
        <w:rPr>
          <w:rFonts w:ascii="Calibri" w:hAnsi="Calibri" w:cs="Calibri"/>
          <w:b w:val="0"/>
          <w:bCs w:val="0"/>
          <w:sz w:val="22"/>
          <w:szCs w:val="22"/>
        </w:rPr>
        <w:t>” website, described as “a new tool designed to support the inclusive use of artificial intelligence in employers’ hiring technology and increase benefits to disabled job seekers.” Previously, DOL released </w:t>
      </w:r>
      <w:hyperlink r:id="rId421" w:tgtFrame="_blank" w:history="1">
        <w:r w:rsidRPr="00DD7BD1">
          <w:rPr>
            <w:rStyle w:val="Hyperlink"/>
            <w:rFonts w:ascii="Calibri" w:hAnsi="Calibri" w:cs="Calibri"/>
            <w:b w:val="0"/>
            <w:bCs w:val="0"/>
            <w:sz w:val="22"/>
            <w:szCs w:val="22"/>
          </w:rPr>
          <w:t>AI Principles</w:t>
        </w:r>
      </w:hyperlink>
      <w:r w:rsidRPr="00DD7BD1">
        <w:rPr>
          <w:rFonts w:ascii="Calibri" w:hAnsi="Calibri" w:cs="Calibri"/>
          <w:b w:val="0"/>
          <w:bCs w:val="0"/>
          <w:sz w:val="22"/>
          <w:szCs w:val="22"/>
        </w:rPr>
        <w:t>, with guidance for employers and AI developers about designing and implementing AI systems in the workplace. DOL issued these AI Principles at the direction of President Biden’s </w:t>
      </w:r>
      <w:hyperlink r:id="rId422" w:tgtFrame="_blank" w:history="1">
        <w:r w:rsidRPr="00DD7BD1">
          <w:rPr>
            <w:rStyle w:val="Hyperlink"/>
            <w:rFonts w:ascii="Calibri" w:hAnsi="Calibri" w:cs="Calibri"/>
            <w:b w:val="0"/>
            <w:bCs w:val="0"/>
            <w:sz w:val="22"/>
            <w:szCs w:val="22"/>
          </w:rPr>
          <w:t>Executive Order on the Safe, Secure, and Trustworthy Development and Use of Artificial Intelligence</w:t>
        </w:r>
      </w:hyperlink>
      <w:r w:rsidRPr="00DD7BD1">
        <w:rPr>
          <w:rFonts w:ascii="Calibri" w:hAnsi="Calibri" w:cs="Calibri"/>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Within the AI Framework website, however, PEAT attempts to provide employers with resources to consider when implementing AI systems.</w:t>
      </w:r>
    </w:p>
    <w:p w14:paraId="77067D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F041327" w14:textId="77777777" w:rsidR="00E267B1" w:rsidRPr="00DD7BD1" w:rsidRDefault="00E267B1" w:rsidP="00E267B1">
      <w:pPr>
        <w:pStyle w:val="Heading1"/>
        <w:spacing w:before="0" w:beforeAutospacing="0" w:after="0" w:afterAutospacing="0"/>
        <w:jc w:val="both"/>
        <w:rPr>
          <w:rFonts w:ascii="Calibri" w:hAnsi="Calibri" w:cs="Calibri"/>
          <w:sz w:val="22"/>
          <w:szCs w:val="22"/>
        </w:rPr>
      </w:pPr>
      <w:r w:rsidRPr="00DD7BD1">
        <w:rPr>
          <w:rFonts w:ascii="Calibri" w:hAnsi="Calibri" w:cs="Calibri"/>
          <w:sz w:val="22"/>
          <w:szCs w:val="22"/>
          <w:highlight w:val="lightGray"/>
        </w:rPr>
        <w:lastRenderedPageBreak/>
        <w:t>Employers Takeaways:</w:t>
      </w:r>
      <w:r w:rsidRPr="00DD7BD1">
        <w:rPr>
          <w:rFonts w:ascii="Calibri" w:hAnsi="Calibri" w:cs="Calibri"/>
          <w:sz w:val="22"/>
          <w:szCs w:val="22"/>
        </w:rPr>
        <w:t xml:space="preserve"> </w:t>
      </w:r>
      <w:r w:rsidRPr="00DD7BD1">
        <w:rPr>
          <w:rFonts w:ascii="Calibri" w:hAnsi="Calibri" w:cs="Calibri"/>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735D924A" w14:textId="54A0CD4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67C20D74"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December 23, 2024, regulated entities and their business associates must comply with stricter </w:t>
      </w:r>
      <w:hyperlink r:id="rId423"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1A8AFCA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610A45AA"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21F65CB"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6991112F"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7D4D1C4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241BDD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7F1C7482"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1AEA12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new privacy protections impact:</w:t>
      </w:r>
    </w:p>
    <w:p w14:paraId="23692DCF"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 with self-insured health plans</w:t>
      </w:r>
      <w:r w:rsidRPr="00DD7BD1">
        <w:rPr>
          <w:rFonts w:ascii="Calibri" w:hAnsi="Calibri" w:cs="Calibri"/>
          <w:b w:val="0"/>
          <w:bCs w:val="0"/>
          <w:sz w:val="22"/>
          <w:szCs w:val="22"/>
        </w:rPr>
        <w:t>; and</w:t>
      </w:r>
    </w:p>
    <w:p w14:paraId="150F3379"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w:t>
      </w:r>
      <w:r w:rsidRPr="00DD7BD1">
        <w:rPr>
          <w:rFonts w:ascii="Calibri" w:hAnsi="Calibri" w:cs="Calibri"/>
          <w:b w:val="0"/>
          <w:bCs w:val="0"/>
          <w:sz w:val="22"/>
          <w:szCs w:val="22"/>
        </w:rPr>
        <w:t xml:space="preserve"> with fully insured health plans that have </w:t>
      </w:r>
      <w:r w:rsidRPr="00DD7BD1">
        <w:rPr>
          <w:rFonts w:ascii="Calibri" w:hAnsi="Calibri" w:cs="Calibri"/>
          <w:sz w:val="22"/>
          <w:szCs w:val="22"/>
        </w:rPr>
        <w:t>access to PHI (other than enrollment information, summary health information and information released pursuant to a HIPAA authorization) from their issuers</w:t>
      </w:r>
      <w:r w:rsidRPr="00DD7BD1">
        <w:rPr>
          <w:rFonts w:ascii="Calibri" w:hAnsi="Calibri" w:cs="Calibri"/>
          <w:b w:val="0"/>
          <w:bCs w:val="0"/>
          <w:sz w:val="22"/>
          <w:szCs w:val="22"/>
        </w:rPr>
        <w:t xml:space="preserve">. </w:t>
      </w:r>
    </w:p>
    <w:p w14:paraId="03366833"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59482BB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40C103DD" w14:textId="77777777" w:rsidR="00E267B1" w:rsidRPr="00DD7BD1" w:rsidRDefault="00E267B1" w:rsidP="00E267B1">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605CFB8C" w14:textId="24F940CE"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424"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r w:rsidRPr="00DD7BD1">
        <w:rPr>
          <w:rFonts w:ascii="Calibri" w:hAnsi="Calibri" w:cs="Calibri"/>
          <w:sz w:val="22"/>
          <w:szCs w:val="22"/>
        </w:rPr>
        <w:t>Health plans</w:t>
      </w:r>
      <w:r w:rsidRPr="00DD7BD1">
        <w:rPr>
          <w:rFonts w:ascii="Calibri" w:hAnsi="Calibri" w:cs="Calibri"/>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1125459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86AB8C5" w14:textId="436F6EC4"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213F34EF"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ETC will continue to monitor as HHS is likely to publish Model HIPAA Notice of Privacy Practice (NPPs) inclusive of references to the regulatory changes.</w:t>
      </w:r>
    </w:p>
    <w:p w14:paraId="10DE86B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3E32F23" w14:textId="02E5C2D1"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EBSA Releases Updated Cybersecurity Guidance for Employee Benefit Plans</w:t>
      </w:r>
    </w:p>
    <w:p w14:paraId="7D9439F0" w14:textId="77777777" w:rsidR="00E267B1" w:rsidRPr="00DD7BD1" w:rsidRDefault="00E267B1" w:rsidP="00E267B1">
      <w:pPr>
        <w:pStyle w:val="Highlight"/>
        <w:spacing w:after="0" w:line="240" w:lineRule="auto"/>
        <w:rPr>
          <w:rFonts w:ascii="Calibri" w:hAnsi="Calibri" w:cs="Calibri"/>
        </w:rPr>
      </w:pPr>
      <w:r w:rsidRPr="00DD7BD1">
        <w:rPr>
          <w:rFonts w:ascii="Calibri" w:hAnsi="Calibri" w:cs="Calibri"/>
        </w:rPr>
        <w:t xml:space="preserve">Plan fiduciaries (Employers) of ERISA-covered </w:t>
      </w:r>
      <w:r w:rsidRPr="00DD7BD1">
        <w:rPr>
          <w:rFonts w:ascii="Calibri" w:hAnsi="Calibri" w:cs="Calibri"/>
          <w:i/>
          <w:iCs/>
        </w:rPr>
        <w:t>pension and health and welfare plans</w:t>
      </w:r>
      <w:r w:rsidRPr="00DD7BD1">
        <w:rPr>
          <w:rFonts w:ascii="Calibri" w:hAnsi="Calibri" w:cs="Calibri"/>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DD7BD1" w:rsidRDefault="00E267B1" w:rsidP="00E267B1">
      <w:pPr>
        <w:pStyle w:val="Highlight"/>
        <w:spacing w:after="0" w:line="240" w:lineRule="auto"/>
        <w:rPr>
          <w:rFonts w:ascii="Calibri" w:hAnsi="Calibri" w:cs="Calibri"/>
        </w:rPr>
      </w:pPr>
    </w:p>
    <w:p w14:paraId="1364EC0D" w14:textId="1C0B91D1"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The Compliance Release, </w:t>
      </w:r>
      <w:hyperlink r:id="rId425" w:history="1">
        <w:r w:rsidRPr="00DD7BD1">
          <w:rPr>
            <w:rStyle w:val="Hyperlink"/>
            <w:rFonts w:ascii="Calibri" w:hAnsi="Calibri" w:cs="Calibri"/>
          </w:rPr>
          <w:t>Compliance Assistance Release No. 2024-01</w:t>
        </w:r>
      </w:hyperlink>
      <w:r w:rsidRPr="00DD7BD1">
        <w:rPr>
          <w:rFonts w:ascii="Calibri" w:hAnsi="Calibri" w:cs="Calibri"/>
        </w:rPr>
        <w:t xml:space="preserve">, issued by DOL Employee Benefits Security Administration (EBSA),  clarifies that the cybersecurity guidance </w:t>
      </w:r>
      <w:r w:rsidRPr="00DD7BD1">
        <w:rPr>
          <w:rFonts w:ascii="Calibri" w:hAnsi="Calibri" w:cs="Calibri"/>
          <w:b/>
          <w:bCs/>
        </w:rPr>
        <w:t>applies to all types of plans covered by the Employee Retirement Income Security Act of 1974 (ERISA), including health and welfare plans and all employee pension benefit plans</w:t>
      </w:r>
      <w:r w:rsidRPr="00DD7BD1">
        <w:rPr>
          <w:rFonts w:ascii="Calibri" w:hAnsi="Calibri" w:cs="Calibri"/>
        </w:rPr>
        <w:t xml:space="preserve">. </w:t>
      </w:r>
    </w:p>
    <w:p w14:paraId="21C05A4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lastRenderedPageBreak/>
        <w:t>EBSA is providing the following updated guidance:</w:t>
      </w:r>
    </w:p>
    <w:p w14:paraId="6B535DE8" w14:textId="77777777" w:rsidR="00E267B1" w:rsidRPr="00DD7BD1" w:rsidRDefault="00E267B1" w:rsidP="00E267B1">
      <w:pPr>
        <w:pStyle w:val="NList1"/>
        <w:spacing w:before="0" w:after="0" w:line="240" w:lineRule="auto"/>
        <w:rPr>
          <w:rFonts w:ascii="Calibri" w:hAnsi="Calibri" w:cs="Calibri"/>
          <w:lang w:val="en-US"/>
        </w:rPr>
      </w:pPr>
      <w:hyperlink r:id="rId426" w:history="1">
        <w:r w:rsidRPr="00DD7BD1">
          <w:rPr>
            <w:rStyle w:val="Hyperlink"/>
            <w:rFonts w:ascii="Calibri" w:hAnsi="Calibri" w:cs="Calibri"/>
            <w:b/>
            <w:bCs/>
            <w:lang w:val="en-US"/>
          </w:rPr>
          <w:t>Tips for Hiring a Service Provider</w:t>
        </w:r>
      </w:hyperlink>
      <w:r w:rsidRPr="00DD7BD1">
        <w:rPr>
          <w:rFonts w:ascii="Calibri" w:hAnsi="Calibri" w:cs="Calibri"/>
          <w:lang w:val="en-US"/>
        </w:rPr>
        <w:t>: This guidance helps plan sponsors and fiduciaries prudently select a service provider with strong cybersecurity practices and monitor their activities, as required by ERISA.</w:t>
      </w:r>
    </w:p>
    <w:p w14:paraId="78467581" w14:textId="77777777" w:rsidR="00E267B1" w:rsidRPr="00DD7BD1" w:rsidRDefault="00E267B1" w:rsidP="00E267B1">
      <w:pPr>
        <w:pStyle w:val="NList1"/>
        <w:numPr>
          <w:ilvl w:val="0"/>
          <w:numId w:val="0"/>
        </w:numPr>
        <w:spacing w:before="0" w:after="0" w:line="240" w:lineRule="auto"/>
        <w:ind w:left="720"/>
        <w:rPr>
          <w:rFonts w:ascii="Calibri" w:hAnsi="Calibri" w:cs="Calibri"/>
          <w:lang w:val="en-US"/>
        </w:rPr>
      </w:pPr>
    </w:p>
    <w:p w14:paraId="4216C92E" w14:textId="77777777" w:rsidR="00E267B1" w:rsidRPr="00DD7BD1" w:rsidRDefault="00E267B1" w:rsidP="00E267B1">
      <w:pPr>
        <w:pStyle w:val="NList1"/>
        <w:spacing w:before="0" w:after="0" w:line="240" w:lineRule="auto"/>
        <w:rPr>
          <w:rFonts w:ascii="Calibri" w:hAnsi="Calibri" w:cs="Calibri"/>
          <w:lang w:val="en-US"/>
        </w:rPr>
      </w:pPr>
      <w:hyperlink r:id="rId427" w:history="1">
        <w:r w:rsidRPr="00DD7BD1">
          <w:rPr>
            <w:rStyle w:val="Hyperlink"/>
            <w:rFonts w:ascii="Calibri" w:hAnsi="Calibri" w:cs="Calibri"/>
            <w:b/>
            <w:bCs/>
            <w:lang w:val="en-US"/>
          </w:rPr>
          <w:t>Cybersecurity Program Best Practices</w:t>
        </w:r>
      </w:hyperlink>
      <w:r w:rsidRPr="00DD7BD1">
        <w:rPr>
          <w:rFonts w:ascii="Calibri" w:hAnsi="Calibri" w:cs="Calibri"/>
          <w:lang w:val="en-US"/>
        </w:rPr>
        <w:t>: This guidance assists plan fiduciaries and recordkeepers in their responsibilities to manage cybersecurity risks.</w:t>
      </w:r>
    </w:p>
    <w:p w14:paraId="7F30B22A" w14:textId="77777777" w:rsidR="00E267B1" w:rsidRPr="00DD7BD1" w:rsidRDefault="00E267B1" w:rsidP="00E267B1">
      <w:pPr>
        <w:pStyle w:val="NList1"/>
        <w:numPr>
          <w:ilvl w:val="0"/>
          <w:numId w:val="0"/>
        </w:numPr>
        <w:spacing w:before="0" w:after="0" w:line="240" w:lineRule="auto"/>
        <w:rPr>
          <w:rFonts w:ascii="Calibri" w:hAnsi="Calibri" w:cs="Calibri"/>
          <w:lang w:val="en-US"/>
        </w:rPr>
      </w:pPr>
    </w:p>
    <w:p w14:paraId="6AE03918" w14:textId="532DB87E" w:rsidR="00E267B1" w:rsidRPr="00DD7BD1" w:rsidRDefault="00E267B1" w:rsidP="00E267B1">
      <w:pPr>
        <w:pStyle w:val="NList1"/>
        <w:spacing w:before="0" w:after="0" w:line="240" w:lineRule="auto"/>
        <w:rPr>
          <w:rFonts w:ascii="Calibri" w:hAnsi="Calibri" w:cs="Calibri"/>
          <w:lang w:val="en-US"/>
        </w:rPr>
      </w:pPr>
      <w:hyperlink r:id="rId428" w:history="1">
        <w:r w:rsidRPr="00DD7BD1">
          <w:rPr>
            <w:rStyle w:val="Hyperlink"/>
            <w:rFonts w:ascii="Calibri" w:hAnsi="Calibri" w:cs="Calibri"/>
            <w:b/>
            <w:bCs/>
            <w:lang w:val="en-US"/>
          </w:rPr>
          <w:t>Online Security Tips</w:t>
        </w:r>
      </w:hyperlink>
      <w:r w:rsidRPr="00DD7BD1">
        <w:rPr>
          <w:rFonts w:ascii="Calibri" w:hAnsi="Calibri" w:cs="Calibri"/>
          <w:lang w:val="en-US"/>
        </w:rPr>
        <w:t>: This guidance offers plan participants and beneficiaries who check their retirement accounts or other employee benefit information online basic rules to reduce the risk of fraud and loss.</w:t>
      </w:r>
    </w:p>
    <w:p w14:paraId="7141699F" w14:textId="77777777" w:rsidR="009D5684" w:rsidRPr="00DD7BD1" w:rsidRDefault="009D5684" w:rsidP="00E267B1">
      <w:pPr>
        <w:pStyle w:val="ColorSubheading"/>
        <w:rPr>
          <w:rFonts w:ascii="Calibri" w:hAnsi="Calibri" w:cs="Calibri"/>
          <w:sz w:val="22"/>
          <w:szCs w:val="22"/>
        </w:rPr>
      </w:pPr>
    </w:p>
    <w:p w14:paraId="36FB460E" w14:textId="24948866"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Additional Resources</w:t>
      </w:r>
    </w:p>
    <w:p w14:paraId="60BB562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U.S. Department of Health and Human Services also offers publications that may help health plans and their service providers maintain good cybersecurity practices, as follows:</w:t>
      </w:r>
    </w:p>
    <w:p w14:paraId="0DE44865" w14:textId="77777777" w:rsidR="00E267B1" w:rsidRPr="00DD7BD1" w:rsidRDefault="00E267B1" w:rsidP="00E267B1">
      <w:pPr>
        <w:pStyle w:val="BList1"/>
        <w:spacing w:before="0" w:after="0" w:line="240" w:lineRule="auto"/>
        <w:rPr>
          <w:rFonts w:ascii="Calibri" w:hAnsi="Calibri" w:cs="Calibri"/>
        </w:rPr>
      </w:pPr>
      <w:hyperlink r:id="rId429" w:history="1">
        <w:r w:rsidRPr="00DD7BD1">
          <w:rPr>
            <w:rStyle w:val="Hyperlink"/>
            <w:rFonts w:ascii="Calibri" w:hAnsi="Calibri" w:cs="Calibri"/>
          </w:rPr>
          <w:t>Health Industry Cybersecurity Practices: Managing Threats and Protecting Patients</w:t>
        </w:r>
      </w:hyperlink>
    </w:p>
    <w:p w14:paraId="09BA0FB4" w14:textId="77777777" w:rsidR="00E267B1" w:rsidRPr="00DD7BD1" w:rsidRDefault="00E267B1" w:rsidP="00E267B1">
      <w:pPr>
        <w:pStyle w:val="BList1"/>
        <w:spacing w:before="0" w:after="0" w:line="240" w:lineRule="auto"/>
        <w:rPr>
          <w:rFonts w:ascii="Calibri" w:hAnsi="Calibri" w:cs="Calibri"/>
        </w:rPr>
      </w:pPr>
      <w:hyperlink r:id="rId430" w:history="1">
        <w:r w:rsidRPr="00DD7BD1">
          <w:rPr>
            <w:rStyle w:val="Hyperlink"/>
            <w:rFonts w:ascii="Calibri" w:hAnsi="Calibri" w:cs="Calibri"/>
          </w:rPr>
          <w:t>Technical Volume 1: Cybersecurity Practices for Small Healthcare Organizations</w:t>
        </w:r>
      </w:hyperlink>
    </w:p>
    <w:p w14:paraId="41F92B08" w14:textId="77777777" w:rsidR="00E267B1" w:rsidRPr="00DD7BD1" w:rsidRDefault="00E267B1" w:rsidP="00E267B1">
      <w:pPr>
        <w:pStyle w:val="BList1"/>
        <w:spacing w:before="0" w:after="0" w:line="240" w:lineRule="auto"/>
        <w:rPr>
          <w:rFonts w:ascii="Calibri" w:hAnsi="Calibri" w:cs="Calibri"/>
        </w:rPr>
      </w:pPr>
      <w:hyperlink r:id="rId431" w:history="1">
        <w:r w:rsidRPr="00DD7BD1">
          <w:rPr>
            <w:rStyle w:val="Hyperlink"/>
            <w:rFonts w:ascii="Calibri" w:hAnsi="Calibri" w:cs="Calibri"/>
          </w:rPr>
          <w:t>Technical Volume 2: Cybersecurity Practices for Medium and Large Healthcare Organizations</w:t>
        </w:r>
      </w:hyperlink>
      <w:r w:rsidRPr="00DD7BD1">
        <w:rPr>
          <w:rFonts w:ascii="Calibri" w:hAnsi="Calibri" w:cs="Calibri"/>
        </w:rPr>
        <w:t xml:space="preserve"> </w:t>
      </w:r>
    </w:p>
    <w:p w14:paraId="0EF4A60E" w14:textId="77777777" w:rsidR="00E267B1" w:rsidRPr="00DD7BD1" w:rsidRDefault="00E267B1" w:rsidP="00E267B1">
      <w:pPr>
        <w:pStyle w:val="ParagraphBasic"/>
        <w:spacing w:after="0" w:line="240" w:lineRule="auto"/>
        <w:rPr>
          <w:rFonts w:ascii="Calibri" w:eastAsia="Times New Roman" w:hAnsi="Calibri" w:cs="Calibri"/>
          <w:b/>
          <w:bCs/>
          <w:kern w:val="36"/>
          <w:sz w:val="28"/>
          <w:szCs w:val="28"/>
        </w:rPr>
      </w:pPr>
    </w:p>
    <w:p w14:paraId="5A9319E3" w14:textId="37F4A938"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5th Circuit Upholds DOL’s Authority to Set Minimum Salary Requirement for White-collar FLSA Exemptions</w:t>
      </w:r>
    </w:p>
    <w:p w14:paraId="5854F92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If you have been following current federal cases potentially impacting employers, On Sept. 11, 2024, in </w:t>
      </w:r>
      <w:r w:rsidRPr="00DD7BD1">
        <w:rPr>
          <w:rFonts w:ascii="Calibri" w:hAnsi="Calibri" w:cs="Calibri"/>
          <w:b w:val="0"/>
          <w:bCs w:val="0"/>
          <w:i/>
          <w:iCs/>
          <w:sz w:val="22"/>
          <w:szCs w:val="22"/>
        </w:rPr>
        <w:t>Mayfield v. U.S. Department of Labor</w:t>
      </w:r>
      <w:r w:rsidRPr="00DD7BD1">
        <w:rPr>
          <w:rFonts w:ascii="Calibri" w:hAnsi="Calibri" w:cs="Calibri"/>
          <w:b w:val="0"/>
          <w:bCs w:val="0"/>
          <w:sz w:val="22"/>
          <w:szCs w:val="22"/>
        </w:rPr>
        <w:t xml:space="preserve">, the U.S. Court of Appeals for the 5th Circuit </w:t>
      </w:r>
      <w:hyperlink r:id="rId432" w:history="1">
        <w:r w:rsidRPr="00DD7BD1">
          <w:rPr>
            <w:rStyle w:val="Hyperlink"/>
            <w:rFonts w:ascii="Calibri" w:hAnsi="Calibri" w:cs="Calibri"/>
            <w:b w:val="0"/>
            <w:bCs w:val="0"/>
            <w:sz w:val="22"/>
            <w:szCs w:val="22"/>
          </w:rPr>
          <w:t>held</w:t>
        </w:r>
      </w:hyperlink>
      <w:r w:rsidRPr="00DD7BD1">
        <w:rPr>
          <w:rFonts w:ascii="Calibri" w:hAnsi="Calibri" w:cs="Calibri"/>
          <w:b w:val="0"/>
          <w:bCs w:val="0"/>
          <w:sz w:val="22"/>
          <w:szCs w:val="22"/>
        </w:rPr>
        <w:t xml:space="preserve"> that the U.S. Department of Labor’s (DOL) </w:t>
      </w:r>
      <w:r w:rsidRPr="00DD7BD1">
        <w:rPr>
          <w:rFonts w:ascii="Calibri" w:hAnsi="Calibri" w:cs="Calibri"/>
          <w:sz w:val="22"/>
          <w:szCs w:val="22"/>
        </w:rPr>
        <w:t xml:space="preserve">has </w:t>
      </w:r>
      <w:r w:rsidRPr="00DD7BD1">
        <w:rPr>
          <w:rFonts w:ascii="Calibri" w:hAnsi="Calibri" w:cs="Calibri"/>
          <w:b w:val="0"/>
          <w:bCs w:val="0"/>
          <w:sz w:val="22"/>
          <w:szCs w:val="22"/>
        </w:rPr>
        <w:t>the authority to define and delimit the terms of the executive, administrative and professional (EAP) exemptions including the power to set a minimum salary for exemption under the Fair Labor Standards Act (FLSA).</w:t>
      </w:r>
    </w:p>
    <w:p w14:paraId="4EE6FE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ECE6E9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w:t>
      </w:r>
      <w:r w:rsidRPr="00DD7BD1">
        <w:rPr>
          <w:rFonts w:ascii="Calibri" w:hAnsi="Calibri" w:cs="Calibri"/>
          <w:b w:val="0"/>
          <w:bCs w:val="0"/>
          <w:i/>
          <w:iCs/>
          <w:sz w:val="22"/>
          <w:szCs w:val="22"/>
        </w:rPr>
        <w:t>Mayfield</w:t>
      </w:r>
      <w:r w:rsidRPr="00DD7BD1">
        <w:rPr>
          <w:rFonts w:ascii="Calibri" w:hAnsi="Calibri" w:cs="Calibri"/>
          <w:b w:val="0"/>
          <w:bCs w:val="0"/>
          <w:sz w:val="22"/>
          <w:szCs w:val="22"/>
        </w:rPr>
        <w:t>, the plaintiff, a small business owner, challenged the DOL’s 2019 final rule, arguing that the agency lacks the authority to define the FLSA executive, administrative and professional (EAP) exemptions  in terms of salary level.</w:t>
      </w:r>
    </w:p>
    <w:p w14:paraId="20755BF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42DADEEB" w14:textId="4CB0DBFF"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Decision Impact:</w:t>
      </w:r>
      <w:r w:rsidRPr="00DD7BD1">
        <w:rPr>
          <w:rFonts w:ascii="Calibri" w:hAnsi="Calibri" w:cs="Calibri"/>
          <w:b w:val="0"/>
          <w:bCs w:val="0"/>
          <w:sz w:val="22"/>
          <w:szCs w:val="22"/>
        </w:rPr>
        <w:t xml:space="preserve"> The 5th Circuit’s ruling is significant, as it provides support for the DOL’s authority to implement its </w:t>
      </w:r>
      <w:hyperlink r:id="rId433" w:history="1">
        <w:r w:rsidRPr="00DD7BD1">
          <w:rPr>
            <w:rStyle w:val="Hyperlink"/>
            <w:rFonts w:ascii="Calibri" w:hAnsi="Calibri" w:cs="Calibri"/>
            <w:b w:val="0"/>
            <w:bCs w:val="0"/>
            <w:sz w:val="22"/>
            <w:szCs w:val="22"/>
          </w:rPr>
          <w:t>2024 final rule</w:t>
        </w:r>
      </w:hyperlink>
      <w:r w:rsidRPr="00DD7BD1">
        <w:rPr>
          <w:rFonts w:ascii="Calibri" w:hAnsi="Calibri" w:cs="Calibri"/>
          <w:b w:val="0"/>
          <w:bCs w:val="0"/>
          <w:sz w:val="22"/>
          <w:szCs w:val="22"/>
        </w:rPr>
        <w:t xml:space="preserve"> that amended current requirements employees in white-collar occupations must </w:t>
      </w:r>
      <w:proofErr w:type="gramStart"/>
      <w:r w:rsidRPr="00DD7BD1">
        <w:rPr>
          <w:rFonts w:ascii="Calibri" w:hAnsi="Calibri" w:cs="Calibri"/>
          <w:b w:val="0"/>
          <w:bCs w:val="0"/>
          <w:sz w:val="22"/>
          <w:szCs w:val="22"/>
        </w:rPr>
        <w:t>satisfy</w:t>
      </w:r>
      <w:proofErr w:type="gramEnd"/>
      <w:r w:rsidRPr="00DD7BD1">
        <w:rPr>
          <w:rFonts w:ascii="Calibri" w:hAnsi="Calibri" w:cs="Calibri"/>
          <w:b w:val="0"/>
          <w:bCs w:val="0"/>
          <w:sz w:val="22"/>
          <w:szCs w:val="22"/>
        </w:rPr>
        <w:t xml:space="preserve">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The DOL’s 2024 final rule is currently facing several other legal challenges from businesses in multiple jurisdictions.  ETC will continue to monitor and report developments as there remain several other legal challenges to the upcoming increased salary threshold effective Jan 1, 2025.</w:t>
      </w:r>
    </w:p>
    <w:p w14:paraId="61A6B6E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C3E4CE" w14:textId="4922876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OSHA Releases New Online Severe Injury Report Dashboard</w:t>
      </w:r>
    </w:p>
    <w:p w14:paraId="1D2D9CB6"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On Sept. 4, 2024, OSHA released an online </w:t>
      </w:r>
      <w:hyperlink r:id="rId434" w:history="1">
        <w:r w:rsidRPr="00DD7BD1">
          <w:rPr>
            <w:rStyle w:val="Hyperlink"/>
            <w:rFonts w:ascii="Calibri" w:hAnsi="Calibri" w:cs="Calibri"/>
          </w:rPr>
          <w:t>tool</w:t>
        </w:r>
      </w:hyperlink>
      <w:r w:rsidRPr="00DD7BD1">
        <w:rPr>
          <w:rFonts w:ascii="Calibri" w:hAnsi="Calibri" w:cs="Calibri"/>
        </w:rPr>
        <w:t xml:space="preserve"> giving users the ability to search its severe injury report (SIR) database and view trends related to workplace injuries occurring in states covered by federal OSHA. </w:t>
      </w:r>
    </w:p>
    <w:p w14:paraId="79E1BED7"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  </w:t>
      </w:r>
    </w:p>
    <w:p w14:paraId="74B4ABC5"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lastRenderedPageBreak/>
        <w:t>OSHA states that the data will be updated periodically, and it represents incidents under federal OSHA jurisdiction only. The online tool does not include incidents under state plan jurisdictions.</w:t>
      </w:r>
    </w:p>
    <w:p w14:paraId="60184678" w14:textId="77777777" w:rsidR="00E267B1" w:rsidRPr="00DD7BD1" w:rsidRDefault="00E267B1" w:rsidP="00E267B1">
      <w:pPr>
        <w:pStyle w:val="ColorSubheading"/>
        <w:rPr>
          <w:rFonts w:ascii="Calibri" w:hAnsi="Calibri" w:cs="Calibri"/>
          <w:sz w:val="22"/>
          <w:szCs w:val="22"/>
        </w:rPr>
      </w:pPr>
    </w:p>
    <w:p w14:paraId="1E545F62" w14:textId="77777777"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 xml:space="preserve">Employer Takeaway: </w:t>
      </w:r>
      <w:r w:rsidRPr="00DD7BD1">
        <w:rPr>
          <w:rFonts w:ascii="Calibri" w:hAnsi="Calibri" w:cs="Calibri"/>
          <w:b w:val="0"/>
          <w:bCs w:val="0"/>
          <w:sz w:val="22"/>
          <w:szCs w:val="22"/>
        </w:rPr>
        <w:t>Be aware that employer establishment data is searchable and the data pulled shows establishment names. Employers are encouraged to use the dashboard to learn how severe injuries happen in their industries.</w:t>
      </w:r>
      <w:r w:rsidRPr="00DD7BD1">
        <w:rPr>
          <w:rFonts w:ascii="Calibri" w:hAnsi="Calibri" w:cs="Calibri"/>
          <w:sz w:val="22"/>
          <w:szCs w:val="22"/>
        </w:rPr>
        <w:t xml:space="preserve"> </w:t>
      </w:r>
    </w:p>
    <w:p w14:paraId="25DBFAC2" w14:textId="77777777" w:rsidR="00E267B1" w:rsidRPr="00DD7BD1" w:rsidRDefault="00E267B1" w:rsidP="00E267B1">
      <w:pPr>
        <w:pStyle w:val="BodyText"/>
        <w:spacing w:after="0" w:line="240" w:lineRule="auto"/>
        <w:ind w:right="274"/>
        <w:rPr>
          <w:rFonts w:eastAsiaTheme="minorHAnsi" w:cs="Calibri"/>
          <w:b/>
          <w:color w:val="auto"/>
          <w:sz w:val="20"/>
        </w:rPr>
      </w:pPr>
    </w:p>
    <w:p w14:paraId="032FBB3F" w14:textId="77777777" w:rsidR="00E267B1" w:rsidRPr="00DD7BD1" w:rsidRDefault="00E267B1" w:rsidP="00E267B1">
      <w:pPr>
        <w:pStyle w:val="BodyText"/>
        <w:spacing w:after="0" w:line="240" w:lineRule="auto"/>
        <w:ind w:right="274"/>
        <w:jc w:val="center"/>
        <w:rPr>
          <w:rFonts w:eastAsiaTheme="minorHAnsi" w:cs="Calibri"/>
          <w:b/>
          <w:color w:val="auto"/>
          <w:sz w:val="28"/>
          <w:szCs w:val="28"/>
        </w:rPr>
      </w:pPr>
      <w:r w:rsidRPr="00DD7BD1">
        <w:rPr>
          <w:rFonts w:eastAsiaTheme="minorHAnsi" w:cs="Calibri"/>
          <w:b/>
          <w:color w:val="C00000"/>
          <w:sz w:val="28"/>
          <w:szCs w:val="28"/>
        </w:rPr>
        <w:t xml:space="preserve">IN THE NEWS!  </w:t>
      </w:r>
      <w:r w:rsidRPr="00DD7BD1">
        <w:rPr>
          <w:rFonts w:eastAsiaTheme="minorHAnsi" w:cs="Calibri"/>
          <w:b/>
          <w:color w:val="auto"/>
          <w:sz w:val="28"/>
          <w:szCs w:val="28"/>
        </w:rPr>
        <w:t>Legal Cases to Watch – Fall 2024</w:t>
      </w:r>
    </w:p>
    <w:p w14:paraId="592F2066" w14:textId="77777777" w:rsidR="00E267B1" w:rsidRPr="00DD7BD1" w:rsidRDefault="00E267B1" w:rsidP="00E267B1">
      <w:pPr>
        <w:pStyle w:val="BodyText"/>
        <w:rPr>
          <w:rFonts w:cs="Calibri"/>
          <w:color w:val="000000" w:themeColor="text1"/>
        </w:rPr>
      </w:pPr>
      <w:r w:rsidRPr="00DD7BD1">
        <w:rPr>
          <w:rFonts w:cs="Calibri"/>
          <w:color w:val="000000" w:themeColor="text1"/>
        </w:rPr>
        <w:t xml:space="preserve">The Supreme Court’s next term, which starts </w:t>
      </w:r>
      <w:r w:rsidRPr="00DD7BD1">
        <w:rPr>
          <w:rFonts w:cs="Calibri"/>
          <w:b/>
          <w:bCs/>
          <w:color w:val="000000" w:themeColor="text1"/>
        </w:rPr>
        <w:t>Oct. 7, 2024</w:t>
      </w:r>
      <w:r w:rsidRPr="00DD7BD1">
        <w:rPr>
          <w:rFonts w:cs="Calibri"/>
          <w:color w:val="000000" w:themeColor="text1"/>
        </w:rPr>
        <w:t>, will also decide cases that will impact the workplace with topics including:</w:t>
      </w:r>
    </w:p>
    <w:p w14:paraId="7FFAD1F4" w14:textId="0162B7A1"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Employee misclassification</w:t>
      </w:r>
      <w:r w:rsidRPr="00DD7BD1">
        <w:rPr>
          <w:rFonts w:cs="Calibri"/>
          <w:color w:val="000000" w:themeColor="text1"/>
        </w:rPr>
        <w:t xml:space="preserve">—The court will decide the burden of proof employers must satisfy to establish an exemption from minimum wage and overtime requirements under the Fair Labor Standards Act (FLSA). </w:t>
      </w:r>
      <w:r w:rsidRPr="00DD7BD1">
        <w:rPr>
          <w:rFonts w:cs="Calibri"/>
          <w:b/>
          <w:bCs/>
          <w:i/>
          <w:iCs/>
          <w:color w:val="000000" w:themeColor="text1"/>
        </w:rPr>
        <w:t>E.M.D. Sales Inc. v. Carrera</w:t>
      </w:r>
    </w:p>
    <w:p w14:paraId="545579DF" w14:textId="77777777"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Post-employment ADA discrimination</w:t>
      </w:r>
      <w:r w:rsidRPr="00DD7BD1">
        <w:rPr>
          <w:rFonts w:cs="Calibri"/>
          <w:color w:val="000000" w:themeColor="text1"/>
        </w:rPr>
        <w:t xml:space="preserve">—The court will decide whether a former employee has the right to sue their former employer under the Americans with Disabilities Act (ADA). </w:t>
      </w:r>
      <w:r w:rsidRPr="00DD7BD1">
        <w:rPr>
          <w:rFonts w:cs="Calibri"/>
          <w:b/>
          <w:bCs/>
          <w:i/>
          <w:iCs/>
          <w:color w:val="000000" w:themeColor="text1"/>
        </w:rPr>
        <w:t>Stanley v. City of Sanford, Florida</w:t>
      </w:r>
    </w:p>
    <w:p w14:paraId="0A6C4CEE" w14:textId="100C7649" w:rsidR="00E267B1" w:rsidRPr="00DD7BD1" w:rsidRDefault="00E267B1" w:rsidP="00E267B1">
      <w:pPr>
        <w:pStyle w:val="BodyText"/>
        <w:spacing w:after="0" w:line="240" w:lineRule="auto"/>
        <w:ind w:right="274"/>
        <w:rPr>
          <w:rFonts w:cs="Calibri"/>
          <w:color w:val="auto"/>
        </w:rPr>
      </w:pPr>
      <w:r w:rsidRPr="00DD7BD1">
        <w:rPr>
          <w:rFonts w:cs="Calibri"/>
          <w:color w:val="auto"/>
        </w:rPr>
        <w:t>More to come as decisions and rulings are announced.</w:t>
      </w:r>
    </w:p>
    <w:p w14:paraId="34F115E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AB2A27" w14:textId="2F2A9CDD"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USCIS has extended the expiration date of the current Form I-9 to May 31, 2027.</w:t>
      </w:r>
    </w:p>
    <w:p w14:paraId="687D010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that use the Form I-9 with the expiration date of July 31, 2026, can continue using it until that date. </w:t>
      </w:r>
    </w:p>
    <w:p w14:paraId="1E9DEBE6" w14:textId="77777777" w:rsidR="00ED58D7" w:rsidRPr="00DD7BD1" w:rsidRDefault="00ED58D7" w:rsidP="00ED58D7">
      <w:pPr>
        <w:pStyle w:val="Heading1"/>
        <w:spacing w:before="0" w:beforeAutospacing="0" w:after="0" w:afterAutospacing="0"/>
        <w:rPr>
          <w:rFonts w:ascii="Calibri" w:hAnsi="Calibri" w:cs="Calibri"/>
          <w:b w:val="0"/>
          <w:bCs w:val="0"/>
          <w:sz w:val="22"/>
          <w:szCs w:val="22"/>
          <w:u w:val="single"/>
        </w:rPr>
      </w:pPr>
      <w:r w:rsidRPr="00DD7BD1">
        <w:rPr>
          <w:rFonts w:ascii="Calibri" w:hAnsi="Calibri" w:cs="Calibri"/>
          <w:b w:val="0"/>
          <w:bCs w:val="0"/>
          <w:sz w:val="22"/>
          <w:szCs w:val="22"/>
          <w:u w:val="single"/>
        </w:rPr>
        <w:t>Effective July 31, 2026, only Form I-9 (Rev. 08/01/23) with the expiration date of May 31, 2027, will be accepted.</w:t>
      </w:r>
    </w:p>
    <w:p w14:paraId="2B6F956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Form I-9 with the updated expiration date can be found on the USCIS </w:t>
      </w:r>
      <w:hyperlink r:id="rId435" w:tgtFrame="_blank" w:history="1">
        <w:r w:rsidRPr="00DD7BD1">
          <w:rPr>
            <w:rStyle w:val="Hyperlink"/>
            <w:rFonts w:ascii="Calibri" w:hAnsi="Calibri" w:cs="Calibri"/>
            <w:b w:val="0"/>
            <w:bCs w:val="0"/>
            <w:sz w:val="22"/>
            <w:szCs w:val="22"/>
            <w:u w:val="none"/>
          </w:rPr>
          <w:t>website</w:t>
        </w:r>
      </w:hyperlink>
      <w:r w:rsidRPr="00DD7BD1">
        <w:rPr>
          <w:rFonts w:ascii="Calibri" w:hAnsi="Calibri" w:cs="Calibri"/>
          <w:b w:val="0"/>
          <w:bCs w:val="0"/>
          <w:sz w:val="22"/>
          <w:szCs w:val="22"/>
        </w:rPr>
        <w:t>.</w:t>
      </w:r>
    </w:p>
    <w:p w14:paraId="72C412E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USCIS </w:t>
      </w:r>
      <w:hyperlink r:id="rId436" w:tgtFrame="_blank" w:history="1">
        <w:r w:rsidRPr="00DD7BD1">
          <w:rPr>
            <w:rStyle w:val="Hyperlink"/>
            <w:rFonts w:ascii="Calibri" w:hAnsi="Calibri" w:cs="Calibri"/>
            <w:b w:val="0"/>
            <w:bCs w:val="0"/>
            <w:sz w:val="22"/>
            <w:szCs w:val="22"/>
            <w:u w:val="none"/>
          </w:rPr>
          <w:t>announced</w:t>
        </w:r>
      </w:hyperlink>
      <w:r w:rsidRPr="00DD7BD1">
        <w:rPr>
          <w:rFonts w:ascii="Calibri" w:hAnsi="Calibri" w:cs="Calibri"/>
          <w:b w:val="0"/>
          <w:bCs w:val="0"/>
          <w:sz w:val="22"/>
          <w:szCs w:val="22"/>
        </w:rPr>
        <w:t> Form I-9’s new expiration date on August 2, 2024.</w:t>
      </w:r>
    </w:p>
    <w:p w14:paraId="2778D1EB" w14:textId="77777777" w:rsidR="005A061B" w:rsidRPr="00DD7BD1" w:rsidRDefault="005A061B" w:rsidP="00ED58D7">
      <w:pPr>
        <w:pStyle w:val="Heading1"/>
        <w:spacing w:before="0" w:beforeAutospacing="0" w:after="0" w:afterAutospacing="0"/>
        <w:rPr>
          <w:rFonts w:ascii="Calibri" w:hAnsi="Calibri" w:cs="Calibri"/>
          <w:b w:val="0"/>
          <w:bCs w:val="0"/>
          <w:sz w:val="22"/>
          <w:szCs w:val="22"/>
        </w:rPr>
      </w:pPr>
    </w:p>
    <w:p w14:paraId="1E23826D" w14:textId="77777777"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FTC Noncompete Ban Struck Down Nationwide</w:t>
      </w:r>
    </w:p>
    <w:p w14:paraId="534F46D2"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District Court for the Northern District of Texas’s decision in </w:t>
      </w:r>
      <w:r w:rsidRPr="00DD7BD1">
        <w:rPr>
          <w:rFonts w:ascii="Calibri" w:hAnsi="Calibri" w:cs="Calibri"/>
          <w:b w:val="0"/>
          <w:bCs w:val="0"/>
          <w:i/>
          <w:iCs/>
          <w:sz w:val="22"/>
          <w:szCs w:val="22"/>
        </w:rPr>
        <w:t>Ryan v. Federal Trade Commission</w:t>
      </w:r>
      <w:r w:rsidRPr="00DD7BD1">
        <w:rPr>
          <w:rFonts w:ascii="Calibri" w:hAnsi="Calibri" w:cs="Calibri"/>
          <w:b w:val="0"/>
          <w:bCs w:val="0"/>
          <w:sz w:val="22"/>
          <w:szCs w:val="22"/>
        </w:rPr>
        <w:t xml:space="preserve"> was issued on August 20, 2024, with a federal judge </w:t>
      </w:r>
      <w:r w:rsidRPr="00DD7BD1">
        <w:rPr>
          <w:rFonts w:ascii="Calibri" w:hAnsi="Calibri" w:cs="Calibri"/>
          <w:b w:val="0"/>
          <w:bCs w:val="0"/>
          <w:sz w:val="22"/>
          <w:szCs w:val="22"/>
          <w:u w:val="single"/>
        </w:rPr>
        <w:t xml:space="preserve">striking down the Federal Trade Commission (FTC)’s rule that banned virtually all noncompete clauses. </w:t>
      </w:r>
      <w:r w:rsidRPr="00DD7BD1">
        <w:rPr>
          <w:rFonts w:ascii="Calibri" w:hAnsi="Calibri" w:cs="Calibri"/>
          <w:b w:val="0"/>
          <w:bCs w:val="0"/>
          <w:sz w:val="22"/>
          <w:szCs w:val="22"/>
        </w:rPr>
        <w:t>The court concluded that the FTC exceeded its authority when it issued the rule and that the rule itself was overbroad because it applied to </w:t>
      </w:r>
      <w:r w:rsidRPr="00DD7BD1">
        <w:rPr>
          <w:rFonts w:ascii="Calibri" w:hAnsi="Calibri" w:cs="Calibri"/>
          <w:b w:val="0"/>
          <w:bCs w:val="0"/>
          <w:i/>
          <w:iCs/>
          <w:sz w:val="22"/>
          <w:szCs w:val="22"/>
        </w:rPr>
        <w:t>all </w:t>
      </w:r>
      <w:r w:rsidRPr="00DD7BD1">
        <w:rPr>
          <w:rFonts w:ascii="Calibri" w:hAnsi="Calibri" w:cs="Calibri"/>
          <w:b w:val="0"/>
          <w:bCs w:val="0"/>
          <w:sz w:val="22"/>
          <w:szCs w:val="22"/>
        </w:rPr>
        <w:t>noncompete clauses rather than targeting those that were harmful.</w:t>
      </w:r>
    </w:p>
    <w:p w14:paraId="235CBB1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Access the federal </w:t>
      </w:r>
      <w:hyperlink r:id="rId437" w:history="1">
        <w:r w:rsidRPr="00DD7BD1">
          <w:rPr>
            <w:rStyle w:val="Hyperlink"/>
            <w:rFonts w:ascii="Calibri" w:hAnsi="Calibri" w:cs="Calibri"/>
            <w:b w:val="0"/>
            <w:bCs w:val="0"/>
            <w:sz w:val="22"/>
            <w:szCs w:val="22"/>
          </w:rPr>
          <w:t>order</w:t>
        </w:r>
      </w:hyperlink>
      <w:r w:rsidRPr="00DD7BD1">
        <w:rPr>
          <w:rFonts w:ascii="Calibri" w:hAnsi="Calibri" w:cs="Calibri"/>
          <w:b w:val="0"/>
          <w:bCs w:val="0"/>
          <w:sz w:val="22"/>
          <w:szCs w:val="22"/>
        </w:rPr>
        <w:t>.</w:t>
      </w:r>
    </w:p>
    <w:p w14:paraId="3782EC53" w14:textId="77777777" w:rsidR="00ED58D7" w:rsidRPr="00DD7BD1" w:rsidRDefault="00ED58D7" w:rsidP="00ED58D7">
      <w:pPr>
        <w:pStyle w:val="Heading1"/>
        <w:spacing w:after="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w:t>
      </w:r>
      <w:proofErr w:type="gramStart"/>
      <w:r w:rsidRPr="00DD7BD1">
        <w:rPr>
          <w:rFonts w:ascii="Calibri" w:hAnsi="Calibri" w:cs="Calibri"/>
          <w:b w:val="0"/>
          <w:bCs w:val="0"/>
          <w:sz w:val="22"/>
          <w:szCs w:val="22"/>
        </w:rPr>
        <w:t>In light of</w:t>
      </w:r>
      <w:proofErr w:type="gramEnd"/>
      <w:r w:rsidRPr="00DD7BD1">
        <w:rPr>
          <w:rFonts w:ascii="Calibri" w:hAnsi="Calibri" w:cs="Calibri"/>
          <w:b w:val="0"/>
          <w:bCs w:val="0"/>
          <w:sz w:val="22"/>
          <w:szCs w:val="22"/>
        </w:rPr>
        <w:t xml:space="preserve"> the Texas court’s ruling, employers will not need to take steps in the immediate term to invalidate existing </w:t>
      </w:r>
      <w:proofErr w:type="spellStart"/>
      <w:r w:rsidRPr="00DD7BD1">
        <w:rPr>
          <w:rFonts w:ascii="Calibri" w:hAnsi="Calibri" w:cs="Calibri"/>
          <w:b w:val="0"/>
          <w:bCs w:val="0"/>
          <w:sz w:val="22"/>
          <w:szCs w:val="22"/>
        </w:rPr>
        <w:t>noncompetes</w:t>
      </w:r>
      <w:proofErr w:type="spellEnd"/>
      <w:r w:rsidRPr="00DD7BD1">
        <w:rPr>
          <w:rFonts w:ascii="Calibri" w:hAnsi="Calibri" w:cs="Calibri"/>
          <w:b w:val="0"/>
          <w:bCs w:val="0"/>
          <w:sz w:val="22"/>
          <w:szCs w:val="22"/>
        </w:rPr>
        <w:t xml:space="preserve">, update agreements or issue notices. Employers may also continue to rely on state-level guidance regarding the enforceability of </w:t>
      </w:r>
      <w:proofErr w:type="spellStart"/>
      <w:r w:rsidRPr="00DD7BD1">
        <w:rPr>
          <w:rFonts w:ascii="Calibri" w:hAnsi="Calibri" w:cs="Calibri"/>
          <w:b w:val="0"/>
          <w:bCs w:val="0"/>
          <w:sz w:val="22"/>
          <w:szCs w:val="22"/>
        </w:rPr>
        <w:t>noncompetes</w:t>
      </w:r>
      <w:proofErr w:type="spellEnd"/>
      <w:r w:rsidRPr="00DD7BD1">
        <w:rPr>
          <w:rFonts w:ascii="Calibri" w:hAnsi="Calibri" w:cs="Calibri"/>
          <w:b w:val="0"/>
          <w:bCs w:val="0"/>
          <w:sz w:val="22"/>
          <w:szCs w:val="22"/>
        </w:rPr>
        <w:t>. However, the FTC will likely appeal the ruling, so employers should continue to monitor for updates in this case.</w:t>
      </w:r>
    </w:p>
    <w:p w14:paraId="34B10D1C" w14:textId="6BA7947E" w:rsidR="00ED58D7" w:rsidRPr="00DD7BD1" w:rsidRDefault="00ED58D7" w:rsidP="00ED58D7">
      <w:pPr>
        <w:pStyle w:val="MainTitle"/>
        <w:tabs>
          <w:tab w:val="left" w:pos="3969"/>
        </w:tabs>
        <w:spacing w:after="0" w:line="240" w:lineRule="auto"/>
        <w:ind w:right="274"/>
        <w:jc w:val="center"/>
        <w:rPr>
          <w:rFonts w:ascii="Calibri" w:hAnsi="Calibri" w:cs="Calibri"/>
          <w:color w:val="auto"/>
          <w:sz w:val="28"/>
          <w:szCs w:val="28"/>
        </w:rPr>
      </w:pPr>
      <w:r w:rsidRPr="00DD7BD1">
        <w:rPr>
          <w:rFonts w:ascii="Calibri" w:hAnsi="Calibri" w:cs="Calibri"/>
          <w:color w:val="auto"/>
          <w:sz w:val="28"/>
          <w:szCs w:val="28"/>
        </w:rPr>
        <w:t>Increased Civil Penalty Amounts for SBC, MSP, HIPAA Violations</w:t>
      </w:r>
    </w:p>
    <w:p w14:paraId="0750C6A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Aug. 8, 2024, the U.S. Department of Health and Human Services (HHS) published a </w:t>
      </w:r>
      <w:hyperlink r:id="rId438" w:history="1">
        <w:r w:rsidRPr="00DD7BD1">
          <w:rPr>
            <w:rStyle w:val="Hyperlink"/>
            <w:rFonts w:ascii="Calibri" w:eastAsia="Times New Roman" w:hAnsi="Calibri" w:cs="Calibri"/>
            <w:b w:val="0"/>
            <w:kern w:val="36"/>
            <w:sz w:val="22"/>
            <w:szCs w:val="22"/>
            <w:u w:val="none"/>
          </w:rPr>
          <w:t>final rule</w:t>
        </w:r>
      </w:hyperlink>
      <w:r w:rsidRPr="00DD7BD1">
        <w:rPr>
          <w:rFonts w:ascii="Calibri" w:hAnsi="Calibri" w:cs="Calibri"/>
          <w:b w:val="0"/>
          <w:bCs/>
          <w:color w:val="auto"/>
          <w:sz w:val="22"/>
          <w:szCs w:val="22"/>
        </w:rPr>
        <w:t xml:space="preserve"> increasing key penalties affecting group health plans. </w:t>
      </w:r>
    </w:p>
    <w:p w14:paraId="40E212EB"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HHS adjusts these penalty amounts for inflation each year to improve their effectiveness and maintain their deterrent effect. </w:t>
      </w:r>
    </w:p>
    <w:p w14:paraId="3BFC8CD3"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p>
    <w:p w14:paraId="62B3511E"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color w:val="auto"/>
          <w:sz w:val="22"/>
          <w:szCs w:val="22"/>
          <w:highlight w:val="lightGray"/>
        </w:rPr>
        <w:t>Employer Takeaway</w:t>
      </w:r>
      <w:r w:rsidRPr="00DD7BD1">
        <w:rPr>
          <w:rFonts w:ascii="Calibri" w:hAnsi="Calibri" w:cs="Calibri"/>
          <w:b w:val="0"/>
          <w:bCs/>
          <w:color w:val="auto"/>
          <w:sz w:val="22"/>
          <w:szCs w:val="22"/>
        </w:rPr>
        <w:t>: Because these penalties are substantial, employers with group health plans should periodically review their benefit plan administration protocols to ensure full compliance.</w:t>
      </w:r>
    </w:p>
    <w:p w14:paraId="143BDD45"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16"/>
          <w:szCs w:val="16"/>
          <w:u w:val="single"/>
        </w:rPr>
      </w:pPr>
    </w:p>
    <w:p w14:paraId="57A44CB9"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Summary of Benefits and Coverage (SBC) (Typically distributed at Open Enrollment)</w:t>
      </w:r>
    </w:p>
    <w:p w14:paraId="552038F0"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117F2DE"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Medicare Secondary Payer (MSP)</w:t>
      </w:r>
    </w:p>
    <w:p w14:paraId="2ECCE19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lastRenderedPageBreak/>
        <w:t xml:space="preserve">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w:t>
      </w:r>
      <w:proofErr w:type="gramStart"/>
      <w:r w:rsidRPr="00DD7BD1">
        <w:rPr>
          <w:rFonts w:ascii="Calibri" w:hAnsi="Calibri" w:cs="Calibri"/>
          <w:b w:val="0"/>
          <w:bCs/>
          <w:color w:val="auto"/>
          <w:sz w:val="22"/>
          <w:szCs w:val="22"/>
        </w:rPr>
        <w:t>fail</w:t>
      </w:r>
      <w:proofErr w:type="gramEnd"/>
      <w:r w:rsidRPr="00DD7BD1">
        <w:rPr>
          <w:rFonts w:ascii="Calibri" w:hAnsi="Calibri" w:cs="Calibri"/>
          <w:b w:val="0"/>
          <w:bCs/>
          <w:color w:val="auto"/>
          <w:sz w:val="22"/>
          <w:szCs w:val="22"/>
        </w:rPr>
        <w:t xml:space="preserve"> to provide information identifying situations where the group health plan is or was primary is now $1,474 (up from $1,428).</w:t>
      </w:r>
    </w:p>
    <w:p w14:paraId="04F79835"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996D2C4"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HIPAA Privacy and Security Rules</w:t>
      </w:r>
    </w:p>
    <w:p w14:paraId="1A2074CF"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DD7BD1" w:rsidRDefault="00ED58D7" w:rsidP="00ED58D7">
      <w:pPr>
        <w:pStyle w:val="MainTitle"/>
        <w:tabs>
          <w:tab w:val="left" w:pos="3969"/>
        </w:tabs>
        <w:spacing w:after="0" w:line="240" w:lineRule="auto"/>
        <w:ind w:right="274"/>
        <w:rPr>
          <w:rFonts w:ascii="Calibri" w:hAnsi="Calibri" w:cs="Calibri"/>
          <w:color w:val="C00000"/>
          <w:sz w:val="22"/>
          <w:szCs w:val="22"/>
        </w:rPr>
      </w:pPr>
    </w:p>
    <w:p w14:paraId="7F55FAC0" w14:textId="77777777" w:rsidR="00ED58D7" w:rsidRPr="00DD7BD1" w:rsidRDefault="00ED58D7" w:rsidP="00ED58D7">
      <w:pPr>
        <w:pStyle w:val="MainTitle"/>
        <w:tabs>
          <w:tab w:val="left" w:pos="3969"/>
        </w:tabs>
        <w:spacing w:after="0" w:line="240" w:lineRule="auto"/>
        <w:ind w:right="274"/>
        <w:jc w:val="center"/>
        <w:rPr>
          <w:rFonts w:ascii="Calibri" w:hAnsi="Calibri" w:cs="Calibri"/>
          <w:sz w:val="28"/>
          <w:szCs w:val="28"/>
        </w:rPr>
      </w:pPr>
      <w:r w:rsidRPr="00DD7BD1">
        <w:rPr>
          <w:rFonts w:ascii="Calibri" w:hAnsi="Calibri" w:cs="Calibri"/>
          <w:color w:val="C00000"/>
          <w:sz w:val="28"/>
          <w:szCs w:val="28"/>
        </w:rPr>
        <w:t xml:space="preserve">Compliance Reminder: </w:t>
      </w:r>
      <w:r w:rsidRPr="00DD7BD1">
        <w:rPr>
          <w:rFonts w:ascii="Calibri" w:hAnsi="Calibri" w:cs="Calibri"/>
          <w:color w:val="auto"/>
          <w:sz w:val="28"/>
          <w:szCs w:val="28"/>
        </w:rPr>
        <w:t xml:space="preserve">SAR </w:t>
      </w:r>
      <w:r w:rsidRPr="00DD7BD1">
        <w:rPr>
          <w:rFonts w:ascii="Calibri" w:eastAsia="Times New Roman" w:hAnsi="Calibri" w:cs="Calibri"/>
          <w:bCs/>
          <w:color w:val="auto"/>
          <w:kern w:val="36"/>
          <w:sz w:val="28"/>
          <w:szCs w:val="28"/>
        </w:rPr>
        <w:t xml:space="preserve">Is Due by </w:t>
      </w:r>
      <w:r w:rsidRPr="00DD7BD1">
        <w:rPr>
          <w:rFonts w:ascii="Calibri" w:eastAsia="Times New Roman" w:hAnsi="Calibri" w:cs="Calibri"/>
          <w:bCs/>
          <w:color w:val="C00000"/>
          <w:kern w:val="36"/>
          <w:sz w:val="28"/>
          <w:szCs w:val="28"/>
        </w:rPr>
        <w:t xml:space="preserve">Sept. 30 </w:t>
      </w:r>
      <w:r w:rsidRPr="00DD7BD1">
        <w:rPr>
          <w:rFonts w:ascii="Calibri" w:eastAsia="Times New Roman" w:hAnsi="Calibri" w:cs="Calibri"/>
          <w:bCs/>
          <w:color w:val="auto"/>
          <w:kern w:val="36"/>
          <w:sz w:val="28"/>
          <w:szCs w:val="28"/>
        </w:rPr>
        <w:t xml:space="preserve">for Calendar Year Plans </w:t>
      </w:r>
      <w:r w:rsidRPr="00DD7BD1">
        <w:rPr>
          <w:rFonts w:ascii="Calibri" w:eastAsia="Times New Roman" w:hAnsi="Calibri" w:cs="Calibri"/>
          <w:bCs/>
          <w:i/>
          <w:iCs/>
          <w:color w:val="auto"/>
          <w:kern w:val="36"/>
          <w:sz w:val="20"/>
          <w:szCs w:val="20"/>
        </w:rPr>
        <w:t>(for Some Employers)</w:t>
      </w:r>
    </w:p>
    <w:p w14:paraId="20819B54" w14:textId="77777777" w:rsidR="00ED58D7" w:rsidRPr="00DD7BD1" w:rsidRDefault="00ED58D7" w:rsidP="00ED58D7">
      <w:pPr>
        <w:pStyle w:val="BulletListText"/>
        <w:numPr>
          <w:ilvl w:val="0"/>
          <w:numId w:val="0"/>
        </w:numPr>
        <w:spacing w:after="120"/>
        <w:rPr>
          <w:rFonts w:cs="Calibri"/>
        </w:rPr>
      </w:pPr>
      <w:r w:rsidRPr="00DD7BD1">
        <w:rPr>
          <w:rFonts w:cs="Calibri"/>
          <w:color w:val="auto"/>
        </w:rPr>
        <w:t>Many employers that must file Form 5500 on behalf of their employee benefit plans must also provide plan participants with a summary annual report (SAR). The SAR is a summary of the information included in the Form 5500. (Reminder: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DD7BD1" w:rsidRDefault="00ED58D7" w:rsidP="00ED58D7">
      <w:pPr>
        <w:pStyle w:val="BodyText"/>
        <w:spacing w:after="0" w:line="240" w:lineRule="auto"/>
        <w:ind w:right="274"/>
        <w:rPr>
          <w:rFonts w:cs="Calibri"/>
          <w:color w:val="auto"/>
        </w:rPr>
      </w:pPr>
      <w:proofErr w:type="gramStart"/>
      <w:r w:rsidRPr="00DD7BD1">
        <w:rPr>
          <w:rFonts w:cs="Calibri"/>
          <w:color w:val="auto"/>
        </w:rPr>
        <w:t>Covered Employers</w:t>
      </w:r>
      <w:proofErr w:type="gramEnd"/>
      <w:r w:rsidRPr="00DD7BD1">
        <w:rPr>
          <w:rFonts w:cs="Calibri"/>
          <w:color w:val="auto"/>
        </w:rPr>
        <w:t xml:space="preserve"> with plans that operate on a calendar year basis and have Form 5500 compliance obligations must provide the SAR by </w:t>
      </w:r>
      <w:r w:rsidRPr="00DD7BD1">
        <w:rPr>
          <w:rFonts w:cs="Calibri"/>
          <w:b/>
          <w:bCs/>
          <w:color w:val="auto"/>
        </w:rPr>
        <w:t>Sept. 30, 2024</w:t>
      </w:r>
      <w:r w:rsidRPr="00DD7BD1">
        <w:rPr>
          <w:rFonts w:cs="Calibri"/>
          <w:color w:val="auto"/>
        </w:rPr>
        <w:t xml:space="preserve">. </w:t>
      </w:r>
    </w:p>
    <w:p w14:paraId="0E309C89"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SAR requirement only applies to plans that must file a Form 5500. Also, self-insured welfare plans, regardless of size, are not required to provide a SAR if they are unfunded.</w:t>
      </w:r>
    </w:p>
    <w:p w14:paraId="79F1EC7D"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DOL has released a </w:t>
      </w:r>
      <w:hyperlink r:id="rId439" w:history="1">
        <w:r w:rsidRPr="00DD7BD1">
          <w:rPr>
            <w:rStyle w:val="Hyperlink"/>
            <w:rFonts w:eastAsiaTheme="majorEastAsia" w:cs="Calibri"/>
          </w:rPr>
          <w:t>model SAR</w:t>
        </w:r>
      </w:hyperlink>
      <w:r w:rsidRPr="00DD7BD1">
        <w:rPr>
          <w:rFonts w:cs="Calibri"/>
        </w:rPr>
        <w:t xml:space="preserve"> </w:t>
      </w:r>
      <w:r w:rsidRPr="00DD7BD1">
        <w:rPr>
          <w:rFonts w:cs="Calibri"/>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DD7BD1" w:rsidRDefault="00ED58D7" w:rsidP="00ED58D7">
      <w:pPr>
        <w:pStyle w:val="BodyText"/>
        <w:spacing w:after="0" w:line="240" w:lineRule="auto"/>
        <w:ind w:right="274"/>
        <w:rPr>
          <w:rFonts w:cs="Calibri"/>
          <w:color w:val="auto"/>
          <w:sz w:val="16"/>
          <w:szCs w:val="16"/>
        </w:rPr>
      </w:pPr>
    </w:p>
    <w:p w14:paraId="16BE94B0" w14:textId="77777777" w:rsidR="00ED58D7" w:rsidRPr="00DD7BD1" w:rsidRDefault="00ED58D7" w:rsidP="00ED58D7">
      <w:pPr>
        <w:pStyle w:val="BodyText"/>
        <w:spacing w:line="240" w:lineRule="auto"/>
        <w:ind w:right="274"/>
        <w:jc w:val="center"/>
        <w:rPr>
          <w:rFonts w:eastAsiaTheme="minorHAnsi" w:cs="Calibri"/>
          <w:b/>
          <w:color w:val="auto"/>
          <w:sz w:val="28"/>
          <w:szCs w:val="28"/>
        </w:rPr>
      </w:pPr>
      <w:r w:rsidRPr="00DD7BD1">
        <w:rPr>
          <w:rFonts w:eastAsiaTheme="minorHAnsi" w:cs="Calibri"/>
          <w:b/>
          <w:color w:val="C00000"/>
          <w:sz w:val="28"/>
          <w:szCs w:val="28"/>
        </w:rPr>
        <w:t>IN THE NEWS!</w:t>
      </w:r>
      <w:r w:rsidRPr="00DD7BD1">
        <w:rPr>
          <w:rFonts w:cs="Calibri"/>
          <w:color w:val="auto"/>
        </w:rPr>
        <w:t xml:space="preserve"> </w:t>
      </w:r>
      <w:r w:rsidRPr="00DD7BD1">
        <w:rPr>
          <w:rFonts w:eastAsiaTheme="minorHAnsi" w:cs="Calibri"/>
          <w:b/>
          <w:color w:val="auto"/>
          <w:sz w:val="28"/>
          <w:szCs w:val="28"/>
        </w:rPr>
        <w:t>Fifth Circuit Strikes Down the DOL Tip Credit Rule</w:t>
      </w:r>
    </w:p>
    <w:p w14:paraId="285AE607"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On August 23, 2024, in </w:t>
      </w:r>
      <w:r w:rsidRPr="00DD7BD1">
        <w:rPr>
          <w:rFonts w:cs="Calibri"/>
          <w:i/>
          <w:iCs/>
          <w:color w:val="auto"/>
        </w:rPr>
        <w:t>Restaurant Law Center v. U.S. Department of Labor</w:t>
      </w:r>
      <w:r w:rsidRPr="00DD7BD1">
        <w:rPr>
          <w:rFonts w:cs="Calibri"/>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Pr="00DD7BD1" w:rsidRDefault="00ED58D7" w:rsidP="00ED58D7">
      <w:pPr>
        <w:pStyle w:val="BodyText"/>
        <w:spacing w:after="0" w:line="240" w:lineRule="auto"/>
        <w:ind w:right="274"/>
        <w:rPr>
          <w:rFonts w:cs="Calibri"/>
          <w:b/>
          <w:bCs/>
          <w:color w:val="auto"/>
        </w:rPr>
      </w:pPr>
    </w:p>
    <w:p w14:paraId="5FE999C7"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FLSA and Tip Credits</w:t>
      </w:r>
    </w:p>
    <w:p w14:paraId="1FBD5836"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Pr="00DD7BD1" w:rsidRDefault="00ED58D7" w:rsidP="00ED58D7">
      <w:pPr>
        <w:pStyle w:val="BodyText"/>
        <w:spacing w:after="0" w:line="240" w:lineRule="auto"/>
        <w:ind w:right="274"/>
        <w:rPr>
          <w:rFonts w:cs="Calibri"/>
          <w:b/>
          <w:bCs/>
          <w:color w:val="auto"/>
        </w:rPr>
      </w:pPr>
    </w:p>
    <w:p w14:paraId="699830E4"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Tip Credit Rule</w:t>
      </w:r>
    </w:p>
    <w:p w14:paraId="0E988FB8"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In 1988, the DOL first published the “80/20” rule in its Field Operations Handbook. Under that rule, if an employee spends more than 20% of their time during a workweek performing non-tipped job duties (i.e., setting tables, making coffee, etc.), the </w:t>
      </w:r>
      <w:r w:rsidRPr="00DD7BD1">
        <w:rPr>
          <w:rFonts w:cs="Calibri"/>
          <w:color w:val="auto"/>
        </w:rPr>
        <w:lastRenderedPageBreak/>
        <w:t>employer must pay the employee the full minimum wage for the time spent on such “directly supporting work” and may not apply any tip credit to lower the employee’s wages for that work.</w:t>
      </w:r>
    </w:p>
    <w:p w14:paraId="0DCE471C" w14:textId="77777777" w:rsidR="00ED58D7" w:rsidRPr="00DD7BD1" w:rsidRDefault="00ED58D7" w:rsidP="00ED58D7">
      <w:pPr>
        <w:pStyle w:val="BodyText"/>
        <w:spacing w:after="0" w:line="240" w:lineRule="auto"/>
        <w:ind w:right="274"/>
        <w:rPr>
          <w:rFonts w:cs="Calibri"/>
          <w:color w:val="auto"/>
        </w:rPr>
      </w:pPr>
    </w:p>
    <w:p w14:paraId="3D8AB8A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(2) directly supporting work (i.e., setting tables); and </w:t>
      </w:r>
    </w:p>
    <w:p w14:paraId="2D6C0F83"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(3) work not part of the tipped occupation (i.e., preparing food). </w:t>
      </w:r>
    </w:p>
    <w:p w14:paraId="259BE48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Tip Credit Rule also stated that an employee must be paid the full minimum wage if they spend more than 30 minutes on “directly supporting work” at any given time.</w:t>
      </w:r>
    </w:p>
    <w:p w14:paraId="689B54B4" w14:textId="77777777" w:rsidR="00ED58D7" w:rsidRPr="00DD7BD1" w:rsidRDefault="00ED58D7" w:rsidP="00ED58D7">
      <w:pPr>
        <w:pStyle w:val="BodyText"/>
        <w:spacing w:after="0" w:line="240" w:lineRule="auto"/>
        <w:ind w:right="274"/>
        <w:rPr>
          <w:rFonts w:cs="Calibri"/>
          <w:b/>
          <w:bCs/>
          <w:color w:val="auto"/>
        </w:rPr>
      </w:pPr>
    </w:p>
    <w:p w14:paraId="2A0D5DAD"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Employer Takeaway</w:t>
      </w:r>
    </w:p>
    <w:p w14:paraId="5DCF78FB"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w:t>
      </w:r>
      <w:r w:rsidRPr="00DD7BD1">
        <w:rPr>
          <w:rFonts w:cs="Calibri"/>
          <w:i/>
          <w:iCs/>
          <w:color w:val="auto"/>
        </w:rPr>
        <w:t>Restaurant Law Center v. U.S. Department of Labor </w:t>
      </w:r>
      <w:r w:rsidRPr="00DD7BD1">
        <w:rPr>
          <w:rFonts w:cs="Calibri"/>
          <w:color w:val="auto"/>
        </w:rPr>
        <w:t xml:space="preserve">decision is seen as a big win for hospitality employers. </w:t>
      </w:r>
      <w:r w:rsidRPr="00DD7BD1">
        <w:rPr>
          <w:rFonts w:cs="Calibri"/>
          <w:b/>
          <w:bCs/>
          <w:color w:val="auto"/>
          <w:u w:val="single"/>
        </w:rPr>
        <w:t>Employers no longer need to distinguish between tip-producing and tip-supporting work or monitor the time spent performing tip-supporting duties.</w:t>
      </w:r>
      <w:r w:rsidRPr="00DD7BD1">
        <w:rPr>
          <w:rFonts w:cs="Calibri"/>
          <w:color w:val="auto"/>
        </w:rPr>
        <w:t xml:space="preserve"> However, employers are still subject to local or state laws that are more beneficial to employees or that prohibit tip credits entirely. And as was the case before, employers can’t take a tip credit when an employee performs tasks </w:t>
      </w:r>
      <w:r w:rsidRPr="00DD7BD1">
        <w:rPr>
          <w:rFonts w:cs="Calibri"/>
          <w:i/>
          <w:iCs/>
          <w:color w:val="auto"/>
        </w:rPr>
        <w:t>unrelated</w:t>
      </w:r>
      <w:r w:rsidRPr="00DD7BD1">
        <w:rPr>
          <w:rFonts w:cs="Calibri"/>
          <w:color w:val="auto"/>
        </w:rPr>
        <w:t xml:space="preserve"> to their tipped occupation. </w:t>
      </w:r>
    </w:p>
    <w:p w14:paraId="6AC6966C" w14:textId="3C22496D" w:rsidR="00636C21" w:rsidRPr="00DD7BD1" w:rsidRDefault="00ED58D7" w:rsidP="000C0E84">
      <w:pPr>
        <w:pStyle w:val="BodyText"/>
        <w:spacing w:after="0" w:line="240" w:lineRule="auto"/>
        <w:ind w:right="274"/>
        <w:rPr>
          <w:rFonts w:cs="Calibri"/>
          <w:color w:val="auto"/>
        </w:rPr>
      </w:pPr>
      <w:proofErr w:type="gramStart"/>
      <w:r w:rsidRPr="00DD7BD1">
        <w:rPr>
          <w:rFonts w:cs="Calibri"/>
          <w:color w:val="auto"/>
        </w:rPr>
        <w:t>That being said, employers</w:t>
      </w:r>
      <w:proofErr w:type="gramEnd"/>
      <w:r w:rsidRPr="00DD7BD1">
        <w:rPr>
          <w:rFonts w:cs="Calibri"/>
          <w:color w:val="auto"/>
        </w:rPr>
        <w:t xml:space="preserve">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668D85C4" w14:textId="77777777" w:rsidR="00EC23F8" w:rsidRPr="00EC23F8" w:rsidRDefault="00EC23F8"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4"/>
          <w:szCs w:val="24"/>
        </w:rPr>
      </w:pPr>
    </w:p>
    <w:p w14:paraId="0D3FC47E" w14:textId="0C063E3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32"/>
          <w:szCs w:val="32"/>
        </w:rPr>
        <w:t>Compliance Reminder - Form 5500 Reporting</w:t>
      </w:r>
    </w:p>
    <w:p w14:paraId="6261BF22" w14:textId="77777777" w:rsidR="001C5F42" w:rsidRPr="00DD7BD1" w:rsidRDefault="001C5F42" w:rsidP="001C5F42">
      <w:pPr>
        <w:ind w:left="91"/>
        <w:rPr>
          <w:rFonts w:ascii="Calibri" w:eastAsia="Arial" w:hAnsi="Calibri" w:cs="Calibri"/>
          <w:b/>
          <w:u w:val="single"/>
        </w:rPr>
      </w:pPr>
      <w:bookmarkStart w:id="34" w:name="_Hlk175057571"/>
      <w:r w:rsidRPr="00DD7BD1">
        <w:rPr>
          <w:rFonts w:ascii="Calibri" w:eastAsia="Arial" w:hAnsi="Calibri" w:cs="Calibri"/>
        </w:rPr>
        <w:t xml:space="preserve">For employers with </w:t>
      </w:r>
      <w:r w:rsidRPr="00DD7BD1">
        <w:rPr>
          <w:rFonts w:ascii="Calibri" w:eastAsia="Arial" w:hAnsi="Calibri" w:cs="Calibri"/>
          <w:b/>
          <w:bCs/>
          <w:color w:val="C00000"/>
          <w:u w:val="single"/>
        </w:rPr>
        <w:t xml:space="preserve">calendar-year benefit plans </w:t>
      </w:r>
      <w:r w:rsidRPr="00DD7BD1">
        <w:rPr>
          <w:rFonts w:ascii="Calibri" w:eastAsia="Arial" w:hAnsi="Calibri" w:cs="Calibri"/>
        </w:rPr>
        <w:t>who</w:t>
      </w:r>
      <w:r w:rsidRPr="00DD7BD1">
        <w:rPr>
          <w:rFonts w:ascii="Calibri" w:eastAsia="Arial" w:hAnsi="Calibri" w:cs="Calibri"/>
          <w:u w:val="single"/>
        </w:rPr>
        <w:t xml:space="preserve"> </w:t>
      </w:r>
      <w:r w:rsidRPr="00DD7BD1">
        <w:rPr>
          <w:rFonts w:ascii="Calibri" w:eastAsia="Arial" w:hAnsi="Calibri" w:cs="Calibri"/>
          <w:color w:val="C00000"/>
          <w:u w:val="single"/>
        </w:rPr>
        <w:t>ALSO</w:t>
      </w:r>
      <w:r w:rsidRPr="00DD7BD1">
        <w:rPr>
          <w:rFonts w:ascii="Calibri" w:eastAsia="Arial" w:hAnsi="Calibri" w:cs="Calibri"/>
        </w:rPr>
        <w:t xml:space="preserve"> had </w:t>
      </w:r>
      <w:r w:rsidRPr="00DD7BD1">
        <w:rPr>
          <w:rFonts w:ascii="Calibri" w:eastAsia="Arial" w:hAnsi="Calibri" w:cs="Calibri"/>
          <w:b/>
          <w:bCs/>
          <w:color w:val="C00000"/>
          <w:u w:val="single"/>
        </w:rPr>
        <w:t>at least 100 covered employee participants</w:t>
      </w:r>
      <w:r w:rsidRPr="00DD7BD1">
        <w:rPr>
          <w:rFonts w:ascii="Calibri" w:eastAsia="Arial" w:hAnsi="Calibri" w:cs="Calibri"/>
          <w:color w:val="C00000"/>
          <w:u w:val="single"/>
        </w:rPr>
        <w:t xml:space="preserve"> </w:t>
      </w:r>
      <w:r w:rsidRPr="00DD7BD1">
        <w:rPr>
          <w:rFonts w:ascii="Calibri" w:eastAsia="Arial" w:hAnsi="Calibri" w:cs="Calibri"/>
          <w:u w:val="single"/>
        </w:rPr>
        <w:t>(covered employees and former employees on COBRA) on the first day of the plan year….</w:t>
      </w:r>
      <w:r w:rsidRPr="00DD7BD1">
        <w:rPr>
          <w:rFonts w:ascii="Calibri" w:eastAsia="Arial" w:hAnsi="Calibri" w:cs="Calibri"/>
        </w:rPr>
        <w:t xml:space="preserve">Form 5500 is due by July 31st, unless an extension is requested. </w:t>
      </w:r>
    </w:p>
    <w:p w14:paraId="05CDF8E3" w14:textId="27E870C7" w:rsidR="001C5F42" w:rsidRPr="00DD7BD1" w:rsidRDefault="001C5F42" w:rsidP="001C5F42">
      <w:pPr>
        <w:ind w:left="91"/>
        <w:rPr>
          <w:rFonts w:ascii="Calibri" w:eastAsia="Arial" w:hAnsi="Calibri" w:cs="Calibri"/>
        </w:rPr>
      </w:pPr>
      <w:bookmarkStart w:id="35" w:name="_Hlk175057610"/>
      <w:bookmarkEnd w:id="34"/>
      <w:r w:rsidRPr="00DD7BD1">
        <w:rPr>
          <w:rFonts w:ascii="Calibri" w:eastAsia="Arial" w:hAnsi="Calibri" w:cs="Calibri"/>
        </w:rPr>
        <w:t xml:space="preserve">Most benefit plans with less than 100 covered participants will </w:t>
      </w:r>
      <w:r w:rsidRPr="00DD7BD1">
        <w:rPr>
          <w:rFonts w:ascii="Calibri" w:eastAsia="Arial" w:hAnsi="Calibri" w:cs="Calibri"/>
          <w:u w:val="single"/>
        </w:rPr>
        <w:t>not</w:t>
      </w:r>
      <w:r w:rsidRPr="00DD7BD1">
        <w:rPr>
          <w:rFonts w:ascii="Calibri" w:eastAsia="Arial" w:hAnsi="Calibri" w:cs="Calibri"/>
        </w:rPr>
        <w:t xml:space="preserve"> be subject to Form 5500 reporting, </w:t>
      </w:r>
      <w:bookmarkEnd w:id="35"/>
      <w:r w:rsidRPr="00DD7BD1">
        <w:rPr>
          <w:rFonts w:ascii="Calibri" w:eastAsia="Arial" w:hAnsi="Calibri" w:cs="Calibri"/>
        </w:rPr>
        <w:t>but you should contact your Health &amp; Welfare Broker to ensure you qualify for this exception. See also ETC’s Compliance Clander Resource.  If you are need of Form 5500 Services, please reach out to ETC today at hr_help@etctracking.com</w:t>
      </w:r>
    </w:p>
    <w:p w14:paraId="49D1DE7A" w14:textId="41CB1B70"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OSHA Issues Proposed Health Rule (Indoor &amp; outdoor) Work </w:t>
      </w:r>
    </w:p>
    <w:p w14:paraId="1350C92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Occupational Safety and Health Administration announced its long-anticipated </w:t>
      </w:r>
      <w:r w:rsidRPr="00DD7BD1">
        <w:rPr>
          <w:rFonts w:ascii="Calibri" w:eastAsiaTheme="minorHAnsi" w:hAnsi="Calibri" w:cs="Calibri"/>
          <w:i/>
          <w:iCs/>
          <w:kern w:val="0"/>
          <w:sz w:val="22"/>
          <w:szCs w:val="22"/>
        </w:rPr>
        <w:t>proposed rule</w:t>
      </w:r>
      <w:r w:rsidRPr="00DD7BD1">
        <w:rPr>
          <w:rFonts w:ascii="Calibri" w:eastAsiaTheme="minorHAnsi" w:hAnsi="Calibri" w:cs="Calibri"/>
          <w:b w:val="0"/>
          <w:bCs w:val="0"/>
          <w:kern w:val="0"/>
          <w:sz w:val="22"/>
          <w:szCs w:val="22"/>
        </w:rPr>
        <w:t xml:space="preserve"> Heat Injury and Illness Prevention in Outdoor and Indoor Work Settings on July 2, 2024. </w:t>
      </w:r>
    </w:p>
    <w:p w14:paraId="1D40FCE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bookmarkStart w:id="36" w:name="_Hlk175057661"/>
      <w:r w:rsidRPr="00DD7BD1">
        <w:rPr>
          <w:rFonts w:ascii="Calibri" w:eastAsiaTheme="minorHAnsi" w:hAnsi="Calibri" w:cs="Calibri"/>
          <w:b w:val="0"/>
          <w:bCs w:val="0"/>
          <w:kern w:val="0"/>
          <w:sz w:val="22"/>
          <w:szCs w:val="22"/>
        </w:rPr>
        <w:t>The proposed rule takes a large-scale approach to regulating heat injury and illness issues</w:t>
      </w:r>
      <w:bookmarkEnd w:id="36"/>
      <w:r w:rsidRPr="00DD7BD1">
        <w:rPr>
          <w:rFonts w:ascii="Calibri" w:eastAsiaTheme="minorHAnsi" w:hAnsi="Calibri" w:cs="Calibr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p>
    <w:p w14:paraId="61325AA4"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63CC3F09"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Under the new Rule:</w:t>
      </w:r>
    </w:p>
    <w:p w14:paraId="2D9B26F8"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w:t>
      </w:r>
      <w:hyperlink r:id="rId440" w:tgtFrame="_blank" w:history="1">
        <w:r w:rsidRPr="00DD7BD1">
          <w:rPr>
            <w:rStyle w:val="Hyperlink"/>
            <w:rFonts w:ascii="Calibri" w:eastAsiaTheme="minorHAnsi" w:hAnsi="Calibri" w:cs="Calibri"/>
            <w:b w:val="0"/>
            <w:bCs w:val="0"/>
            <w:kern w:val="0"/>
            <w:sz w:val="22"/>
            <w:szCs w:val="22"/>
          </w:rPr>
          <w:t>proposed rule</w:t>
        </w:r>
      </w:hyperlink>
      <w:r w:rsidRPr="00DD7BD1">
        <w:rPr>
          <w:rFonts w:ascii="Calibri" w:eastAsiaTheme="minorHAnsi" w:hAnsi="Calibri" w:cs="Calibri"/>
          <w:b w:val="0"/>
          <w:bCs w:val="0"/>
          <w:kern w:val="0"/>
          <w:sz w:val="22"/>
          <w:szCs w:val="22"/>
        </w:rPr>
        <w:t> applies to all employers with a “reasonable expectation” of employee exposure to certain heat thresholds, it provides for some limited exceptions.</w:t>
      </w:r>
    </w:p>
    <w:p w14:paraId="3432C4BF"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There are </w:t>
      </w:r>
      <w:proofErr w:type="gramStart"/>
      <w:r w:rsidRPr="00DD7BD1">
        <w:rPr>
          <w:rFonts w:ascii="Calibri" w:eastAsiaTheme="minorHAnsi" w:hAnsi="Calibri" w:cs="Calibri"/>
          <w:b w:val="0"/>
          <w:bCs w:val="0"/>
          <w:kern w:val="0"/>
          <w:sz w:val="22"/>
          <w:szCs w:val="22"/>
        </w:rPr>
        <w:t>two,</w:t>
      </w:r>
      <w:proofErr w:type="gramEnd"/>
      <w:r w:rsidRPr="00DD7BD1">
        <w:rPr>
          <w:rFonts w:ascii="Calibri" w:eastAsiaTheme="minorHAnsi" w:hAnsi="Calibri" w:cs="Calibri"/>
          <w:b w:val="0"/>
          <w:bCs w:val="0"/>
          <w:kern w:val="0"/>
          <w:sz w:val="22"/>
          <w:szCs w:val="22"/>
        </w:rPr>
        <w:t xml:space="preserve"> defined applicable heat thresholds &amp; detailed employer procedures</w:t>
      </w:r>
    </w:p>
    <w:p w14:paraId="1AB2A643"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must develop a Prevention Plan, conduct training as well as perform monitoring requirements</w:t>
      </w:r>
    </w:p>
    <w:p w14:paraId="52A107C5"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6B3E99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Once published in the Federal Register, the public is encouraged to submit written comments on the rule.</w:t>
      </w:r>
    </w:p>
    <w:p w14:paraId="3F14CAE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To learn more, access the July 10</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Morgan Lewis article </w:t>
      </w:r>
      <w:hyperlink r:id="rId441" w:history="1">
        <w:r w:rsidRPr="00DD7BD1">
          <w:rPr>
            <w:rStyle w:val="Hyperlink"/>
            <w:rFonts w:ascii="Calibri" w:eastAsiaTheme="minorHAnsi" w:hAnsi="Calibri" w:cs="Calibri"/>
            <w:b w:val="0"/>
            <w:bCs w:val="0"/>
            <w:kern w:val="0"/>
            <w:sz w:val="22"/>
            <w:szCs w:val="22"/>
          </w:rPr>
          <w:t>HERE</w:t>
        </w:r>
      </w:hyperlink>
    </w:p>
    <w:p w14:paraId="1BB7D3BC" w14:textId="7777777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429D66" w14:textId="2E6708D8"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NLRB Voluntarily Withdraws Joint-employer Rule Appeal</w:t>
      </w:r>
    </w:p>
    <w:p w14:paraId="749D448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u w:val="single"/>
        </w:rPr>
      </w:pPr>
      <w:r w:rsidRPr="00DD7BD1">
        <w:rPr>
          <w:rFonts w:ascii="Calibri" w:eastAsiaTheme="minorHAnsi" w:hAnsi="Calibri" w:cs="Calibri"/>
          <w:kern w:val="0"/>
          <w:sz w:val="22"/>
          <w:szCs w:val="22"/>
          <w:u w:val="single"/>
        </w:rPr>
        <w:t>Timeline</w:t>
      </w:r>
    </w:p>
    <w:p w14:paraId="505B7750"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May 7, 2024, the NLRB appealed the federal judge’s decision to the U.S. Court of Appeals for the 5th Circuit.</w:t>
      </w:r>
    </w:p>
    <w:p w14:paraId="0E5EF1A8"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19, 2024, the NLRB voluntarily </w:t>
      </w:r>
      <w:r w:rsidRPr="00DD7BD1">
        <w:rPr>
          <w:rFonts w:ascii="Calibri" w:hAnsi="Calibri" w:cs="Calibri"/>
          <w:b w:val="0"/>
          <w:bCs w:val="0"/>
          <w:sz w:val="22"/>
          <w:szCs w:val="22"/>
          <w:u w:val="single"/>
        </w:rPr>
        <w:t>dismissed its appeal.</w:t>
      </w:r>
    </w:p>
    <w:p w14:paraId="6B6979F1"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sz w:val="22"/>
          <w:szCs w:val="22"/>
        </w:rPr>
      </w:pPr>
      <w:r w:rsidRPr="00DD7BD1">
        <w:rPr>
          <w:rFonts w:ascii="Calibri" w:hAnsi="Calibri" w:cs="Calibri"/>
          <w:sz w:val="22"/>
          <w:szCs w:val="22"/>
        </w:rPr>
        <w:t xml:space="preserve">The 2020 joint-employer rule remains in effect. </w:t>
      </w:r>
    </w:p>
    <w:p w14:paraId="4878106E"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should rely on the 2020 joint-employer rule to determine where joint employment exists. </w:t>
      </w:r>
    </w:p>
    <w:p w14:paraId="411B2BC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16"/>
          <w:szCs w:val="16"/>
          <w:u w:val="single"/>
        </w:rPr>
      </w:pPr>
    </w:p>
    <w:p w14:paraId="4A6BF0CC"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442" w:history="1">
        <w:r w:rsidRPr="00DD7BD1">
          <w:rPr>
            <w:rStyle w:val="Hyperlink"/>
            <w:rFonts w:ascii="Calibri" w:eastAsiaTheme="minorHAnsi" w:hAnsi="Calibri" w:cs="Calibri"/>
            <w:b w:val="0"/>
            <w:bCs w:val="0"/>
            <w:kern w:val="0"/>
            <w:sz w:val="22"/>
            <w:szCs w:val="22"/>
            <w:u w:val="none"/>
          </w:rPr>
          <w:t>2023 joint-employer rule</w:t>
        </w:r>
      </w:hyperlink>
      <w:r w:rsidRPr="00DD7BD1">
        <w:rPr>
          <w:rFonts w:ascii="Calibri" w:eastAsiaTheme="minorHAnsi" w:hAnsi="Calibri" w:cs="Calibri"/>
          <w:b w:val="0"/>
          <w:bCs w:val="0"/>
          <w:kern w:val="0"/>
          <w:sz w:val="22"/>
          <w:szCs w:val="22"/>
        </w:rPr>
        <w:t xml:space="preserve">.  The rule, which had been set to take effect on March 11, 2024, </w:t>
      </w:r>
      <w:r w:rsidRPr="00DD7BD1">
        <w:rPr>
          <w:rFonts w:ascii="Calibri" w:eastAsiaTheme="minorHAnsi" w:hAnsi="Calibri" w:cs="Calibri"/>
          <w:i/>
          <w:iCs/>
          <w:kern w:val="0"/>
          <w:sz w:val="22"/>
          <w:szCs w:val="22"/>
        </w:rPr>
        <w:t>would have expanded</w:t>
      </w:r>
      <w:r w:rsidRPr="00DD7BD1">
        <w:rPr>
          <w:rFonts w:ascii="Calibri" w:eastAsiaTheme="minorHAnsi" w:hAnsi="Calibri" w:cs="Calibri"/>
          <w:b w:val="0"/>
          <w:bCs w:val="0"/>
          <w:kern w:val="0"/>
          <w:sz w:val="22"/>
          <w:szCs w:val="22"/>
        </w:rPr>
        <w:t xml:space="preserve"> the types of control over job terms and conditions that trigger joint employment.</w:t>
      </w:r>
    </w:p>
    <w:p w14:paraId="2A01AB1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16"/>
          <w:szCs w:val="16"/>
        </w:rPr>
      </w:pPr>
    </w:p>
    <w:p w14:paraId="1D0D30D4" w14:textId="77777777" w:rsidR="001C5F42" w:rsidRPr="00DD7BD1" w:rsidRDefault="001C5F42" w:rsidP="001C5F42">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2020 Joint-employer Standard Recap: </w:t>
      </w:r>
    </w:p>
    <w:p w14:paraId="1E16F395"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2020 standard considers the </w:t>
      </w:r>
      <w:bookmarkStart w:id="37" w:name="_Hlk175057883"/>
      <w:r w:rsidRPr="00DD7BD1">
        <w:rPr>
          <w:rFonts w:ascii="Calibri" w:hAnsi="Calibri" w:cs="Calibri"/>
          <w:b w:val="0"/>
          <w:bCs w:val="0"/>
          <w:sz w:val="22"/>
          <w:szCs w:val="22"/>
        </w:rPr>
        <w:t>“</w:t>
      </w:r>
      <w:r w:rsidRPr="00DD7BD1">
        <w:rPr>
          <w:rFonts w:ascii="Calibri" w:hAnsi="Calibri" w:cs="Calibri"/>
          <w:sz w:val="22"/>
          <w:szCs w:val="22"/>
          <w:u w:val="single"/>
        </w:rPr>
        <w:t>substantial direct and immediate control</w:t>
      </w:r>
      <w:r w:rsidRPr="00DD7BD1">
        <w:rPr>
          <w:rFonts w:ascii="Calibri" w:hAnsi="Calibri" w:cs="Calibri"/>
          <w:b w:val="0"/>
          <w:bCs w:val="0"/>
          <w:sz w:val="22"/>
          <w:szCs w:val="22"/>
          <w:u w:val="single"/>
        </w:rPr>
        <w:t xml:space="preserve">” </w:t>
      </w:r>
      <w:bookmarkStart w:id="38" w:name="_Hlk175057893"/>
      <w:bookmarkEnd w:id="37"/>
      <w:r w:rsidRPr="00DD7BD1">
        <w:rPr>
          <w:rFonts w:ascii="Calibri" w:hAnsi="Calibri" w:cs="Calibri"/>
          <w:b w:val="0"/>
          <w:bCs w:val="0"/>
          <w:sz w:val="22"/>
          <w:szCs w:val="22"/>
          <w:u w:val="single"/>
        </w:rPr>
        <w:t>employers have over essential terms and conditions of employment for individuals who are employed by another organization</w:t>
      </w:r>
      <w:r w:rsidRPr="00DD7BD1">
        <w:rPr>
          <w:rFonts w:ascii="Calibri" w:hAnsi="Calibri" w:cs="Calibri"/>
          <w:b w:val="0"/>
          <w:bCs w:val="0"/>
          <w:sz w:val="22"/>
          <w:szCs w:val="22"/>
        </w:rPr>
        <w:t xml:space="preserve">. </w:t>
      </w:r>
      <w:bookmarkEnd w:id="38"/>
    </w:p>
    <w:p w14:paraId="718B684D"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bookmarkStart w:id="39" w:name="_Hlk175057917"/>
      <w:r w:rsidRPr="00DD7BD1">
        <w:rPr>
          <w:rFonts w:ascii="Calibri" w:hAnsi="Calibri" w:cs="Calibri"/>
          <w:b w:val="0"/>
          <w:bCs w:val="0"/>
          <w:sz w:val="22"/>
          <w:szCs w:val="22"/>
        </w:rPr>
        <w:t xml:space="preserve">Specifically, the 2020 joint-employer standard </w:t>
      </w:r>
      <w:r w:rsidRPr="00DD7BD1">
        <w:rPr>
          <w:rFonts w:ascii="Calibri" w:hAnsi="Calibri" w:cs="Calibri"/>
          <w:b w:val="0"/>
          <w:bCs w:val="0"/>
          <w:sz w:val="22"/>
          <w:szCs w:val="22"/>
          <w:u w:val="single"/>
        </w:rPr>
        <w:t xml:space="preserve">indicates that a business is a joint employer of another employer’s employees </w:t>
      </w:r>
      <w:r w:rsidRPr="00DD7BD1">
        <w:rPr>
          <w:rFonts w:ascii="Calibri" w:hAnsi="Calibri" w:cs="Calibri"/>
          <w:sz w:val="22"/>
          <w:szCs w:val="22"/>
          <w:u w:val="single"/>
        </w:rPr>
        <w:t>only if</w:t>
      </w:r>
      <w:r w:rsidRPr="00DD7BD1">
        <w:rPr>
          <w:rFonts w:ascii="Calibri" w:hAnsi="Calibri" w:cs="Calibri"/>
          <w:b w:val="0"/>
          <w:bCs w:val="0"/>
          <w:sz w:val="22"/>
          <w:szCs w:val="22"/>
          <w:u w:val="single"/>
        </w:rPr>
        <w:t xml:space="preserve"> the degree of joint control is of sufficient magnitude to conclude that the joint employer meaningfully affects matters relating to the employment relationship</w:t>
      </w:r>
      <w:r w:rsidRPr="00DD7BD1">
        <w:rPr>
          <w:rFonts w:ascii="Calibri" w:hAnsi="Calibri" w:cs="Calibri"/>
          <w:b w:val="0"/>
          <w:bCs w:val="0"/>
          <w:sz w:val="22"/>
          <w:szCs w:val="22"/>
        </w:rPr>
        <w:t>.</w:t>
      </w:r>
    </w:p>
    <w:bookmarkEnd w:id="39"/>
    <w:p w14:paraId="0C2D55A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246749F0" w14:textId="40B8BF5B" w:rsidR="00636C21" w:rsidRPr="00DD7BD1" w:rsidRDefault="001C5F42" w:rsidP="000C0E84">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Employers should ensure they rely on the 2020 joint-employer standard to determine where joint employment exists.</w:t>
      </w:r>
    </w:p>
    <w:p w14:paraId="17F6FB5C" w14:textId="77777777" w:rsidR="000C0E84" w:rsidRPr="00DD7BD1" w:rsidRDefault="000C0E84" w:rsidP="000C0E84">
      <w:pPr>
        <w:shd w:val="clear" w:color="auto" w:fill="FFFFFF"/>
        <w:spacing w:after="0" w:line="240" w:lineRule="auto"/>
        <w:rPr>
          <w:rFonts w:ascii="Calibri" w:eastAsia="Times New Roman" w:hAnsi="Calibri" w:cs="Calibri"/>
        </w:rPr>
      </w:pPr>
    </w:p>
    <w:p w14:paraId="5856D1B2" w14:textId="5F85A066" w:rsidR="001C5F42" w:rsidRPr="00DD7BD1" w:rsidRDefault="001C5F42" w:rsidP="001C5F42">
      <w:pPr>
        <w:spacing w:after="0" w:line="240" w:lineRule="auto"/>
        <w:jc w:val="center"/>
        <w:rPr>
          <w:rFonts w:ascii="Calibri" w:hAnsi="Calibri" w:cs="Calibri"/>
          <w:b/>
          <w:bCs/>
          <w:sz w:val="28"/>
          <w:szCs w:val="28"/>
        </w:rPr>
      </w:pPr>
      <w:r w:rsidRPr="00DD7BD1">
        <w:rPr>
          <w:rFonts w:ascii="Calibri" w:hAnsi="Calibri" w:cs="Calibri"/>
          <w:b/>
          <w:bCs/>
          <w:sz w:val="28"/>
          <w:szCs w:val="28"/>
        </w:rPr>
        <w:t>Labor and Employment Issues in a Post-Chevron World</w:t>
      </w:r>
    </w:p>
    <w:p w14:paraId="15B7839E" w14:textId="77777777" w:rsidR="001C5F42" w:rsidRPr="00DD7BD1" w:rsidRDefault="001C5F42" w:rsidP="001C5F42">
      <w:pPr>
        <w:spacing w:after="0" w:line="240" w:lineRule="auto"/>
        <w:rPr>
          <w:rFonts w:ascii="Calibri" w:hAnsi="Calibri" w:cs="Calibri"/>
        </w:rPr>
      </w:pPr>
      <w:r w:rsidRPr="00DD7BD1">
        <w:rPr>
          <w:rFonts w:ascii="Calibri" w:hAnsi="Calibri" w:cs="Calibri"/>
        </w:rPr>
        <w:t>With the US Supreme Court’s June 28 decision in </w:t>
      </w:r>
      <w:r w:rsidRPr="00DD7BD1">
        <w:rPr>
          <w:rFonts w:ascii="Calibri" w:hAnsi="Calibri" w:cs="Calibri"/>
          <w:i/>
          <w:iCs/>
        </w:rPr>
        <w:t>Loper Bright Enterprises v. Raimondo </w:t>
      </w:r>
      <w:r w:rsidRPr="00DD7BD1">
        <w:rPr>
          <w:rFonts w:ascii="Calibri" w:hAnsi="Calibri" w:cs="Calibri"/>
        </w:rPr>
        <w:t>and </w:t>
      </w:r>
      <w:r w:rsidRPr="00DD7BD1">
        <w:rPr>
          <w:rFonts w:ascii="Calibri" w:hAnsi="Calibri" w:cs="Calibri"/>
          <w:i/>
          <w:iCs/>
        </w:rPr>
        <w:t>Relentless v. Department of Commerce</w:t>
      </w:r>
      <w:r w:rsidRPr="00DD7BD1">
        <w:rPr>
          <w:rFonts w:ascii="Calibri" w:hAnsi="Calibri" w:cs="Calibri"/>
        </w:rPr>
        <w:t>, the four-decades </w:t>
      </w:r>
      <w:r w:rsidRPr="00DD7BD1">
        <w:rPr>
          <w:rFonts w:ascii="Calibri" w:hAnsi="Calibri" w:cs="Calibri"/>
          <w:i/>
          <w:iCs/>
        </w:rPr>
        <w:t>Chevron </w:t>
      </w:r>
      <w:r w:rsidRPr="00DD7BD1">
        <w:rPr>
          <w:rFonts w:ascii="Calibri" w:hAnsi="Calibri" w:cs="Calibri"/>
        </w:rPr>
        <w:t xml:space="preserve">doctrine is no longer. While the Court’s decision has altered </w:t>
      </w:r>
      <w:r w:rsidRPr="00DD7BD1">
        <w:rPr>
          <w:rFonts w:ascii="Calibri" w:hAnsi="Calibri" w:cs="Calibri"/>
          <w:b/>
          <w:bCs/>
        </w:rPr>
        <w:t>administrative jurisprudence</w:t>
      </w:r>
      <w:r w:rsidRPr="00DD7BD1">
        <w:rPr>
          <w:rFonts w:ascii="Calibri" w:hAnsi="Calibri" w:cs="Calibri"/>
        </w:rPr>
        <w:t xml:space="preserve"> as we have come to </w:t>
      </w:r>
      <w:proofErr w:type="gramStart"/>
      <w:r w:rsidRPr="00DD7BD1">
        <w:rPr>
          <w:rFonts w:ascii="Calibri" w:hAnsi="Calibri" w:cs="Calibri"/>
        </w:rPr>
        <w:t>know it</w:t>
      </w:r>
      <w:proofErr w:type="gramEnd"/>
      <w:r w:rsidRPr="00DD7BD1">
        <w:rPr>
          <w:rFonts w:ascii="Calibri" w:hAnsi="Calibri" w:cs="Calibri"/>
        </w:rPr>
        <w:t xml:space="preserve">, its impact on labor and employment agency action may vary from sweeping change to a continuation of the status quo. </w:t>
      </w:r>
    </w:p>
    <w:p w14:paraId="3C40F1BB" w14:textId="77777777" w:rsidR="001C5F42" w:rsidRPr="00DD7BD1" w:rsidRDefault="001C5F42" w:rsidP="001C5F42">
      <w:pPr>
        <w:spacing w:after="0" w:line="240" w:lineRule="auto"/>
        <w:rPr>
          <w:rFonts w:ascii="Calibri" w:hAnsi="Calibri" w:cs="Calibri"/>
        </w:rPr>
      </w:pPr>
    </w:p>
    <w:p w14:paraId="228668A7" w14:textId="77777777" w:rsidR="001C5F42" w:rsidRPr="00DD7BD1" w:rsidRDefault="001C5F42" w:rsidP="001C5F42">
      <w:pPr>
        <w:spacing w:after="0" w:line="240" w:lineRule="auto"/>
        <w:rPr>
          <w:rFonts w:ascii="Calibri" w:hAnsi="Calibri" w:cs="Calibri"/>
          <w:u w:val="single"/>
        </w:rPr>
      </w:pPr>
      <w:r w:rsidRPr="00DD7BD1">
        <w:rPr>
          <w:rFonts w:ascii="Calibri" w:hAnsi="Calibri" w:cs="Calibri"/>
        </w:rPr>
        <w:t>With </w:t>
      </w:r>
      <w:r w:rsidRPr="00DD7BD1">
        <w:rPr>
          <w:rFonts w:ascii="Calibri" w:hAnsi="Calibri" w:cs="Calibri"/>
          <w:i/>
          <w:iCs/>
        </w:rPr>
        <w:t>Loper Bright</w:t>
      </w:r>
      <w:r w:rsidRPr="00DD7BD1">
        <w:rPr>
          <w:rFonts w:ascii="Calibri" w:hAnsi="Calibri" w:cs="Calibri"/>
        </w:rPr>
        <w:t xml:space="preserve">, </w:t>
      </w:r>
      <w:r w:rsidRPr="00DD7BD1">
        <w:rPr>
          <w:rFonts w:ascii="Calibri" w:hAnsi="Calibri" w:cs="Calibri"/>
          <w:u w:val="single"/>
        </w:rPr>
        <w:t>federal courts have been directed not to defer to administrative agencies’ interpretations</w:t>
      </w:r>
      <w:r w:rsidRPr="00DD7BD1">
        <w:rPr>
          <w:rFonts w:ascii="Calibri" w:hAnsi="Calibri" w:cs="Calibri"/>
        </w:rPr>
        <w:t xml:space="preserve"> of ambiguous or broad statutes, save for narrow exceptions such as express delegations. Instead, </w:t>
      </w:r>
      <w:r w:rsidRPr="00DD7BD1">
        <w:rPr>
          <w:rFonts w:ascii="Calibri" w:hAnsi="Calibri" w:cs="Calibri"/>
          <w:u w:val="single"/>
        </w:rPr>
        <w:t>federal courts must exercise independent judgment when reviewing statutory text and use traditional tools of statutory construction to find the “best meaning” of the statute</w:t>
      </w:r>
      <w:r w:rsidRPr="00DD7BD1">
        <w:rPr>
          <w:rFonts w:ascii="Calibri" w:hAnsi="Calibri" w:cs="Calibri"/>
        </w:rPr>
        <w:t xml:space="preserve">. </w:t>
      </w:r>
      <w:r w:rsidRPr="00DD7BD1">
        <w:rPr>
          <w:rFonts w:ascii="Calibri" w:hAnsi="Calibri" w:cs="Calibri"/>
          <w:u w:val="single"/>
        </w:rPr>
        <w:t>The agency simply presenting a “reasonable” or “permissible” construction of an ambiguous statute is not sufficient for it to prevail.</w:t>
      </w:r>
    </w:p>
    <w:p w14:paraId="1969A0B8" w14:textId="77777777" w:rsidR="001C5F42" w:rsidRPr="00DD7BD1" w:rsidRDefault="001C5F42" w:rsidP="001C5F42">
      <w:pPr>
        <w:spacing w:after="0" w:line="240" w:lineRule="auto"/>
        <w:rPr>
          <w:rFonts w:ascii="Calibri" w:hAnsi="Calibri" w:cs="Calibri"/>
        </w:rPr>
      </w:pPr>
    </w:p>
    <w:p w14:paraId="0447625A" w14:textId="77777777" w:rsidR="001C5F42" w:rsidRPr="00DD7BD1" w:rsidRDefault="001C5F42" w:rsidP="001C5F42">
      <w:pPr>
        <w:spacing w:after="0" w:line="240" w:lineRule="auto"/>
        <w:rPr>
          <w:rFonts w:ascii="Calibri" w:hAnsi="Calibri" w:cs="Calibri"/>
        </w:rPr>
      </w:pPr>
      <w:r w:rsidRPr="00DD7BD1">
        <w:rPr>
          <w:rFonts w:ascii="Calibri" w:hAnsi="Calibri" w:cs="Calibri"/>
        </w:rPr>
        <w:t>That said, the Supreme Court made clear in </w:t>
      </w:r>
      <w:r w:rsidRPr="00DD7BD1">
        <w:rPr>
          <w:rFonts w:ascii="Calibri" w:hAnsi="Calibri" w:cs="Calibri"/>
          <w:i/>
          <w:iCs/>
        </w:rPr>
        <w:t>Loper Bright</w:t>
      </w:r>
      <w:r w:rsidRPr="00DD7BD1">
        <w:rPr>
          <w:rFonts w:ascii="Calibri" w:hAnsi="Calibri" w:cs="Calibri"/>
        </w:rPr>
        <w:t> that all existing judicial decisions upholding agency rules and orders are not automatically overruled by the new decision, even if courts relied on </w:t>
      </w:r>
      <w:r w:rsidRPr="00DD7BD1">
        <w:rPr>
          <w:rFonts w:ascii="Calibri" w:hAnsi="Calibri" w:cs="Calibri"/>
          <w:i/>
          <w:iCs/>
        </w:rPr>
        <w:t>Chevron</w:t>
      </w:r>
      <w:r w:rsidRPr="00DD7BD1">
        <w:rPr>
          <w:rFonts w:ascii="Calibri" w:hAnsi="Calibri" w:cs="Calibri"/>
        </w:rPr>
        <w:t> in those earlier decisions.</w:t>
      </w:r>
    </w:p>
    <w:p w14:paraId="4194D051" w14:textId="77777777" w:rsidR="001C5F42" w:rsidRPr="00DD7BD1" w:rsidRDefault="001C5F42" w:rsidP="001C5F42">
      <w:pPr>
        <w:spacing w:after="0" w:line="240" w:lineRule="auto"/>
        <w:rPr>
          <w:rFonts w:ascii="Calibri" w:hAnsi="Calibri" w:cs="Calibri"/>
        </w:rPr>
      </w:pPr>
      <w:r w:rsidRPr="00DD7BD1">
        <w:rPr>
          <w:rFonts w:ascii="Calibri" w:hAnsi="Calibri" w:cs="Calibri"/>
        </w:rPr>
        <w:t>Time will certainly provide greater insight into the implications of the recent Decision.</w:t>
      </w:r>
    </w:p>
    <w:p w14:paraId="0508810E" w14:textId="77777777" w:rsidR="001C5F42" w:rsidRPr="00DD7BD1" w:rsidRDefault="001C5F42" w:rsidP="001C5F42">
      <w:pPr>
        <w:shd w:val="clear" w:color="auto" w:fill="FFFFFF"/>
        <w:spacing w:after="0" w:line="240" w:lineRule="auto"/>
        <w:rPr>
          <w:rFonts w:ascii="Calibri" w:eastAsia="Times New Roman" w:hAnsi="Calibri" w:cs="Calibri"/>
        </w:rPr>
      </w:pPr>
    </w:p>
    <w:p w14:paraId="324BB075" w14:textId="77777777" w:rsidR="001C5F42" w:rsidRPr="00DD7BD1" w:rsidRDefault="001C5F42" w:rsidP="001C5F42">
      <w:pPr>
        <w:shd w:val="clear" w:color="auto" w:fill="FFFFFF"/>
        <w:spacing w:after="0" w:line="240" w:lineRule="auto"/>
        <w:jc w:val="center"/>
        <w:rPr>
          <w:rFonts w:ascii="Calibri" w:eastAsia="Times New Roman" w:hAnsi="Calibri" w:cs="Calibri"/>
          <w:b/>
          <w:bCs/>
          <w:sz w:val="28"/>
          <w:szCs w:val="28"/>
        </w:rPr>
      </w:pPr>
      <w:r w:rsidRPr="00DD7BD1">
        <w:rPr>
          <w:rFonts w:ascii="Calibri" w:eastAsia="Times New Roman" w:hAnsi="Calibri" w:cs="Calibri"/>
          <w:b/>
          <w:bCs/>
          <w:color w:val="C00000"/>
          <w:sz w:val="28"/>
          <w:szCs w:val="28"/>
        </w:rPr>
        <w:t xml:space="preserve">IN THE NEWS - </w:t>
      </w:r>
      <w:r w:rsidRPr="00DD7BD1">
        <w:rPr>
          <w:rFonts w:ascii="Calibri" w:eastAsia="Times New Roman" w:hAnsi="Calibri" w:cs="Calibri"/>
          <w:b/>
          <w:bCs/>
          <w:sz w:val="28"/>
          <w:szCs w:val="28"/>
        </w:rPr>
        <w:t>Texas Federal District Court Partially Blocks the FTC’s Employer Noncompete Ban</w:t>
      </w:r>
    </w:p>
    <w:p w14:paraId="1CBD3F17" w14:textId="77777777" w:rsidR="001C5F42" w:rsidRPr="00DD7BD1" w:rsidRDefault="001C5F42" w:rsidP="001C5F42">
      <w:pPr>
        <w:shd w:val="clear" w:color="auto" w:fill="FFFFFF"/>
        <w:spacing w:after="0" w:line="240" w:lineRule="auto"/>
        <w:rPr>
          <w:rFonts w:ascii="Calibri" w:eastAsia="Times New Roman" w:hAnsi="Calibri" w:cs="Calibri"/>
          <w:b/>
          <w:bCs/>
          <w:u w:val="single"/>
        </w:rPr>
      </w:pPr>
      <w:r w:rsidRPr="00DD7BD1">
        <w:rPr>
          <w:rFonts w:ascii="Calibri" w:eastAsia="Times New Roman" w:hAnsi="Calibri" w:cs="Calibri"/>
          <w:b/>
          <w:bCs/>
          <w:u w:val="single"/>
        </w:rPr>
        <w:t>Timeline:</w:t>
      </w:r>
    </w:p>
    <w:p w14:paraId="232A0CE1"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In April, the Federal Trade Commission (FTC) issued an administrative rule that will essentially ban all noncompete agreements effective September 4, 2024.</w:t>
      </w:r>
    </w:p>
    <w:p w14:paraId="1F3CDE12"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On July 3, 2024, the Northern District of Texas put the FTC noncompete ban on hold, only with respect to the plaintiffs, until it issues a final decision in a case challenging the ban’s validity.</w:t>
      </w:r>
    </w:p>
    <w:p w14:paraId="7D201334"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For all other employers, </w:t>
      </w:r>
      <w:r w:rsidRPr="00DD7BD1">
        <w:rPr>
          <w:rFonts w:ascii="Calibri" w:eastAsia="Times New Roman" w:hAnsi="Calibri" w:cs="Calibri"/>
          <w:u w:val="single"/>
        </w:rPr>
        <w:t xml:space="preserve">the noncompete ban is still scheduled to take effect on </w:t>
      </w:r>
      <w:r w:rsidRPr="00DD7BD1">
        <w:rPr>
          <w:rFonts w:ascii="Calibri" w:eastAsia="Times New Roman" w:hAnsi="Calibri" w:cs="Calibri"/>
          <w:b/>
          <w:bCs/>
          <w:u w:val="single"/>
        </w:rPr>
        <w:t>Sept. 4, 2024</w:t>
      </w:r>
      <w:r w:rsidRPr="00DD7BD1">
        <w:rPr>
          <w:rFonts w:ascii="Calibri" w:eastAsia="Times New Roman" w:hAnsi="Calibri" w:cs="Calibri"/>
          <w:u w:val="single"/>
        </w:rPr>
        <w:t>.</w:t>
      </w:r>
    </w:p>
    <w:p w14:paraId="528DBAB5"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court stated that </w:t>
      </w:r>
      <w:r w:rsidRPr="00DD7BD1">
        <w:rPr>
          <w:rFonts w:ascii="Calibri" w:eastAsia="Times New Roman" w:hAnsi="Calibri" w:cs="Calibri"/>
          <w:u w:val="single"/>
        </w:rPr>
        <w:t xml:space="preserve">it intends to rule on the merits of the case on or before </w:t>
      </w:r>
      <w:r w:rsidRPr="00DD7BD1">
        <w:rPr>
          <w:rFonts w:ascii="Calibri" w:eastAsia="Times New Roman" w:hAnsi="Calibri" w:cs="Calibri"/>
          <w:b/>
          <w:bCs/>
          <w:u w:val="single"/>
        </w:rPr>
        <w:t>Aug. 30, 2024</w:t>
      </w:r>
      <w:r w:rsidRPr="00DD7BD1">
        <w:rPr>
          <w:rFonts w:ascii="Calibri" w:eastAsia="Times New Roman" w:hAnsi="Calibri" w:cs="Calibri"/>
          <w:b/>
          <w:bCs/>
        </w:rPr>
        <w:t>.</w:t>
      </w:r>
      <w:r w:rsidRPr="00DD7BD1">
        <w:rPr>
          <w:rFonts w:ascii="Calibri" w:eastAsia="Times New Roman" w:hAnsi="Calibri" w:cs="Calibri"/>
        </w:rPr>
        <w:t xml:space="preserve"> </w:t>
      </w:r>
    </w:p>
    <w:p w14:paraId="2240A5AC"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 xml:space="preserve">Depending on the outcome, the ruling could affect the ban’s effective date nationwide, so employers should continue to monitor for updates. </w:t>
      </w:r>
    </w:p>
    <w:p w14:paraId="25206AE3"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On July 3, 2024, the U.S. District Court for the Northern District of Texas </w:t>
      </w:r>
      <w:hyperlink r:id="rId443" w:history="1">
        <w:r w:rsidRPr="00DD7BD1">
          <w:rPr>
            <w:rStyle w:val="Hyperlink"/>
            <w:rFonts w:ascii="Calibri" w:hAnsi="Calibri" w:cs="Calibri"/>
          </w:rPr>
          <w:t>granted</w:t>
        </w:r>
      </w:hyperlink>
      <w:r w:rsidRPr="00DD7BD1">
        <w:rPr>
          <w:rFonts w:ascii="Calibri" w:hAnsi="Calibri" w:cs="Calibri"/>
        </w:rPr>
        <w:t xml:space="preserve"> the plaintiffs’ motion in </w:t>
      </w:r>
      <w:r w:rsidRPr="00DD7BD1">
        <w:rPr>
          <w:rFonts w:ascii="Calibri" w:hAnsi="Calibri" w:cs="Calibri"/>
          <w:b/>
          <w:bCs/>
          <w:i/>
          <w:iCs/>
        </w:rPr>
        <w:t>Ryan LLC v. FTC</w:t>
      </w:r>
      <w:r w:rsidRPr="00DD7BD1">
        <w:rPr>
          <w:rFonts w:ascii="Calibri" w:hAnsi="Calibri" w:cs="Calibri"/>
        </w:rPr>
        <w:t xml:space="preserve"> for a </w:t>
      </w:r>
      <w:r w:rsidRPr="00DD7BD1">
        <w:rPr>
          <w:rFonts w:ascii="Calibri" w:hAnsi="Calibri" w:cs="Calibri"/>
          <w:u w:val="single"/>
        </w:rPr>
        <w:t>preliminary injunction to block the Federal Trade Commission’s (FTC) noncompete ban</w:t>
      </w:r>
      <w:r w:rsidRPr="00DD7BD1">
        <w:rPr>
          <w:rFonts w:ascii="Calibri" w:hAnsi="Calibri" w:cs="Calibri"/>
        </w:rPr>
        <w:t xml:space="preserve"> while the court considers the merit of the case. The injunction applies </w:t>
      </w:r>
      <w:r w:rsidRPr="00DD7BD1">
        <w:rPr>
          <w:rFonts w:ascii="Calibri" w:hAnsi="Calibri" w:cs="Calibri"/>
          <w:u w:val="single"/>
        </w:rPr>
        <w:t>only to the plaintiffs in the case</w:t>
      </w:r>
      <w:r w:rsidRPr="00DD7BD1">
        <w:rPr>
          <w:rFonts w:ascii="Calibri" w:hAnsi="Calibri" w:cs="Calibri"/>
        </w:rPr>
        <w:t xml:space="preserve">: a Texas employer, the U.S. Chamber of Commerce and other business organizations.  As such, </w:t>
      </w:r>
      <w:r w:rsidRPr="00DD7BD1">
        <w:rPr>
          <w:rFonts w:ascii="Calibri" w:hAnsi="Calibri" w:cs="Calibri"/>
          <w:b/>
          <w:bCs/>
        </w:rPr>
        <w:t>employers who are NOT parties to the suit are not covered under the injunction</w:t>
      </w:r>
      <w:r w:rsidRPr="00DD7BD1">
        <w:rPr>
          <w:rFonts w:ascii="Calibri" w:hAnsi="Calibri" w:cs="Calibri"/>
        </w:rPr>
        <w:t xml:space="preserve">. The court intends to rule on the merits of the case by Aug. 30, 2024, before the ban’s scheduled effective date of Sept. 4, 2024. </w:t>
      </w:r>
    </w:p>
    <w:p w14:paraId="67B1512B" w14:textId="77777777" w:rsidR="001C5F42" w:rsidRPr="00DD7BD1" w:rsidRDefault="001C5F42" w:rsidP="001C5F42">
      <w:pPr>
        <w:pStyle w:val="ParagraphBasic"/>
        <w:spacing w:after="80"/>
        <w:rPr>
          <w:rFonts w:ascii="Calibri" w:hAnsi="Calibri" w:cs="Calibri"/>
          <w:b/>
          <w:bCs/>
        </w:rPr>
      </w:pPr>
      <w:r w:rsidRPr="00DD7BD1">
        <w:rPr>
          <w:rFonts w:ascii="Calibri" w:hAnsi="Calibri" w:cs="Calibri"/>
          <w:b/>
          <w:bCs/>
          <w:highlight w:val="lightGray"/>
        </w:rPr>
        <w:t>Impact on Employers:</w:t>
      </w:r>
    </w:p>
    <w:p w14:paraId="1883BC22"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Per the court’s decision, </w:t>
      </w:r>
      <w:r w:rsidRPr="00DD7BD1">
        <w:rPr>
          <w:rFonts w:ascii="Calibri" w:hAnsi="Calibri" w:cs="Calibri"/>
          <w:u w:val="single"/>
        </w:rPr>
        <w:t>the effective date of the noncompete ban is stayed only for the plaintiffs; it does not apply nationwide</w:t>
      </w:r>
      <w:r w:rsidRPr="00DD7BD1">
        <w:rPr>
          <w:rFonts w:ascii="Calibri" w:hAnsi="Calibri" w:cs="Calibri"/>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Pr="00DD7BD1" w:rsidRDefault="001C5F42" w:rsidP="001C5F42">
      <w:pPr>
        <w:pStyle w:val="ParagraphBasic"/>
        <w:spacing w:after="0" w:line="240" w:lineRule="auto"/>
        <w:rPr>
          <w:rFonts w:ascii="Calibri" w:hAnsi="Calibri" w:cs="Calibri"/>
        </w:rPr>
      </w:pPr>
      <w:r w:rsidRPr="00DD7BD1">
        <w:rPr>
          <w:rFonts w:ascii="Calibri" w:hAnsi="Calibri" w:cs="Calibri"/>
        </w:rPr>
        <w:t xml:space="preserve">In addition, the U.S. District Court for the Eastern District of Pennsylvania scheduled a hearing in a separate case seeking a preliminary injunction of the noncompete ban on July 10, 2024, and is expected to issue a ruling by July 23, 2024. Employers should continue to </w:t>
      </w:r>
      <w:proofErr w:type="gramStart"/>
      <w:r w:rsidRPr="00DD7BD1">
        <w:rPr>
          <w:rFonts w:ascii="Calibri" w:hAnsi="Calibri" w:cs="Calibri"/>
        </w:rPr>
        <w:t>monitor for</w:t>
      </w:r>
      <w:proofErr w:type="gramEnd"/>
      <w:r w:rsidRPr="00DD7BD1">
        <w:rPr>
          <w:rFonts w:ascii="Calibri" w:hAnsi="Calibri" w:cs="Calibri"/>
        </w:rPr>
        <w:t xml:space="preserve"> updates and wait to implement any final changes, as the final ruling in this case or other legal challenges could still result in the ban being modified, delayed or even vacated.</w:t>
      </w:r>
    </w:p>
    <w:p w14:paraId="5DF3C42A" w14:textId="77777777" w:rsidR="001C5F42" w:rsidRPr="00DD7BD1" w:rsidRDefault="001C5F42" w:rsidP="001C5F42">
      <w:pPr>
        <w:pStyle w:val="ParagraphBasic"/>
        <w:spacing w:after="0" w:line="240" w:lineRule="auto"/>
        <w:rPr>
          <w:rFonts w:ascii="Calibri" w:hAnsi="Calibri" w:cs="Calibri"/>
        </w:rPr>
      </w:pPr>
    </w:p>
    <w:p w14:paraId="7CA6A262" w14:textId="48BE48DF" w:rsidR="00CD70B8" w:rsidRPr="00DD7BD1" w:rsidRDefault="001C5F42" w:rsidP="00503F70">
      <w:pPr>
        <w:pStyle w:val="ParagraphBasic"/>
        <w:spacing w:after="0" w:line="240" w:lineRule="auto"/>
        <w:rPr>
          <w:rFonts w:ascii="Calibri" w:hAnsi="Calibri" w:cs="Calibri"/>
        </w:rPr>
      </w:pPr>
      <w:r w:rsidRPr="00DD7BD1">
        <w:rPr>
          <w:rFonts w:ascii="Calibri" w:hAnsi="Calibri" w:cs="Calibri"/>
        </w:rPr>
        <w:t>Additionally, on April 23</w:t>
      </w:r>
      <w:r w:rsidRPr="00DD7BD1">
        <w:rPr>
          <w:rFonts w:ascii="Calibri" w:hAnsi="Calibri" w:cs="Calibri"/>
          <w:vertAlign w:val="superscript"/>
        </w:rPr>
        <w:t>rd</w:t>
      </w:r>
      <w:r w:rsidRPr="00DD7BD1">
        <w:rPr>
          <w:rFonts w:ascii="Calibri" w:hAnsi="Calibri" w:cs="Calibri"/>
        </w:rPr>
        <w:t>, the same day of the filing of the Ryan LLC lawsuit, the U.S. Chamber of Commerce (the nation’s largest business advocacy group) filed a similar lawsuit in the Eastern District of Texas seeking to do the same. Since then, another lawsuit was filed in the Eastern District of Pennsylvania (</w:t>
      </w:r>
      <w:r w:rsidRPr="00DD7BD1">
        <w:rPr>
          <w:rFonts w:ascii="Calibri" w:hAnsi="Calibri" w:cs="Calibri"/>
          <w:i/>
          <w:iCs/>
        </w:rPr>
        <w:t>ATS Tree Services, LLC v. Federal Trade Commission et al.</w:t>
      </w:r>
      <w:r w:rsidRPr="00DD7BD1">
        <w:rPr>
          <w:rFonts w:ascii="Calibri" w:hAnsi="Calibri" w:cs="Calibri"/>
        </w:rPr>
        <w:t xml:space="preserve">). Each of these lawsuits take similar form. They contend the FTC lacks authority to engage in rulemaking of substantive competition rules (i.e., prohibit </w:t>
      </w:r>
      <w:proofErr w:type="spellStart"/>
      <w:r w:rsidRPr="00DD7BD1">
        <w:rPr>
          <w:rFonts w:ascii="Calibri" w:hAnsi="Calibri" w:cs="Calibri"/>
        </w:rPr>
        <w:t>noncompetes</w:t>
      </w:r>
      <w:proofErr w:type="spellEnd"/>
      <w:r w:rsidRPr="00DD7BD1">
        <w:rPr>
          <w:rFonts w:ascii="Calibri" w:hAnsi="Calibri" w:cs="Calibri"/>
        </w:rPr>
        <w:t>), and seek a declaratory judgment and injunctive relief to prevent the Final Rule from taking effect 120 days after its publication in the Federal Register, September 4th.</w:t>
      </w:r>
    </w:p>
    <w:p w14:paraId="2A663013" w14:textId="77777777" w:rsidR="00503F70" w:rsidRPr="00DD7BD1" w:rsidRDefault="00503F70" w:rsidP="00503F70">
      <w:pPr>
        <w:pStyle w:val="ParagraphBasic"/>
        <w:spacing w:after="0" w:line="240" w:lineRule="auto"/>
        <w:rPr>
          <w:rFonts w:ascii="Calibri" w:hAnsi="Calibri" w:cs="Calibri"/>
        </w:rPr>
      </w:pPr>
    </w:p>
    <w:p w14:paraId="0D2EFE58" w14:textId="45F5AACF" w:rsidR="001C5F42" w:rsidRPr="00DD7BD1" w:rsidRDefault="001C5F42" w:rsidP="001C5F42">
      <w:pPr>
        <w:jc w:val="center"/>
        <w:rPr>
          <w:rFonts w:ascii="Calibri" w:hAnsi="Calibri" w:cs="Calibri"/>
          <w:color w:val="C00000"/>
          <w:sz w:val="28"/>
          <w:szCs w:val="28"/>
        </w:rPr>
      </w:pPr>
      <w:r w:rsidRPr="00DD7BD1">
        <w:rPr>
          <w:rFonts w:ascii="Calibri" w:eastAsia="Times New Roman" w:hAnsi="Calibri" w:cs="Calibri"/>
          <w:b/>
          <w:bCs/>
          <w:color w:val="C00000"/>
          <w:sz w:val="28"/>
          <w:szCs w:val="28"/>
        </w:rPr>
        <w:t>IN THE NEWS -</w:t>
      </w:r>
      <w:r w:rsidRPr="00DD7BD1">
        <w:rPr>
          <w:rFonts w:ascii="Calibri" w:hAnsi="Calibri" w:cs="Calibri"/>
          <w:b/>
          <w:bCs/>
          <w:color w:val="515151"/>
          <w:sz w:val="42"/>
          <w:szCs w:val="42"/>
        </w:rPr>
        <w:t xml:space="preserve"> </w:t>
      </w:r>
      <w:r w:rsidRPr="00DD7BD1">
        <w:rPr>
          <w:rFonts w:ascii="Calibri" w:hAnsi="Calibri" w:cs="Calibri"/>
          <w:b/>
          <w:bCs/>
          <w:sz w:val="28"/>
          <w:szCs w:val="28"/>
        </w:rPr>
        <w:t>Texas Judge Suspends DOL's Ability to Enforce New FLSA's White-Collar Exemption</w:t>
      </w:r>
    </w:p>
    <w:p w14:paraId="5EE03EB9" w14:textId="77777777" w:rsidR="001C5F42" w:rsidRPr="00DD7BD1" w:rsidRDefault="001C5F42" w:rsidP="001C5F42">
      <w:pPr>
        <w:spacing w:after="0" w:line="240" w:lineRule="auto"/>
        <w:rPr>
          <w:rFonts w:ascii="Calibri" w:hAnsi="Calibri" w:cs="Calibri"/>
        </w:rPr>
      </w:pPr>
      <w:bookmarkStart w:id="40" w:name="_Hlk175058126"/>
      <w:r w:rsidRPr="00DD7BD1">
        <w:rPr>
          <w:rFonts w:ascii="Calibri" w:hAnsi="Calibri" w:cs="Calibri"/>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0"/>
    <w:p w14:paraId="5BD3275B" w14:textId="77777777" w:rsidR="001C5F42" w:rsidRPr="00DD7BD1" w:rsidRDefault="001C5F42" w:rsidP="001C5F42">
      <w:pPr>
        <w:spacing w:after="0" w:line="240" w:lineRule="auto"/>
        <w:rPr>
          <w:rFonts w:ascii="Calibri" w:hAnsi="Calibri" w:cs="Calibri"/>
        </w:rPr>
      </w:pPr>
      <w:r w:rsidRPr="00DD7BD1">
        <w:rPr>
          <w:rFonts w:ascii="Calibri" w:hAnsi="Calibri" w:cs="Calibri"/>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Pr="00DD7BD1" w:rsidRDefault="001C5F42" w:rsidP="001C5F42">
      <w:pPr>
        <w:spacing w:after="0" w:line="240" w:lineRule="auto"/>
        <w:rPr>
          <w:rFonts w:ascii="Calibri" w:hAnsi="Calibri" w:cs="Calibri"/>
          <w:b/>
          <w:bCs/>
        </w:rPr>
      </w:pPr>
    </w:p>
    <w:p w14:paraId="7A8E1469"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Key Changes Under the New Rule</w:t>
      </w:r>
    </w:p>
    <w:p w14:paraId="37B1EF90" w14:textId="77777777" w:rsidR="001C5F42" w:rsidRPr="00DD7BD1" w:rsidRDefault="001C5F42" w:rsidP="001C5F42">
      <w:pPr>
        <w:spacing w:after="0" w:line="240" w:lineRule="auto"/>
        <w:rPr>
          <w:rFonts w:ascii="Calibri" w:hAnsi="Calibri" w:cs="Calibri"/>
        </w:rPr>
      </w:pPr>
      <w:r w:rsidRPr="00DD7BD1">
        <w:rPr>
          <w:rFonts w:ascii="Calibri" w:hAnsi="Calibri" w:cs="Calibri"/>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Pr="00DD7BD1" w:rsidRDefault="001C5F42" w:rsidP="001C5F42">
      <w:pPr>
        <w:spacing w:after="0" w:line="240" w:lineRule="auto"/>
        <w:rPr>
          <w:rFonts w:ascii="Calibri" w:hAnsi="Calibri" w:cs="Calibri"/>
          <w:b/>
          <w:bCs/>
        </w:rPr>
      </w:pPr>
    </w:p>
    <w:p w14:paraId="7CA5C01D"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Legal and Practical Implications</w:t>
      </w:r>
    </w:p>
    <w:p w14:paraId="7DC801CE" w14:textId="77777777" w:rsidR="001C5F42" w:rsidRPr="00DD7BD1" w:rsidRDefault="001C5F42" w:rsidP="001C5F42">
      <w:pPr>
        <w:spacing w:after="0" w:line="240" w:lineRule="auto"/>
        <w:rPr>
          <w:rFonts w:ascii="Calibri" w:hAnsi="Calibri" w:cs="Calibri"/>
        </w:rPr>
      </w:pPr>
      <w:bookmarkStart w:id="41" w:name="_Hlk175058135"/>
      <w:r w:rsidRPr="00DD7BD1">
        <w:rPr>
          <w:rFonts w:ascii="Calibri" w:hAnsi="Calibri" w:cs="Calibri"/>
        </w:rPr>
        <w:t>The new rule has generated mixed reactions.</w:t>
      </w:r>
      <w:bookmarkEnd w:id="41"/>
      <w:r w:rsidRPr="00DD7BD1">
        <w:rPr>
          <w:rFonts w:ascii="Calibri" w:hAnsi="Calibri" w:cs="Calibri"/>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DD7BD1" w:rsidRDefault="001C5F42" w:rsidP="001C5F42">
      <w:pPr>
        <w:spacing w:after="0" w:line="240" w:lineRule="auto"/>
        <w:rPr>
          <w:rFonts w:ascii="Calibri" w:hAnsi="Calibri" w:cs="Calibri"/>
        </w:rPr>
      </w:pPr>
      <w:bookmarkStart w:id="42" w:name="_Hlk175058163"/>
      <w:r w:rsidRPr="00DD7BD1">
        <w:rPr>
          <w:rFonts w:ascii="Calibri" w:hAnsi="Calibri" w:cs="Calibri"/>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42"/>
    <w:p w14:paraId="280ECFAC" w14:textId="77777777" w:rsidR="001C5F42" w:rsidRPr="00DD7BD1" w:rsidRDefault="001C5F42" w:rsidP="001C5F42">
      <w:pPr>
        <w:spacing w:after="0" w:line="240" w:lineRule="auto"/>
        <w:rPr>
          <w:rFonts w:ascii="Calibri" w:hAnsi="Calibri" w:cs="Calibri"/>
          <w:b/>
          <w:bCs/>
        </w:rPr>
      </w:pPr>
    </w:p>
    <w:p w14:paraId="5B41CB14"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Addressing Compliance</w:t>
      </w:r>
    </w:p>
    <w:p w14:paraId="0618B70E" w14:textId="77777777" w:rsidR="001C5F42" w:rsidRPr="00DD7BD1" w:rsidRDefault="001C5F42" w:rsidP="001C5F42">
      <w:pPr>
        <w:spacing w:after="0" w:line="240" w:lineRule="auto"/>
        <w:rPr>
          <w:rFonts w:ascii="Calibri" w:hAnsi="Calibri" w:cs="Calibri"/>
        </w:rPr>
      </w:pPr>
      <w:r w:rsidRPr="00DD7BD1">
        <w:rPr>
          <w:rFonts w:ascii="Calibri" w:hAnsi="Calibri" w:cs="Calibri"/>
        </w:rPr>
        <w:lastRenderedPageBreak/>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 Access the original July 10</w:t>
      </w:r>
      <w:r w:rsidRPr="00DD7BD1">
        <w:rPr>
          <w:rFonts w:ascii="Calibri" w:hAnsi="Calibri" w:cs="Calibri"/>
          <w:vertAlign w:val="superscript"/>
        </w:rPr>
        <w:t>th</w:t>
      </w:r>
      <w:r w:rsidRPr="00DD7BD1">
        <w:rPr>
          <w:rFonts w:ascii="Calibri" w:hAnsi="Calibri" w:cs="Calibri"/>
        </w:rPr>
        <w:t xml:space="preserve"> Barnes &amp; Thornburg, LLP article </w:t>
      </w:r>
      <w:hyperlink r:id="rId444" w:anchor="page=1" w:history="1">
        <w:r w:rsidRPr="00DD7BD1">
          <w:rPr>
            <w:rStyle w:val="Hyperlink"/>
            <w:rFonts w:ascii="Calibri" w:hAnsi="Calibri" w:cs="Calibri"/>
          </w:rPr>
          <w:t>HERE</w:t>
        </w:r>
      </w:hyperlink>
    </w:p>
    <w:p w14:paraId="7D334011" w14:textId="77777777" w:rsidR="001C5F42" w:rsidRPr="00DD7BD1" w:rsidRDefault="001C5F42" w:rsidP="001C5F42">
      <w:pPr>
        <w:spacing w:after="0" w:line="240" w:lineRule="auto"/>
        <w:rPr>
          <w:rFonts w:ascii="Calibri" w:hAnsi="Calibri" w:cs="Calibri"/>
        </w:rPr>
      </w:pPr>
    </w:p>
    <w:p w14:paraId="7DBE6B80" w14:textId="4E271D1C" w:rsidR="001C5F42" w:rsidRPr="00DD7BD1" w:rsidRDefault="001C5F42" w:rsidP="001C5F42">
      <w:pPr>
        <w:spacing w:after="0" w:line="240" w:lineRule="auto"/>
        <w:rPr>
          <w:rFonts w:ascii="Calibri" w:hAnsi="Calibri" w:cs="Calibri"/>
        </w:rPr>
      </w:pPr>
      <w:bookmarkStart w:id="43" w:name="_Hlk175058168"/>
      <w:r w:rsidRPr="00DD7BD1">
        <w:rPr>
          <w:rFonts w:ascii="Calibri" w:hAnsi="Calibri" w:cs="Calibri"/>
        </w:rPr>
        <w:t>ETC will continue to monitor the situation.  In the interim, employers are best positioned adhering to the federally enacted changes.</w:t>
      </w:r>
      <w:bookmarkEnd w:id="43"/>
    </w:p>
    <w:p w14:paraId="0A23B98D" w14:textId="77777777" w:rsidR="001C5F42" w:rsidRPr="00DD7BD1" w:rsidRDefault="001C5F42" w:rsidP="00D11F7B">
      <w:pPr>
        <w:pStyle w:val="Heading1"/>
        <w:shd w:val="clear" w:color="auto" w:fill="FFFFFF"/>
        <w:spacing w:before="0" w:beforeAutospacing="0" w:after="0" w:afterAutospacing="0" w:line="264" w:lineRule="atLeast"/>
        <w:jc w:val="center"/>
        <w:rPr>
          <w:rFonts w:ascii="Calibri" w:hAnsi="Calibri" w:cs="Calibri"/>
          <w:kern w:val="0"/>
          <w:sz w:val="22"/>
          <w:szCs w:val="22"/>
        </w:rPr>
      </w:pPr>
    </w:p>
    <w:p w14:paraId="798E0AED" w14:textId="0481FF17" w:rsidR="00D11F7B" w:rsidRPr="00DD7BD1" w:rsidRDefault="00D11F7B" w:rsidP="00D11F7B">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EEOC Announces “Failure to File” Deadline for 2023 EEO-1 Reports - July 9</w:t>
      </w:r>
    </w:p>
    <w:p w14:paraId="59461F41"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The U.S. Equal Employment Opportunity Commission (EEOC) </w:t>
      </w:r>
      <w:hyperlink r:id="rId445" w:history="1">
        <w:r w:rsidRPr="00DD7BD1">
          <w:rPr>
            <w:rStyle w:val="Hyperlink"/>
            <w:rFonts w:ascii="Calibri" w:hAnsi="Calibri" w:cs="Calibri"/>
          </w:rPr>
          <w:t>announced</w:t>
        </w:r>
      </w:hyperlink>
      <w:r w:rsidRPr="00DD7BD1">
        <w:rPr>
          <w:rFonts w:ascii="Calibri" w:hAnsi="Calibri" w:cs="Calibri"/>
        </w:rPr>
        <w:t xml:space="preserve"> that it had entered the “Failure to File” phase for EEO-1 reporting, as described in the agency’s recently updated </w:t>
      </w:r>
      <w:hyperlink r:id="rId446" w:history="1">
        <w:r w:rsidRPr="00DD7BD1">
          <w:rPr>
            <w:rStyle w:val="Hyperlink"/>
            <w:rFonts w:ascii="Calibri" w:hAnsi="Calibri" w:cs="Calibri"/>
          </w:rPr>
          <w:t>EEO-1 Reporting Instruction Booklet</w:t>
        </w:r>
      </w:hyperlink>
      <w:r w:rsidRPr="00DD7BD1">
        <w:rPr>
          <w:rFonts w:ascii="Calibri" w:hAnsi="Calibri" w:cs="Calibri"/>
        </w:rPr>
        <w:t xml:space="preserve">. The EEOC offers a </w:t>
      </w:r>
      <w:hyperlink r:id="rId447" w:history="1">
        <w:r w:rsidRPr="00DD7BD1">
          <w:rPr>
            <w:rStyle w:val="Hyperlink"/>
            <w:rFonts w:ascii="Calibri" w:hAnsi="Calibri" w:cs="Calibri"/>
          </w:rPr>
          <w:t>fact sheet</w:t>
        </w:r>
      </w:hyperlink>
      <w:r w:rsidRPr="00DD7BD1">
        <w:rPr>
          <w:rFonts w:ascii="Calibri" w:hAnsi="Calibri" w:cs="Calibri"/>
        </w:rPr>
        <w:t xml:space="preserve"> regarding the failure to file deadline. </w:t>
      </w:r>
    </w:p>
    <w:p w14:paraId="7229F5E0" w14:textId="77777777" w:rsidR="00D11F7B" w:rsidRPr="00DD7BD1" w:rsidRDefault="00D11F7B" w:rsidP="00D11F7B">
      <w:pPr>
        <w:pStyle w:val="ParagraphBasic"/>
        <w:spacing w:after="0" w:line="240" w:lineRule="auto"/>
        <w:jc w:val="both"/>
        <w:rPr>
          <w:rFonts w:ascii="Calibri" w:hAnsi="Calibri" w:cs="Calibri"/>
          <w:sz w:val="16"/>
          <w:szCs w:val="16"/>
        </w:rPr>
      </w:pPr>
    </w:p>
    <w:p w14:paraId="4ECA767B"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D7BD1">
        <w:rPr>
          <w:rFonts w:ascii="Calibri" w:hAnsi="Calibri" w:cs="Calibri"/>
          <w:b/>
          <w:bCs/>
        </w:rPr>
        <w:t>July 9, 2024</w:t>
      </w:r>
      <w:r w:rsidRPr="00DD7BD1">
        <w:rPr>
          <w:rFonts w:ascii="Calibri" w:hAnsi="Calibri" w:cs="Calibri"/>
        </w:rPr>
        <w:t xml:space="preserve">. </w:t>
      </w:r>
    </w:p>
    <w:p w14:paraId="483019EF" w14:textId="77777777" w:rsidR="00D11F7B" w:rsidRPr="00DD7BD1" w:rsidRDefault="00D11F7B" w:rsidP="00D11F7B">
      <w:pPr>
        <w:pStyle w:val="ParagraphBasic"/>
        <w:spacing w:after="0" w:line="240" w:lineRule="auto"/>
        <w:jc w:val="both"/>
        <w:rPr>
          <w:rFonts w:ascii="Calibri" w:hAnsi="Calibri" w:cs="Calibri"/>
        </w:rPr>
      </w:pPr>
    </w:p>
    <w:p w14:paraId="785FCA13"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After this date, which is deemed the </w:t>
      </w:r>
      <w:r w:rsidRPr="00DD7BD1">
        <w:rPr>
          <w:rFonts w:ascii="Calibri" w:hAnsi="Calibri" w:cs="Calibri"/>
          <w:b/>
          <w:bCs/>
        </w:rPr>
        <w:t>“Failure to File” deadline</w:t>
      </w:r>
      <w:r w:rsidRPr="00DD7BD1">
        <w:rPr>
          <w:rFonts w:ascii="Calibri" w:hAnsi="Calibri" w:cs="Calibri"/>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DD7BD1" w:rsidRDefault="00D11F7B" w:rsidP="00D11F7B">
      <w:pPr>
        <w:pStyle w:val="ColorSubheading"/>
        <w:rPr>
          <w:rFonts w:ascii="Calibri" w:hAnsi="Calibri" w:cs="Calibri"/>
          <w:sz w:val="16"/>
          <w:szCs w:val="16"/>
        </w:rPr>
      </w:pPr>
    </w:p>
    <w:p w14:paraId="3B940A3A" w14:textId="77777777" w:rsidR="00D11F7B" w:rsidRPr="00DD7BD1" w:rsidRDefault="00D11F7B" w:rsidP="00D11F7B">
      <w:pPr>
        <w:pStyle w:val="ColorSubheading"/>
        <w:rPr>
          <w:rFonts w:ascii="Calibri" w:hAnsi="Calibri" w:cs="Calibri"/>
          <w:sz w:val="22"/>
          <w:szCs w:val="22"/>
        </w:rPr>
      </w:pPr>
      <w:r w:rsidRPr="00DD7BD1">
        <w:rPr>
          <w:rFonts w:ascii="Calibri" w:hAnsi="Calibri" w:cs="Calibri"/>
          <w:sz w:val="22"/>
          <w:szCs w:val="22"/>
        </w:rPr>
        <w:t xml:space="preserve">Reminder: Who </w:t>
      </w:r>
      <w:proofErr w:type="gramStart"/>
      <w:r w:rsidRPr="00DD7BD1">
        <w:rPr>
          <w:rFonts w:ascii="Calibri" w:hAnsi="Calibri" w:cs="Calibri"/>
          <w:sz w:val="22"/>
          <w:szCs w:val="22"/>
        </w:rPr>
        <w:t>is</w:t>
      </w:r>
      <w:proofErr w:type="gramEnd"/>
      <w:r w:rsidRPr="00DD7BD1">
        <w:rPr>
          <w:rFonts w:ascii="Calibri" w:hAnsi="Calibri" w:cs="Calibri"/>
          <w:sz w:val="22"/>
          <w:szCs w:val="22"/>
        </w:rPr>
        <w:t xml:space="preserve"> </w:t>
      </w:r>
      <w:proofErr w:type="gramStart"/>
      <w:r w:rsidRPr="00DD7BD1">
        <w:rPr>
          <w:rFonts w:ascii="Calibri" w:hAnsi="Calibri" w:cs="Calibri"/>
          <w:sz w:val="22"/>
          <w:szCs w:val="22"/>
        </w:rPr>
        <w:t>a Covered Employers</w:t>
      </w:r>
      <w:proofErr w:type="gramEnd"/>
      <w:r w:rsidRPr="00DD7BD1">
        <w:rPr>
          <w:rFonts w:ascii="Calibri" w:hAnsi="Calibri" w:cs="Calibri"/>
          <w:sz w:val="22"/>
          <w:szCs w:val="22"/>
        </w:rPr>
        <w:t>?</w:t>
      </w:r>
    </w:p>
    <w:p w14:paraId="395935FA"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The following entities are subject to EEO-1 reporting:</w:t>
      </w:r>
    </w:p>
    <w:p w14:paraId="2E7888AB"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rPr>
        <w:t>private employer</w:t>
      </w:r>
      <w:r w:rsidRPr="00DD7BD1">
        <w:rPr>
          <w:rFonts w:ascii="Calibri" w:hAnsi="Calibri" w:cs="Calibri"/>
        </w:rPr>
        <w:t xml:space="preserve"> that has </w:t>
      </w:r>
      <w:r w:rsidRPr="00DD7BD1">
        <w:rPr>
          <w:rFonts w:ascii="Calibri" w:hAnsi="Calibri" w:cs="Calibri"/>
          <w:b/>
        </w:rPr>
        <w:t>100 or more employees</w:t>
      </w:r>
      <w:r w:rsidRPr="00DD7BD1">
        <w:rPr>
          <w:rFonts w:ascii="Calibri" w:hAnsi="Calibri" w:cs="Calibri"/>
        </w:rPr>
        <w:t xml:space="preserve"> (with limited exceptions for schools and other organizations);</w:t>
      </w:r>
    </w:p>
    <w:p w14:paraId="611FE195"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bCs/>
        </w:rPr>
        <w:t>private employer</w:t>
      </w:r>
      <w:r w:rsidRPr="00DD7BD1">
        <w:rPr>
          <w:rFonts w:ascii="Calibri" w:hAnsi="Calibri" w:cs="Calibri"/>
        </w:rPr>
        <w:t xml:space="preserve"> with </w:t>
      </w:r>
      <w:r w:rsidRPr="00DD7BD1">
        <w:rPr>
          <w:rFonts w:ascii="Calibri" w:hAnsi="Calibri" w:cs="Calibri"/>
          <w:b/>
          <w:bCs/>
        </w:rPr>
        <w:t>between 15 and 99 employees</w:t>
      </w:r>
      <w:r w:rsidRPr="00DD7BD1">
        <w:rPr>
          <w:rFonts w:ascii="Calibri" w:hAnsi="Calibri" w:cs="Calibri"/>
        </w:rPr>
        <w:t xml:space="preserve"> if it is part of a group of employers that legally constitutes a single enterprise that employs a total of 100 or more employees; and</w:t>
      </w:r>
    </w:p>
    <w:p w14:paraId="1F1E0CB0" w14:textId="77777777" w:rsidR="00D11F7B" w:rsidRPr="00DD7BD1" w:rsidRDefault="00D11F7B" w:rsidP="00D11F7B">
      <w:pPr>
        <w:pStyle w:val="BList1"/>
        <w:spacing w:before="0" w:after="0" w:line="240" w:lineRule="auto"/>
        <w:jc w:val="both"/>
        <w:rPr>
          <w:rFonts w:ascii="Calibri" w:eastAsia="Times New Roman" w:hAnsi="Calibri" w:cs="Calibri"/>
          <w:b/>
          <w:color w:val="595959"/>
        </w:rPr>
      </w:pPr>
      <w:r w:rsidRPr="00DD7BD1">
        <w:rPr>
          <w:rFonts w:ascii="Calibri" w:hAnsi="Calibri" w:cs="Calibri"/>
        </w:rPr>
        <w:t xml:space="preserve">A </w:t>
      </w:r>
      <w:r w:rsidRPr="00DD7BD1">
        <w:rPr>
          <w:rFonts w:ascii="Calibri" w:hAnsi="Calibri" w:cs="Calibri"/>
          <w:b/>
        </w:rPr>
        <w:t>federal contractor</w:t>
      </w:r>
      <w:r w:rsidRPr="00DD7BD1">
        <w:rPr>
          <w:rFonts w:ascii="Calibri" w:hAnsi="Calibri" w:cs="Calibri"/>
        </w:rPr>
        <w:t xml:space="preserve"> that has </w:t>
      </w:r>
      <w:r w:rsidRPr="00DD7BD1">
        <w:rPr>
          <w:rFonts w:ascii="Calibri" w:hAnsi="Calibri" w:cs="Calibri"/>
          <w:b/>
        </w:rPr>
        <w:t>50 or more employees</w:t>
      </w:r>
      <w:r w:rsidRPr="00DD7BD1">
        <w:rPr>
          <w:rFonts w:ascii="Calibri" w:hAnsi="Calibri" w:cs="Calibri"/>
        </w:rPr>
        <w:t xml:space="preserve">; is either a prime contractor or first-tier subcontractor; and has a contract, subcontract or purchase order amounting to </w:t>
      </w:r>
      <w:r w:rsidRPr="00DD7BD1">
        <w:rPr>
          <w:rFonts w:ascii="Calibri" w:hAnsi="Calibri" w:cs="Calibri"/>
          <w:b/>
        </w:rPr>
        <w:t>$50,000</w:t>
      </w:r>
      <w:r w:rsidRPr="00DD7BD1">
        <w:rPr>
          <w:rFonts w:ascii="Calibri" w:hAnsi="Calibri" w:cs="Calibri"/>
        </w:rPr>
        <w:t xml:space="preserve"> or more</w:t>
      </w:r>
      <w:r w:rsidRPr="00DD7BD1">
        <w:rPr>
          <w:rFonts w:ascii="Calibri" w:eastAsia="Times New Roman" w:hAnsi="Calibri" w:cs="Calibri"/>
          <w:b/>
          <w:color w:val="595959"/>
        </w:rPr>
        <w:t>.</w:t>
      </w:r>
    </w:p>
    <w:p w14:paraId="7CB7F280" w14:textId="77777777" w:rsidR="00CD70B8" w:rsidRPr="00DD7BD1" w:rsidRDefault="00CD70B8" w:rsidP="009D5684">
      <w:pPr>
        <w:spacing w:after="0" w:line="240" w:lineRule="auto"/>
        <w:rPr>
          <w:rFonts w:ascii="Calibri" w:eastAsia="Times New Roman" w:hAnsi="Calibri" w:cs="Calibri"/>
          <w:b/>
          <w:bCs/>
        </w:rPr>
      </w:pPr>
    </w:p>
    <w:p w14:paraId="389421ED" w14:textId="77777777" w:rsidR="00FC0387" w:rsidRDefault="00FC0387" w:rsidP="00D11F7B">
      <w:pPr>
        <w:spacing w:after="0" w:line="240" w:lineRule="auto"/>
        <w:jc w:val="center"/>
        <w:rPr>
          <w:rFonts w:ascii="Calibri" w:eastAsia="Times New Roman" w:hAnsi="Calibri" w:cs="Calibri"/>
          <w:b/>
          <w:bCs/>
          <w:sz w:val="28"/>
          <w:szCs w:val="28"/>
        </w:rPr>
      </w:pPr>
    </w:p>
    <w:p w14:paraId="0DFFA01C" w14:textId="77777777" w:rsidR="00FC0387" w:rsidRDefault="00FC0387" w:rsidP="00D11F7B">
      <w:pPr>
        <w:spacing w:after="0" w:line="240" w:lineRule="auto"/>
        <w:jc w:val="center"/>
        <w:rPr>
          <w:rFonts w:ascii="Calibri" w:eastAsia="Times New Roman" w:hAnsi="Calibri" w:cs="Calibri"/>
          <w:b/>
          <w:bCs/>
          <w:sz w:val="28"/>
          <w:szCs w:val="28"/>
        </w:rPr>
      </w:pPr>
    </w:p>
    <w:p w14:paraId="08AE47E5" w14:textId="77777777" w:rsidR="00FC0387" w:rsidRDefault="00FC0387" w:rsidP="00D11F7B">
      <w:pPr>
        <w:spacing w:after="0" w:line="240" w:lineRule="auto"/>
        <w:jc w:val="center"/>
        <w:rPr>
          <w:rFonts w:ascii="Calibri" w:eastAsia="Times New Roman" w:hAnsi="Calibri" w:cs="Calibri"/>
          <w:b/>
          <w:bCs/>
          <w:sz w:val="28"/>
          <w:szCs w:val="28"/>
        </w:rPr>
      </w:pPr>
    </w:p>
    <w:p w14:paraId="59994464" w14:textId="22AE02CD" w:rsidR="00D11F7B" w:rsidRPr="00DD7BD1" w:rsidRDefault="00D11F7B" w:rsidP="00D11F7B">
      <w:pPr>
        <w:spacing w:after="0" w:line="240" w:lineRule="auto"/>
        <w:jc w:val="center"/>
        <w:rPr>
          <w:rFonts w:ascii="Calibri" w:eastAsia="Times New Roman" w:hAnsi="Calibri" w:cs="Calibri"/>
          <w:b/>
          <w:bCs/>
          <w:color w:val="282828"/>
          <w:sz w:val="28"/>
          <w:szCs w:val="28"/>
        </w:rPr>
      </w:pPr>
      <w:r w:rsidRPr="00DD7BD1">
        <w:rPr>
          <w:rFonts w:ascii="Calibri" w:eastAsia="Times New Roman" w:hAnsi="Calibri" w:cs="Calibri"/>
          <w:b/>
          <w:bCs/>
          <w:sz w:val="28"/>
          <w:szCs w:val="28"/>
        </w:rPr>
        <w:t>Federal: DOL Increases Exempt Employee Minimum Salaries - July 1</w:t>
      </w:r>
    </w:p>
    <w:p w14:paraId="67E18DB0"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448" w:tgtFrame="_blank" w:history="1">
        <w:r w:rsidRPr="00DD7BD1">
          <w:rPr>
            <w:rStyle w:val="Hyperlink"/>
            <w:rFonts w:ascii="Calibri" w:hAnsi="Calibri" w:cs="Calibri"/>
          </w:rPr>
          <w:t>here</w:t>
        </w:r>
      </w:hyperlink>
      <w:r w:rsidRPr="00DD7BD1">
        <w:rPr>
          <w:rFonts w:ascii="Calibri" w:eastAsia="Times New Roman" w:hAnsi="Calibri" w:cs="Calibri"/>
        </w:rPr>
        <w:t>—</w:t>
      </w:r>
      <w:r w:rsidRPr="00DD7BD1">
        <w:rPr>
          <w:rFonts w:ascii="Calibri" w:eastAsia="Times New Roman" w:hAnsi="Calibri" w:cs="Calibri"/>
          <w:color w:val="000000" w:themeColor="text1"/>
        </w:rPr>
        <w:t>the relevant changes start on page 130 of the downloadable PDF.</w:t>
      </w:r>
    </w:p>
    <w:p w14:paraId="53057F37"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sz w:val="12"/>
          <w:szCs w:val="12"/>
        </w:rPr>
      </w:pPr>
    </w:p>
    <w:p w14:paraId="14EE3880" w14:textId="77777777" w:rsidR="00D11F7B" w:rsidRPr="00DD7BD1" w:rsidRDefault="00D11F7B" w:rsidP="00D11F7B">
      <w:pPr>
        <w:shd w:val="clear" w:color="auto" w:fill="FFFFFF"/>
        <w:spacing w:after="0" w:line="240" w:lineRule="auto"/>
        <w:outlineLvl w:val="0"/>
        <w:rPr>
          <w:rFonts w:ascii="Calibri" w:eastAsia="Times New Roman" w:hAnsi="Calibri" w:cs="Calibri"/>
          <w:color w:val="000000" w:themeColor="text1"/>
          <w:kern w:val="36"/>
        </w:rPr>
      </w:pPr>
      <w:r w:rsidRPr="00DD7BD1">
        <w:rPr>
          <w:rFonts w:ascii="Calibri" w:eastAsia="Times New Roman" w:hAnsi="Calibri" w:cs="Calibri"/>
          <w:color w:val="000000" w:themeColor="text1"/>
          <w:kern w:val="36"/>
        </w:rPr>
        <w:t>Executive, Administrative, and Professional Employees</w:t>
      </w:r>
    </w:p>
    <w:p w14:paraId="11FA3FF9"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Under the new rule, exempt </w:t>
      </w:r>
      <w:r w:rsidRPr="00DD7BD1">
        <w:rPr>
          <w:rFonts w:ascii="Calibri" w:eastAsia="Times New Roman" w:hAnsi="Calibri" w:cs="Calibri"/>
          <w:i/>
          <w:iCs/>
          <w:color w:val="000000" w:themeColor="text1"/>
        </w:rPr>
        <w:t>executive</w:t>
      </w:r>
      <w:r w:rsidRPr="00DD7BD1">
        <w:rPr>
          <w:rFonts w:ascii="Calibri" w:eastAsia="Times New Roman" w:hAnsi="Calibri" w:cs="Calibri"/>
          <w:color w:val="000000" w:themeColor="text1"/>
        </w:rPr>
        <w:t>, </w:t>
      </w:r>
      <w:r w:rsidRPr="00DD7BD1">
        <w:rPr>
          <w:rFonts w:ascii="Calibri" w:eastAsia="Times New Roman" w:hAnsi="Calibri" w:cs="Calibri"/>
          <w:i/>
          <w:iCs/>
          <w:color w:val="000000" w:themeColor="text1"/>
        </w:rPr>
        <w:t>administrative</w:t>
      </w:r>
      <w:r w:rsidRPr="00DD7BD1">
        <w:rPr>
          <w:rFonts w:ascii="Calibri" w:eastAsia="Times New Roman" w:hAnsi="Calibri" w:cs="Calibri"/>
          <w:color w:val="000000" w:themeColor="text1"/>
        </w:rPr>
        <w:t>, and </w:t>
      </w:r>
      <w:r w:rsidRPr="00DD7BD1">
        <w:rPr>
          <w:rFonts w:ascii="Calibri" w:eastAsia="Times New Roman" w:hAnsi="Calibri" w:cs="Calibri"/>
          <w:i/>
          <w:iCs/>
          <w:color w:val="000000" w:themeColor="text1"/>
        </w:rPr>
        <w:t>professional</w:t>
      </w:r>
      <w:r w:rsidRPr="00DD7BD1">
        <w:rPr>
          <w:rFonts w:ascii="Calibri" w:eastAsia="Times New Roman" w:hAnsi="Calibri" w:cs="Calibri"/>
          <w:color w:val="000000" w:themeColor="text1"/>
        </w:rPr>
        <w:t> employees (often referred to collectively as “EAP” employees) must be paid at least:</w:t>
      </w:r>
    </w:p>
    <w:p w14:paraId="4874F325"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color w:val="000000" w:themeColor="text1"/>
        </w:rPr>
        <w:t>$844 per week</w:t>
      </w:r>
      <w:r w:rsidRPr="00DD7BD1">
        <w:rPr>
          <w:rFonts w:ascii="Calibri" w:eastAsia="Times New Roman" w:hAnsi="Calibri" w:cs="Calibri"/>
          <w:color w:val="000000" w:themeColor="text1"/>
        </w:rPr>
        <w:t xml:space="preserve"> ($43,888 per year) beginning </w:t>
      </w:r>
      <w:r w:rsidRPr="00DD7BD1">
        <w:rPr>
          <w:rFonts w:ascii="Calibri" w:eastAsia="Times New Roman" w:hAnsi="Calibri" w:cs="Calibri"/>
        </w:rPr>
        <w:t>on </w:t>
      </w:r>
      <w:r w:rsidRPr="00DD7BD1">
        <w:rPr>
          <w:rFonts w:ascii="Calibri" w:eastAsia="Times New Roman" w:hAnsi="Calibri" w:cs="Calibri"/>
          <w:b/>
          <w:bCs/>
        </w:rPr>
        <w:t>July 1, 2024</w:t>
      </w:r>
    </w:p>
    <w:p w14:paraId="49A0BB6A"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$1,128 per week </w:t>
      </w:r>
      <w:r w:rsidRPr="00DD7BD1">
        <w:rPr>
          <w:rFonts w:ascii="Calibri" w:eastAsia="Times New Roman" w:hAnsi="Calibri" w:cs="Calibri"/>
        </w:rPr>
        <w:t>($58,656 per year) beginning on </w:t>
      </w:r>
      <w:r w:rsidRPr="00DD7BD1">
        <w:rPr>
          <w:rFonts w:ascii="Calibri" w:eastAsia="Times New Roman" w:hAnsi="Calibri" w:cs="Calibri"/>
          <w:b/>
          <w:bCs/>
        </w:rPr>
        <w:t>January 1, 2025</w:t>
      </w:r>
    </w:p>
    <w:p w14:paraId="3642BDB5" w14:textId="77777777" w:rsidR="00D11F7B" w:rsidRPr="00DD7BD1" w:rsidRDefault="00D11F7B" w:rsidP="00D11F7B">
      <w:pPr>
        <w:shd w:val="clear" w:color="auto" w:fill="FFFFFF"/>
        <w:spacing w:after="0" w:line="240" w:lineRule="auto"/>
        <w:outlineLvl w:val="1"/>
        <w:rPr>
          <w:rFonts w:ascii="Calibri" w:eastAsia="Times New Roman" w:hAnsi="Calibri" w:cs="Calibri"/>
          <w:b/>
          <w:bCs/>
          <w:sz w:val="12"/>
          <w:szCs w:val="12"/>
        </w:rPr>
      </w:pPr>
    </w:p>
    <w:p w14:paraId="39748752" w14:textId="77777777" w:rsidR="00D11F7B" w:rsidRPr="00DD7BD1" w:rsidRDefault="00D11F7B" w:rsidP="00D11F7B">
      <w:pPr>
        <w:shd w:val="clear" w:color="auto" w:fill="FFFFFF"/>
        <w:spacing w:after="0" w:line="240" w:lineRule="auto"/>
        <w:outlineLvl w:val="1"/>
        <w:rPr>
          <w:rFonts w:ascii="Calibri" w:eastAsia="Times New Roman" w:hAnsi="Calibri" w:cs="Calibri"/>
          <w:b/>
          <w:bCs/>
        </w:rPr>
      </w:pPr>
      <w:r w:rsidRPr="00DD7BD1">
        <w:rPr>
          <w:rFonts w:ascii="Calibri" w:eastAsia="Times New Roman" w:hAnsi="Calibri" w:cs="Calibri"/>
          <w:b/>
          <w:bCs/>
        </w:rPr>
        <w:t>Exceptions</w:t>
      </w:r>
    </w:p>
    <w:p w14:paraId="467821F7"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Pr="00DD7BD1" w:rsidRDefault="00434AFC" w:rsidP="00D11F7B">
      <w:pPr>
        <w:shd w:val="clear" w:color="auto" w:fill="FFFFFF"/>
        <w:spacing w:after="0" w:line="240" w:lineRule="auto"/>
        <w:outlineLvl w:val="0"/>
        <w:rPr>
          <w:rFonts w:ascii="Calibri" w:eastAsia="Times New Roman" w:hAnsi="Calibri" w:cs="Calibri"/>
          <w:b/>
          <w:bCs/>
          <w:kern w:val="36"/>
        </w:rPr>
      </w:pPr>
    </w:p>
    <w:p w14:paraId="07411EC4" w14:textId="4EC15D92"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Computer Employees</w:t>
      </w:r>
    </w:p>
    <w:p w14:paraId="6845FA7A"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Exempt computer employees can be paid on a salary </w:t>
      </w:r>
      <w:r w:rsidRPr="00DD7BD1">
        <w:rPr>
          <w:rFonts w:ascii="Calibri" w:eastAsia="Times New Roman" w:hAnsi="Calibri" w:cs="Calibri"/>
          <w:i/>
          <w:iCs/>
        </w:rPr>
        <w:t>or</w:t>
      </w:r>
      <w:r w:rsidRPr="00DD7BD1">
        <w:rPr>
          <w:rFonts w:ascii="Calibri" w:eastAsia="Times New Roman" w:hAnsi="Calibri" w:cs="Calibri"/>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23C930DE"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Highly Compensated Employees (HCE)</w:t>
      </w:r>
    </w:p>
    <w:p w14:paraId="78648BDD"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Employees who are exempt under the HCE exemption must be paid at least the minimums listed above on a salary basis </w:t>
      </w:r>
      <w:r w:rsidRPr="00DD7BD1">
        <w:rPr>
          <w:rFonts w:ascii="Calibri" w:eastAsia="Times New Roman" w:hAnsi="Calibri" w:cs="Calibri"/>
          <w:i/>
          <w:iCs/>
        </w:rPr>
        <w:t>and</w:t>
      </w:r>
      <w:r w:rsidRPr="00DD7BD1">
        <w:rPr>
          <w:rFonts w:ascii="Calibri" w:eastAsia="Times New Roman" w:hAnsi="Calibri" w:cs="Calibri"/>
        </w:rPr>
        <w:t> receive total annual compensation of at least:</w:t>
      </w:r>
    </w:p>
    <w:p w14:paraId="4456879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$132,964 per year</w:t>
      </w:r>
      <w:r w:rsidRPr="00DD7BD1">
        <w:rPr>
          <w:rFonts w:ascii="Calibri" w:eastAsia="Times New Roman" w:hAnsi="Calibri" w:cs="Calibri"/>
          <w:color w:val="282828"/>
        </w:rPr>
        <w:t> beginning </w:t>
      </w:r>
      <w:r w:rsidRPr="00DD7BD1">
        <w:rPr>
          <w:rFonts w:ascii="Calibri" w:eastAsia="Times New Roman" w:hAnsi="Calibri" w:cs="Calibri"/>
          <w:b/>
          <w:bCs/>
        </w:rPr>
        <w:t>July 1, 2024</w:t>
      </w:r>
    </w:p>
    <w:p w14:paraId="469D3BE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$151,164 per year</w:t>
      </w:r>
      <w:r w:rsidRPr="00DD7BD1">
        <w:rPr>
          <w:rFonts w:ascii="Calibri" w:eastAsia="Times New Roman" w:hAnsi="Calibri" w:cs="Calibri"/>
          <w:color w:val="282828"/>
        </w:rPr>
        <w:t> beginning </w:t>
      </w:r>
      <w:r w:rsidRPr="00DD7BD1">
        <w:rPr>
          <w:rFonts w:ascii="Calibri" w:eastAsia="Times New Roman" w:hAnsi="Calibri" w:cs="Calibri"/>
          <w:b/>
          <w:bCs/>
          <w:color w:val="282828"/>
        </w:rPr>
        <w:t>January 1, 2025</w:t>
      </w:r>
    </w:p>
    <w:p w14:paraId="191094D1" w14:textId="77777777" w:rsidR="00D11F7B" w:rsidRPr="00DD7BD1" w:rsidRDefault="00D11F7B" w:rsidP="00D11F7B">
      <w:pPr>
        <w:shd w:val="clear" w:color="auto" w:fill="FFFFFF"/>
        <w:spacing w:after="0" w:line="240" w:lineRule="auto"/>
        <w:outlineLvl w:val="0"/>
        <w:rPr>
          <w:rFonts w:ascii="Calibri" w:eastAsia="Times New Roman" w:hAnsi="Calibri" w:cs="Calibri"/>
          <w:color w:val="282828"/>
          <w:kern w:val="36"/>
          <w:sz w:val="12"/>
          <w:szCs w:val="12"/>
        </w:rPr>
      </w:pPr>
    </w:p>
    <w:p w14:paraId="2C29E5BA"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State Law</w:t>
      </w:r>
    </w:p>
    <w:p w14:paraId="5E5ED534"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As usual, if a state law requires higher minimum salaries than what is required by the federal rule, the state minimums must be followed.</w:t>
      </w:r>
    </w:p>
    <w:p w14:paraId="7726146A"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0AEA0F43"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Potential Challenges</w:t>
      </w:r>
    </w:p>
    <w:p w14:paraId="50582E6B"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p>
    <w:p w14:paraId="1D9715F2" w14:textId="77777777" w:rsidR="00ED4076" w:rsidRPr="00DD7BD1" w:rsidRDefault="00ED4076" w:rsidP="00D11F7B">
      <w:pPr>
        <w:pStyle w:val="NormalWeb"/>
        <w:shd w:val="clear" w:color="auto" w:fill="FFFFFF"/>
        <w:spacing w:before="0" w:beforeAutospacing="0" w:after="0" w:afterAutospacing="0"/>
        <w:rPr>
          <w:rFonts w:ascii="Calibri" w:hAnsi="Calibri" w:cs="Calibri"/>
          <w:color w:val="222222"/>
          <w:sz w:val="22"/>
          <w:szCs w:val="22"/>
        </w:rPr>
      </w:pPr>
    </w:p>
    <w:p w14:paraId="515384C7" w14:textId="359884F6" w:rsidR="00ED4076" w:rsidRPr="00DD7BD1" w:rsidRDefault="00ED4076" w:rsidP="00ED4076">
      <w:pPr>
        <w:pStyle w:val="Heading1"/>
        <w:shd w:val="clear" w:color="auto" w:fill="FFFFFF"/>
        <w:spacing w:before="0" w:beforeAutospacing="0" w:after="0" w:afterAutospacing="0"/>
        <w:jc w:val="center"/>
        <w:rPr>
          <w:rFonts w:ascii="Calibri" w:hAnsi="Calibri" w:cs="Calibri"/>
          <w:kern w:val="0"/>
          <w:sz w:val="28"/>
          <w:szCs w:val="28"/>
        </w:rPr>
      </w:pPr>
      <w:r w:rsidRPr="00DD7BD1">
        <w:rPr>
          <w:rFonts w:ascii="Calibri" w:hAnsi="Calibri" w:cs="Calibri"/>
          <w:kern w:val="0"/>
          <w:sz w:val="28"/>
          <w:szCs w:val="28"/>
        </w:rPr>
        <w:t>HHS Updates HIPAA FAQs Regarding Change Healthcare Cybersecurity Incident</w:t>
      </w:r>
    </w:p>
    <w:p w14:paraId="0C19A3E2"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On May 31, 2024, the U.S. Department of Health and Human Services’ (HHS) Office for Civil Rights (OCR) updated its </w:t>
      </w:r>
      <w:hyperlink r:id="rId449" w:history="1">
        <w:r w:rsidRPr="00DD7BD1">
          <w:rPr>
            <w:rStyle w:val="Hyperlink"/>
            <w:rFonts w:ascii="Calibri" w:hAnsi="Calibri" w:cs="Calibri"/>
          </w:rPr>
          <w:t>frequently asked questions (FAQs)</w:t>
        </w:r>
      </w:hyperlink>
      <w:r w:rsidRPr="00DD7BD1">
        <w:rPr>
          <w:rFonts w:ascii="Calibri" w:hAnsi="Calibri" w:cs="Calibri"/>
        </w:rPr>
        <w:t xml:space="preserve"> regarding HIPAA and the recent cybersecurity incident involving Change Healthcare, a unit of UnitedHealth Group. OCR enforces the HIPAA </w:t>
      </w:r>
      <w:hyperlink r:id="rId450" w:history="1">
        <w:r w:rsidRPr="00DD7BD1">
          <w:rPr>
            <w:rStyle w:val="Hyperlink"/>
            <w:rFonts w:ascii="Calibri" w:hAnsi="Calibri" w:cs="Calibri"/>
          </w:rPr>
          <w:t>Privacy</w:t>
        </w:r>
      </w:hyperlink>
      <w:r w:rsidRPr="00DD7BD1">
        <w:rPr>
          <w:rFonts w:ascii="Calibri" w:hAnsi="Calibri" w:cs="Calibri"/>
        </w:rPr>
        <w:t xml:space="preserve">, </w:t>
      </w:r>
      <w:hyperlink r:id="rId451" w:history="1">
        <w:r w:rsidRPr="00DD7BD1">
          <w:rPr>
            <w:rStyle w:val="Hyperlink"/>
            <w:rFonts w:ascii="Calibri" w:hAnsi="Calibri" w:cs="Calibri"/>
          </w:rPr>
          <w:t>Security</w:t>
        </w:r>
      </w:hyperlink>
      <w:r w:rsidRPr="00DD7BD1">
        <w:rPr>
          <w:rFonts w:ascii="Calibri" w:hAnsi="Calibri" w:cs="Calibri"/>
        </w:rPr>
        <w:t xml:space="preserve"> and </w:t>
      </w:r>
      <w:hyperlink r:id="rId452" w:history="1">
        <w:r w:rsidRPr="00DD7BD1">
          <w:rPr>
            <w:rStyle w:val="Hyperlink"/>
            <w:rFonts w:ascii="Calibri" w:hAnsi="Calibri" w:cs="Calibri"/>
          </w:rPr>
          <w:t>Breach Notification</w:t>
        </w:r>
      </w:hyperlink>
      <w:r w:rsidRPr="00DD7BD1">
        <w:rPr>
          <w:rFonts w:ascii="Calibri" w:hAnsi="Calibri" w:cs="Calibri"/>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DD7BD1" w:rsidRDefault="00ED4076" w:rsidP="00ED4076">
      <w:pPr>
        <w:pStyle w:val="ColorSubheading"/>
        <w:rPr>
          <w:rFonts w:ascii="Calibri" w:hAnsi="Calibri" w:cs="Calibri"/>
          <w:sz w:val="16"/>
          <w:szCs w:val="16"/>
        </w:rPr>
      </w:pPr>
    </w:p>
    <w:p w14:paraId="6E4B101A"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FAQ Updates</w:t>
      </w:r>
    </w:p>
    <w:p w14:paraId="50B59667"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The updates to the FAQs address the </w:t>
      </w:r>
      <w:r w:rsidRPr="00DD7BD1">
        <w:rPr>
          <w:rFonts w:ascii="Calibri" w:hAnsi="Calibri" w:cs="Calibri"/>
          <w:b/>
          <w:bCs/>
        </w:rPr>
        <w:t>responsibility for providing breach notification to HHS, affected individuals and, where applicable, the media.</w:t>
      </w:r>
      <w:r w:rsidRPr="00DD7BD1">
        <w:rPr>
          <w:rFonts w:ascii="Calibri" w:hAnsi="Calibri" w:cs="Calibri"/>
        </w:rPr>
        <w:t xml:space="preserve"> Specifically, the FAQs provide that: </w:t>
      </w:r>
    </w:p>
    <w:p w14:paraId="6157C90E"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Covered entities affected by the Change Healthcare breach may delegate to Change Healthcare the task of providing the required breach notifications on their behalf; </w:t>
      </w:r>
    </w:p>
    <w:p w14:paraId="7FC8FD8A"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Only one entity (which could be the covered entity or Change Healthcare) needs to provide breach notifications; and</w:t>
      </w:r>
    </w:p>
    <w:p w14:paraId="5CB3A712"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DD7BD1" w:rsidRDefault="00ED4076" w:rsidP="00ED4076">
      <w:pPr>
        <w:pStyle w:val="ParagraphBasic"/>
        <w:spacing w:after="0" w:line="240" w:lineRule="auto"/>
        <w:rPr>
          <w:rFonts w:ascii="Calibri" w:hAnsi="Calibri" w:cs="Calibri"/>
          <w:b/>
          <w:bCs/>
          <w:sz w:val="16"/>
          <w:szCs w:val="16"/>
          <w:highlight w:val="lightGray"/>
        </w:rPr>
      </w:pPr>
    </w:p>
    <w:p w14:paraId="42809A4F"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In connection with the Change Healthcare cybersecurity incident, OCR has encouraged HIPAA-covered entities (e.g., health plans, health insurance issuers and healthcare providers) and their business associates to </w:t>
      </w:r>
      <w:r w:rsidRPr="00DD7BD1">
        <w:rPr>
          <w:rFonts w:ascii="Calibri" w:hAnsi="Calibri" w:cs="Calibri"/>
          <w:b/>
          <w:bCs/>
        </w:rPr>
        <w:t>review their cybersecurity measures “with urgency”</w:t>
      </w:r>
      <w:r w:rsidRPr="00DD7BD1">
        <w:rPr>
          <w:rFonts w:ascii="Calibri" w:hAnsi="Calibri" w:cs="Calibri"/>
        </w:rPr>
        <w:t xml:space="preserve"> to ensure that health information is protected. </w:t>
      </w:r>
    </w:p>
    <w:p w14:paraId="5AAC94C0"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DD7BD1" w:rsidRDefault="00ED4076" w:rsidP="00ED4076">
      <w:pPr>
        <w:pStyle w:val="ParagraphBasic"/>
        <w:spacing w:after="0" w:line="240" w:lineRule="auto"/>
        <w:rPr>
          <w:rFonts w:ascii="Calibri" w:hAnsi="Calibri" w:cs="Calibri"/>
          <w:sz w:val="16"/>
          <w:szCs w:val="16"/>
        </w:rPr>
      </w:pPr>
    </w:p>
    <w:p w14:paraId="2FB9F158"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Compliance Resources</w:t>
      </w:r>
    </w:p>
    <w:p w14:paraId="0B6C92FD"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DD7BD1" w:rsidRDefault="00ED4076" w:rsidP="00ED4076">
      <w:pPr>
        <w:pStyle w:val="BList1"/>
        <w:spacing w:before="0" w:after="0" w:line="240" w:lineRule="auto"/>
        <w:rPr>
          <w:rFonts w:ascii="Calibri" w:hAnsi="Calibri" w:cs="Calibri"/>
        </w:rPr>
      </w:pPr>
      <w:hyperlink r:id="rId453" w:history="1">
        <w:r w:rsidRPr="00DD7BD1">
          <w:rPr>
            <w:rStyle w:val="Hyperlink"/>
            <w:rFonts w:ascii="Calibri" w:hAnsi="Calibri" w:cs="Calibri"/>
          </w:rPr>
          <w:t>HIPAA Security Rule Guidance Material</w:t>
        </w:r>
      </w:hyperlink>
    </w:p>
    <w:p w14:paraId="10D7AFFB" w14:textId="77777777" w:rsidR="00ED4076" w:rsidRPr="00DD7BD1" w:rsidRDefault="00ED4076" w:rsidP="00ED4076">
      <w:pPr>
        <w:pStyle w:val="BList1"/>
        <w:spacing w:before="0" w:after="0" w:line="240" w:lineRule="auto"/>
        <w:rPr>
          <w:rFonts w:ascii="Calibri" w:hAnsi="Calibri" w:cs="Calibri"/>
        </w:rPr>
      </w:pPr>
      <w:hyperlink r:id="rId454" w:history="1">
        <w:r w:rsidRPr="00DD7BD1">
          <w:rPr>
            <w:rStyle w:val="Hyperlink"/>
            <w:rFonts w:ascii="Calibri" w:hAnsi="Calibri" w:cs="Calibri"/>
          </w:rPr>
          <w:t>OCR Webinar on HIPAA Security Rule Risk Analysis Requirement</w:t>
        </w:r>
      </w:hyperlink>
    </w:p>
    <w:p w14:paraId="3D86EB4D" w14:textId="77777777" w:rsidR="00ED4076" w:rsidRPr="00DD7BD1" w:rsidRDefault="00ED4076" w:rsidP="00ED4076">
      <w:pPr>
        <w:pStyle w:val="BList1"/>
        <w:spacing w:before="0" w:after="0" w:line="240" w:lineRule="auto"/>
        <w:rPr>
          <w:rFonts w:ascii="Calibri" w:hAnsi="Calibri" w:cs="Calibri"/>
        </w:rPr>
      </w:pPr>
      <w:hyperlink r:id="rId455" w:history="1">
        <w:r w:rsidRPr="00DD7BD1">
          <w:rPr>
            <w:rStyle w:val="Hyperlink"/>
            <w:rFonts w:ascii="Calibri" w:hAnsi="Calibri" w:cs="Calibri"/>
          </w:rPr>
          <w:t>HIPAA Security Risk Assessment Tool</w:t>
        </w:r>
      </w:hyperlink>
    </w:p>
    <w:p w14:paraId="7BFDCEDF" w14:textId="77777777" w:rsidR="00ED4076" w:rsidRPr="00DD7BD1" w:rsidRDefault="00ED4076" w:rsidP="00ED4076">
      <w:pPr>
        <w:pStyle w:val="BList1"/>
        <w:spacing w:before="0" w:after="0" w:line="240" w:lineRule="auto"/>
        <w:rPr>
          <w:rStyle w:val="Hyperlink"/>
          <w:rFonts w:ascii="Calibri" w:hAnsi="Calibri" w:cs="Calibri"/>
          <w:color w:val="auto"/>
          <w:u w:val="none"/>
        </w:rPr>
      </w:pPr>
      <w:hyperlink r:id="rId456" w:history="1">
        <w:r w:rsidRPr="00DD7BD1">
          <w:rPr>
            <w:rStyle w:val="Hyperlink"/>
            <w:rFonts w:ascii="Calibri" w:hAnsi="Calibri" w:cs="Calibri"/>
          </w:rPr>
          <w:t>Fact Sheet: Ransomware and HIPAA</w:t>
        </w:r>
      </w:hyperlink>
    </w:p>
    <w:p w14:paraId="7D91045E" w14:textId="77777777" w:rsidR="009D5684" w:rsidRPr="00DD7BD1" w:rsidRDefault="009D5684"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4C5EAAA8" w14:textId="757DFE48" w:rsidR="00ED4076" w:rsidRPr="00DD7BD1" w:rsidRDefault="00ED4076"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OFCCP Releases New Vietnam Era Veterans' Readjustment Assistance Act Resources</w:t>
      </w:r>
    </w:p>
    <w:p w14:paraId="66C5DA2D"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lastRenderedPageBreak/>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16"/>
          <w:szCs w:val="16"/>
        </w:rPr>
      </w:pPr>
    </w:p>
    <w:p w14:paraId="475673B5" w14:textId="77777777" w:rsidR="00ED4076" w:rsidRPr="00DD7BD1" w:rsidRDefault="00ED4076" w:rsidP="00ED4076">
      <w:pPr>
        <w:pStyle w:val="NormalWeb"/>
        <w:shd w:val="clear" w:color="auto" w:fill="FFFFFF"/>
        <w:spacing w:before="0" w:beforeAutospacing="0" w:after="225" w:afterAutospacing="0"/>
        <w:rPr>
          <w:rFonts w:ascii="Calibri" w:hAnsi="Calibri" w:cs="Calibri"/>
          <w:color w:val="000000"/>
          <w:sz w:val="22"/>
          <w:szCs w:val="22"/>
        </w:rPr>
      </w:pPr>
      <w:r w:rsidRPr="00DD7BD1">
        <w:rPr>
          <w:rFonts w:ascii="Calibri" w:hAnsi="Calibri" w:cs="Calibri"/>
          <w:color w:val="000000"/>
          <w:sz w:val="22"/>
          <w:szCs w:val="22"/>
        </w:rPr>
        <w:t>OFCCP continues to release new resources to help contractors understand their obligations under VEVRAA. Published on June 14</w:t>
      </w:r>
      <w:r w:rsidRPr="00DD7BD1">
        <w:rPr>
          <w:rFonts w:ascii="Calibri" w:hAnsi="Calibri" w:cs="Calibri"/>
          <w:color w:val="000000"/>
          <w:sz w:val="22"/>
          <w:szCs w:val="22"/>
          <w:vertAlign w:val="superscript"/>
        </w:rPr>
        <w:t>th</w:t>
      </w:r>
      <w:r w:rsidRPr="00DD7BD1">
        <w:rPr>
          <w:rFonts w:ascii="Calibri" w:hAnsi="Calibri" w:cs="Calibri"/>
          <w:color w:val="000000"/>
          <w:sz w:val="22"/>
          <w:szCs w:val="22"/>
        </w:rPr>
        <w:t xml:space="preserve"> is a </w:t>
      </w:r>
      <w:hyperlink r:id="rId457" w:tgtFrame="_blank" w:history="1">
        <w:r w:rsidRPr="00DD7BD1">
          <w:rPr>
            <w:rStyle w:val="Hyperlink"/>
            <w:rFonts w:ascii="Calibri" w:eastAsiaTheme="majorEastAsia" w:hAnsi="Calibri" w:cs="Calibri"/>
            <w:sz w:val="22"/>
            <w:szCs w:val="22"/>
          </w:rPr>
          <w:t>new example</w:t>
        </w:r>
      </w:hyperlink>
      <w:r w:rsidRPr="00DD7BD1">
        <w:rPr>
          <w:rFonts w:ascii="Calibri" w:hAnsi="Calibri" w:cs="Calibri"/>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458" w:tgtFrame="_blank" w:history="1">
        <w:r w:rsidRPr="00DD7BD1">
          <w:rPr>
            <w:rStyle w:val="Hyperlink"/>
            <w:rFonts w:ascii="Calibri" w:eastAsiaTheme="majorEastAsia" w:hAnsi="Calibri" w:cs="Calibri"/>
            <w:sz w:val="22"/>
            <w:szCs w:val="22"/>
          </w:rPr>
          <w:t>VEVRAA Affirmative Action Program (AAP) sample</w:t>
        </w:r>
      </w:hyperlink>
      <w:r w:rsidRPr="00DD7BD1">
        <w:rPr>
          <w:rFonts w:ascii="Calibri" w:hAnsi="Calibri" w:cs="Calibri"/>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DD7BD1" w:rsidRDefault="00ED4076" w:rsidP="00ED4076">
      <w:pPr>
        <w:spacing w:after="0" w:line="240" w:lineRule="auto"/>
        <w:jc w:val="center"/>
        <w:rPr>
          <w:rFonts w:ascii="Calibri" w:hAnsi="Calibri" w:cs="Calibri"/>
          <w:sz w:val="28"/>
          <w:szCs w:val="28"/>
        </w:rPr>
      </w:pPr>
      <w:r w:rsidRPr="00DD7BD1">
        <w:rPr>
          <w:rFonts w:ascii="Calibri" w:hAnsi="Calibri" w:cs="Calibri"/>
          <w:b/>
          <w:bCs/>
          <w:sz w:val="28"/>
          <w:szCs w:val="28"/>
        </w:rPr>
        <w:t>Corporate Transparency Act</w:t>
      </w:r>
    </w:p>
    <w:p w14:paraId="0A215BFF" w14:textId="77777777" w:rsidR="00ED4076" w:rsidRPr="00DD7BD1" w:rsidRDefault="00ED4076" w:rsidP="00ED4076">
      <w:pPr>
        <w:pStyle w:val="BodyText"/>
        <w:ind w:right="270"/>
        <w:rPr>
          <w:rFonts w:cs="Calibri"/>
          <w:color w:val="auto"/>
        </w:rPr>
      </w:pPr>
      <w:r w:rsidRPr="00DD7BD1">
        <w:rPr>
          <w:rFonts w:cs="Calibri"/>
          <w:color w:val="auto"/>
        </w:rPr>
        <w:t>The</w:t>
      </w:r>
      <w:r w:rsidRPr="00DD7BD1">
        <w:rPr>
          <w:rFonts w:cs="Calibri"/>
        </w:rPr>
        <w:t xml:space="preserve"> </w:t>
      </w:r>
      <w:hyperlink r:id="rId459" w:history="1">
        <w:r w:rsidRPr="00DD7BD1">
          <w:rPr>
            <w:rStyle w:val="Hyperlink"/>
            <w:rFonts w:eastAsiaTheme="majorEastAsia" w:cs="Calibri"/>
          </w:rPr>
          <w:t>Corporate Transparency Act</w:t>
        </w:r>
      </w:hyperlink>
      <w:r w:rsidRPr="00DD7BD1">
        <w:rPr>
          <w:rFonts w:cs="Calibri"/>
        </w:rPr>
        <w:t xml:space="preserve"> </w:t>
      </w:r>
      <w:r w:rsidRPr="00DD7BD1">
        <w:rPr>
          <w:rFonts w:cs="Calibri"/>
          <w:color w:val="auto"/>
        </w:rPr>
        <w:t xml:space="preserve">(CTA), which became effective </w:t>
      </w:r>
      <w:r w:rsidRPr="00DD7BD1">
        <w:rPr>
          <w:rFonts w:cs="Calibri"/>
          <w:b/>
          <w:bCs/>
          <w:color w:val="auto"/>
        </w:rPr>
        <w:t>Jan. 1, 2024</w:t>
      </w:r>
      <w:r w:rsidRPr="00DD7BD1">
        <w:rPr>
          <w:rFonts w:cs="Calibri"/>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DD7BD1" w:rsidRDefault="00ED4076" w:rsidP="00ED4076">
      <w:pPr>
        <w:pStyle w:val="BodyText"/>
        <w:ind w:right="270"/>
        <w:rPr>
          <w:rFonts w:cs="Calibri"/>
          <w:color w:val="auto"/>
        </w:rPr>
      </w:pPr>
      <w:r w:rsidRPr="00DD7BD1">
        <w:rPr>
          <w:rFonts w:cs="Calibri"/>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DD7BD1" w:rsidRDefault="00ED4076" w:rsidP="00ED4076">
      <w:pPr>
        <w:spacing w:after="0" w:line="240" w:lineRule="auto"/>
        <w:rPr>
          <w:rFonts w:ascii="Calibri" w:hAnsi="Calibri" w:cs="Calibri"/>
          <w:noProof/>
        </w:rPr>
      </w:pPr>
      <w:r w:rsidRPr="00DD7BD1">
        <w:rPr>
          <w:rFonts w:ascii="Calibri" w:hAnsi="Calibri" w:cs="Calibri"/>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DD7BD1" w:rsidRDefault="00ED4076" w:rsidP="00ED4076">
      <w:pPr>
        <w:pStyle w:val="BodyText"/>
        <w:jc w:val="left"/>
        <w:rPr>
          <w:rFonts w:cs="Calibri"/>
          <w:color w:val="auto"/>
        </w:rPr>
      </w:pPr>
      <w:r w:rsidRPr="00DD7BD1">
        <w:rPr>
          <w:rFonts w:cs="Calibri"/>
          <w:noProof/>
          <w:color w:val="auto"/>
        </w:rPr>
        <w:t xml:space="preserve">Starting January 1, 2025 </w:t>
      </w:r>
      <w:r w:rsidRPr="00DD7BD1">
        <w:rPr>
          <w:rFonts w:cs="Calibri"/>
          <w:color w:val="auto"/>
        </w:rPr>
        <w:t>reporting companies created or registered to do business in the United States before Jan. 1, 2024, must file their initial BOI reports.</w:t>
      </w:r>
    </w:p>
    <w:p w14:paraId="44449BF8" w14:textId="7CDB6E09" w:rsidR="00ED4076" w:rsidRPr="00DD7BD1" w:rsidRDefault="00ED4076" w:rsidP="00ED4076">
      <w:pPr>
        <w:pStyle w:val="BodyText"/>
        <w:rPr>
          <w:rFonts w:cs="Calibri"/>
          <w:color w:val="auto"/>
        </w:rPr>
      </w:pPr>
      <w:r w:rsidRPr="00DD7BD1">
        <w:rPr>
          <w:rFonts w:cs="Calibri"/>
          <w:b/>
          <w:bCs/>
          <w:color w:val="auto"/>
          <w:highlight w:val="lightGray"/>
        </w:rPr>
        <w:t>Employer Take away:</w:t>
      </w:r>
      <w:r w:rsidRPr="00DD7BD1">
        <w:rPr>
          <w:rFonts w:cs="Calibri"/>
          <w:color w:val="auto"/>
        </w:rPr>
        <w:t xml:space="preserve"> Tough outside of the scope of consulting by ETC,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  See also attached resource.</w:t>
      </w:r>
    </w:p>
    <w:p w14:paraId="17205363" w14:textId="77777777" w:rsidR="00ED4076" w:rsidRPr="00DD7BD1" w:rsidRDefault="00ED4076" w:rsidP="00ED4076">
      <w:pPr>
        <w:pStyle w:val="BodyText"/>
        <w:spacing w:after="0" w:line="240" w:lineRule="auto"/>
        <w:jc w:val="left"/>
        <w:rPr>
          <w:rFonts w:cs="Calibri"/>
          <w:color w:val="auto"/>
        </w:rPr>
      </w:pPr>
      <w:r w:rsidRPr="00DD7BD1">
        <w:rPr>
          <w:rFonts w:cs="Calibri"/>
          <w:color w:val="auto"/>
        </w:rPr>
        <w:t>Resources:</w:t>
      </w:r>
    </w:p>
    <w:p w14:paraId="4E2BABB8" w14:textId="77777777" w:rsidR="00ED4076" w:rsidRPr="00DD7BD1" w:rsidRDefault="00ED4076" w:rsidP="00ED4076">
      <w:pPr>
        <w:pStyle w:val="BulletListText"/>
        <w:spacing w:after="0"/>
        <w:contextualSpacing/>
        <w:rPr>
          <w:rFonts w:cs="Calibri"/>
          <w:noProof/>
        </w:rPr>
      </w:pPr>
      <w:r w:rsidRPr="00DD7BD1">
        <w:rPr>
          <w:rFonts w:cs="Calibri"/>
          <w:noProof/>
          <w:color w:val="auto"/>
        </w:rPr>
        <w:t>FinCEN</w:t>
      </w:r>
      <w:r w:rsidRPr="00DD7BD1">
        <w:rPr>
          <w:rFonts w:cs="Calibri"/>
          <w:noProof/>
        </w:rPr>
        <w:t xml:space="preserve"> – </w:t>
      </w:r>
      <w:hyperlink r:id="rId460" w:history="1">
        <w:r w:rsidRPr="00DD7BD1">
          <w:rPr>
            <w:rStyle w:val="Hyperlink"/>
            <w:rFonts w:eastAsiaTheme="majorEastAsia" w:cs="Calibri"/>
            <w:noProof/>
          </w:rPr>
          <w:t>BOI Homepage</w:t>
        </w:r>
      </w:hyperlink>
    </w:p>
    <w:p w14:paraId="7C6798DE"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61" w:history="1">
        <w:r w:rsidRPr="00DD7BD1">
          <w:rPr>
            <w:rStyle w:val="Hyperlink"/>
            <w:rFonts w:eastAsiaTheme="majorEastAsia" w:cs="Calibri"/>
            <w:noProof/>
          </w:rPr>
          <w:t>BOI Informational Brochure</w:t>
        </w:r>
      </w:hyperlink>
    </w:p>
    <w:p w14:paraId="2D60737C"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62" w:history="1">
        <w:r w:rsidRPr="00DD7BD1">
          <w:rPr>
            <w:rStyle w:val="Hyperlink"/>
            <w:rFonts w:eastAsiaTheme="majorEastAsia" w:cs="Calibri"/>
            <w:noProof/>
          </w:rPr>
          <w:t>BOI Frequently Asked Questions</w:t>
        </w:r>
      </w:hyperlink>
      <w:r w:rsidRPr="00DD7BD1">
        <w:rPr>
          <w:rFonts w:cs="Calibri"/>
          <w:noProof/>
        </w:rPr>
        <w:t xml:space="preserve"> </w:t>
      </w:r>
    </w:p>
    <w:p w14:paraId="5F40C74C" w14:textId="73FB6F94" w:rsidR="00ED58D7" w:rsidRPr="00DD7BD1" w:rsidRDefault="00ED4076" w:rsidP="00CD70B8">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63" w:history="1">
        <w:r w:rsidRPr="00DD7BD1">
          <w:rPr>
            <w:rStyle w:val="Hyperlink"/>
            <w:rFonts w:eastAsiaTheme="majorEastAsia" w:cs="Calibri"/>
            <w:noProof/>
          </w:rPr>
          <w:t>BOI Small Entity Compliance Guide</w:t>
        </w:r>
      </w:hyperlink>
    </w:p>
    <w:p w14:paraId="6A7B2023" w14:textId="77777777" w:rsidR="00FC0387" w:rsidRDefault="00FC0387" w:rsidP="00AF4ED7">
      <w:pPr>
        <w:pStyle w:val="BList1"/>
        <w:numPr>
          <w:ilvl w:val="0"/>
          <w:numId w:val="0"/>
        </w:numPr>
        <w:spacing w:before="0" w:after="0" w:line="240" w:lineRule="auto"/>
        <w:jc w:val="center"/>
        <w:rPr>
          <w:rFonts w:ascii="Calibri" w:eastAsia="Times New Roman" w:hAnsi="Calibri" w:cs="Calibri"/>
          <w:b/>
          <w:bCs/>
          <w:sz w:val="28"/>
          <w:szCs w:val="28"/>
        </w:rPr>
      </w:pPr>
    </w:p>
    <w:p w14:paraId="6881823E" w14:textId="2108D25E" w:rsidR="00AF4ED7" w:rsidRPr="00DD7BD1" w:rsidRDefault="00AF4ED7" w:rsidP="00AF4ED7">
      <w:pPr>
        <w:pStyle w:val="BList1"/>
        <w:numPr>
          <w:ilvl w:val="0"/>
          <w:numId w:val="0"/>
        </w:numPr>
        <w:spacing w:before="0" w:after="0" w:line="240" w:lineRule="auto"/>
        <w:jc w:val="center"/>
        <w:rPr>
          <w:rFonts w:ascii="Calibri" w:eastAsia="Times New Roman" w:hAnsi="Calibri" w:cs="Calibri"/>
          <w:b/>
          <w:bCs/>
          <w:sz w:val="28"/>
          <w:szCs w:val="28"/>
        </w:rPr>
      </w:pPr>
      <w:r w:rsidRPr="00DD7BD1">
        <w:rPr>
          <w:rFonts w:ascii="Calibri" w:eastAsia="Times New Roman" w:hAnsi="Calibri" w:cs="Calibri"/>
          <w:b/>
          <w:bCs/>
          <w:sz w:val="28"/>
          <w:szCs w:val="28"/>
        </w:rPr>
        <w:t>EEOC’s Workplace Guidance to Prevent Harassment</w:t>
      </w:r>
    </w:p>
    <w:p w14:paraId="4B6E6FE5" w14:textId="77777777" w:rsidR="00AF4ED7" w:rsidRPr="00DD7BD1" w:rsidRDefault="00AF4ED7" w:rsidP="00AF4ED7">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 xml:space="preserve">On April 29, 2024, the U.S. Equal Employment Opportunity Commission (EEOC) published its final guidance on harassment in the workplace, which went into effect immediately upon issuance. </w:t>
      </w:r>
      <w:r w:rsidRPr="00DD7BD1">
        <w:rPr>
          <w:rFonts w:ascii="Calibri" w:hAnsi="Calibri" w:cs="Calibri"/>
          <w:color w:val="000000" w:themeColor="text1"/>
          <w:spacing w:val="3"/>
          <w:shd w:val="clear" w:color="auto" w:fill="FFFFFF"/>
        </w:rPr>
        <w:t>This is the first updated enforcement guidance on workplace harassment in 25 years and it</w:t>
      </w:r>
      <w:r w:rsidRPr="00DD7BD1">
        <w:rPr>
          <w:rFonts w:ascii="Calibri" w:hAnsi="Calibri" w:cs="Calibri"/>
          <w:color w:val="000000" w:themeColor="text1"/>
          <w:spacing w:val="3"/>
          <w:sz w:val="27"/>
          <w:szCs w:val="27"/>
          <w:shd w:val="clear" w:color="auto" w:fill="FFFFFF"/>
        </w:rPr>
        <w:t xml:space="preserve"> </w:t>
      </w:r>
      <w:r w:rsidRPr="00DD7BD1">
        <w:rPr>
          <w:rFonts w:ascii="Calibri" w:eastAsia="Times New Roman" w:hAnsi="Calibri" w:cs="Calibri"/>
          <w:color w:val="000000" w:themeColor="text1"/>
        </w:rPr>
        <w:t>explains how the EEOC may enforce equal employment opportunity (EEO) laws against an employer when workplace harassment is alleged or suspected. </w:t>
      </w:r>
    </w:p>
    <w:p w14:paraId="66C7893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0FE7175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Commission last issued guidance on workplace harassment, notable changes in the law have occurred, including the Supreme Court’s decision in </w:t>
      </w:r>
      <w:r w:rsidRPr="00DD7BD1">
        <w:rPr>
          <w:rStyle w:val="Emphasis"/>
          <w:rFonts w:ascii="Calibri" w:hAnsi="Calibri" w:cs="Calibri"/>
          <w:color w:val="000000" w:themeColor="text1"/>
          <w:sz w:val="22"/>
          <w:szCs w:val="22"/>
        </w:rPr>
        <w:t>Bostock v. Clayton County</w:t>
      </w:r>
      <w:r w:rsidRPr="00DD7BD1">
        <w:rPr>
          <w:rFonts w:ascii="Calibri" w:hAnsi="Calibri" w:cs="Calibri"/>
          <w:color w:val="000000" w:themeColor="text1"/>
          <w:sz w:val="22"/>
          <w:szCs w:val="22"/>
        </w:rPr>
        <w:t xml:space="preserve"> and new issues such as online harassment.</w:t>
      </w:r>
    </w:p>
    <w:p w14:paraId="2F760ADD"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lastRenderedPageBreak/>
        <w:t xml:space="preserve">The new guidance </w:t>
      </w:r>
      <w:proofErr w:type="gramStart"/>
      <w:r w:rsidRPr="00DD7BD1">
        <w:rPr>
          <w:rFonts w:ascii="Calibri" w:hAnsi="Calibri" w:cs="Calibri"/>
          <w:color w:val="000000" w:themeColor="text1"/>
          <w:sz w:val="22"/>
          <w:szCs w:val="22"/>
        </w:rPr>
        <w:t>updates,</w:t>
      </w:r>
      <w:proofErr w:type="gramEnd"/>
      <w:r w:rsidRPr="00DD7BD1">
        <w:rPr>
          <w:rFonts w:ascii="Calibri" w:hAnsi="Calibri" w:cs="Calibri"/>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2D84C53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Resources:</w:t>
      </w:r>
    </w:p>
    <w:p w14:paraId="598E7378"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464" w:history="1">
        <w:r w:rsidRPr="00DD7BD1">
          <w:rPr>
            <w:rStyle w:val="Hyperlink"/>
            <w:rFonts w:ascii="Calibri" w:hAnsi="Calibri" w:cs="Calibri"/>
            <w:sz w:val="22"/>
            <w:szCs w:val="22"/>
            <w:shd w:val="clear" w:color="auto" w:fill="FFFFFF"/>
          </w:rPr>
          <w:t>Enforcement Guidance on Harassment in the Workplace</w:t>
        </w:r>
      </w:hyperlink>
      <w:r w:rsidRPr="00DD7BD1">
        <w:rPr>
          <w:rStyle w:val="Hyperlink"/>
          <w:rFonts w:ascii="Calibri" w:hAnsi="Calibri" w:cs="Calibri"/>
          <w:sz w:val="22"/>
          <w:szCs w:val="22"/>
        </w:rPr>
        <w:t>.</w:t>
      </w:r>
    </w:p>
    <w:p w14:paraId="48F0AE0A"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r w:rsidRPr="00DD7BD1">
        <w:rPr>
          <w:rStyle w:val="Hyperlink"/>
          <w:rFonts w:ascii="Calibri" w:hAnsi="Calibri" w:cs="Calibri"/>
          <w:sz w:val="22"/>
          <w:szCs w:val="22"/>
        </w:rPr>
        <w:t xml:space="preserve"> “</w:t>
      </w:r>
      <w:hyperlink r:id="rId465" w:history="1">
        <w:r w:rsidRPr="00DD7BD1">
          <w:rPr>
            <w:rStyle w:val="Hyperlink"/>
            <w:rFonts w:ascii="Calibri" w:hAnsi="Calibri" w:cs="Calibri"/>
            <w:sz w:val="22"/>
            <w:szCs w:val="22"/>
            <w:shd w:val="clear" w:color="auto" w:fill="FFFFFF"/>
          </w:rPr>
          <w:t>Summary of Key Provisions</w:t>
        </w:r>
      </w:hyperlink>
      <w:r w:rsidRPr="00DD7BD1">
        <w:rPr>
          <w:rStyle w:val="Hyperlink"/>
          <w:rFonts w:ascii="Calibri" w:hAnsi="Calibri" w:cs="Calibri"/>
          <w:sz w:val="22"/>
          <w:szCs w:val="22"/>
        </w:rPr>
        <w:t>” document, </w:t>
      </w:r>
    </w:p>
    <w:p w14:paraId="5451A19B"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466" w:history="1">
        <w:r w:rsidRPr="00DD7BD1">
          <w:rPr>
            <w:rStyle w:val="Hyperlink"/>
            <w:rFonts w:ascii="Calibri" w:hAnsi="Calibri" w:cs="Calibri"/>
            <w:sz w:val="22"/>
            <w:szCs w:val="22"/>
            <w:shd w:val="clear" w:color="auto" w:fill="FFFFFF"/>
          </w:rPr>
          <w:t>document for employees</w:t>
        </w:r>
      </w:hyperlink>
      <w:r w:rsidRPr="00DD7BD1">
        <w:rPr>
          <w:rStyle w:val="Hyperlink"/>
          <w:rFonts w:ascii="Calibri" w:hAnsi="Calibri" w:cs="Calibri"/>
          <w:sz w:val="22"/>
          <w:szCs w:val="22"/>
        </w:rPr>
        <w:t>, and a </w:t>
      </w:r>
    </w:p>
    <w:p w14:paraId="5AB18755" w14:textId="77777777" w:rsidR="00AF4ED7" w:rsidRPr="00DD7BD1" w:rsidRDefault="00AF4ED7">
      <w:pPr>
        <w:pStyle w:val="NormalWeb"/>
        <w:numPr>
          <w:ilvl w:val="0"/>
          <w:numId w:val="45"/>
        </w:numPr>
        <w:shd w:val="clear" w:color="auto" w:fill="FFFFFF"/>
        <w:spacing w:before="0" w:beforeAutospacing="0" w:after="0" w:afterAutospacing="0"/>
        <w:rPr>
          <w:rFonts w:ascii="Calibri" w:hAnsi="Calibri" w:cs="Calibri"/>
          <w:color w:val="0000FF"/>
          <w:sz w:val="22"/>
          <w:szCs w:val="22"/>
          <w:u w:val="single"/>
          <w:shd w:val="clear" w:color="auto" w:fill="FFFFFF"/>
        </w:rPr>
      </w:pPr>
      <w:hyperlink r:id="rId467" w:history="1">
        <w:r w:rsidRPr="00DD7BD1">
          <w:rPr>
            <w:rStyle w:val="Hyperlink"/>
            <w:rFonts w:ascii="Calibri" w:hAnsi="Calibri" w:cs="Calibri"/>
            <w:sz w:val="22"/>
            <w:szCs w:val="22"/>
            <w:shd w:val="clear" w:color="auto" w:fill="FFFFFF"/>
          </w:rPr>
          <w:t>fact sheet for small businesses</w:t>
        </w:r>
      </w:hyperlink>
      <w:r w:rsidRPr="00DD7BD1">
        <w:rPr>
          <w:rStyle w:val="Hyperlink"/>
          <w:rFonts w:ascii="Calibri" w:hAnsi="Calibri" w:cs="Calibri"/>
          <w:sz w:val="22"/>
          <w:szCs w:val="22"/>
        </w:rPr>
        <w:t>.</w:t>
      </w:r>
    </w:p>
    <w:p w14:paraId="67A1A16B"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16"/>
          <w:szCs w:val="16"/>
        </w:rPr>
      </w:pPr>
    </w:p>
    <w:p w14:paraId="3EBA6209"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22"/>
          <w:szCs w:val="22"/>
        </w:rPr>
      </w:pPr>
      <w:r w:rsidRPr="00DD7BD1">
        <w:rPr>
          <w:rFonts w:ascii="Calibri" w:hAnsi="Calibri" w:cs="Calibri"/>
          <w:b/>
          <w:bCs/>
          <w:color w:val="000000"/>
          <w:sz w:val="22"/>
          <w:szCs w:val="22"/>
          <w:highlight w:val="lightGray"/>
        </w:rPr>
        <w:t>Learn more:</w:t>
      </w:r>
    </w:p>
    <w:p w14:paraId="0F4FB6C9" w14:textId="77777777" w:rsidR="00AF4ED7" w:rsidRPr="00DD7BD1" w:rsidRDefault="00AF4ED7" w:rsidP="00AF4ED7">
      <w:pPr>
        <w:pStyle w:val="Heading3"/>
        <w:shd w:val="clear" w:color="auto" w:fill="FFFFFF"/>
        <w:spacing w:before="0" w:line="240" w:lineRule="auto"/>
        <w:rPr>
          <w:rFonts w:ascii="Calibri" w:hAnsi="Calibri" w:cs="Calibri"/>
          <w:b/>
          <w:bCs/>
          <w:color w:val="auto"/>
          <w:spacing w:val="3"/>
          <w:sz w:val="22"/>
          <w:szCs w:val="22"/>
        </w:rPr>
      </w:pPr>
      <w:r w:rsidRPr="00DD7BD1">
        <w:rPr>
          <w:rFonts w:ascii="Calibri" w:hAnsi="Calibri" w:cs="Calibri"/>
          <w:b/>
          <w:bCs/>
          <w:color w:val="auto"/>
          <w:spacing w:val="3"/>
          <w:sz w:val="22"/>
          <w:szCs w:val="22"/>
        </w:rPr>
        <w:t>Covered Bases and Causation</w:t>
      </w:r>
    </w:p>
    <w:p w14:paraId="0023E363"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spacing w:val="3"/>
          <w:sz w:val="22"/>
          <w:szCs w:val="22"/>
        </w:rPr>
      </w:pPr>
      <w:r w:rsidRPr="00DD7BD1">
        <w:rPr>
          <w:rFonts w:ascii="Calibri" w:hAnsi="Calibri" w:cs="Calibri"/>
          <w:spacing w:val="3"/>
          <w:sz w:val="22"/>
          <w:szCs w:val="22"/>
        </w:rPr>
        <w:t xml:space="preserve">The first section of the guidance examines the covered bases for a claim of workplace harassment and the factors to be considered in determining whether </w:t>
      </w:r>
      <w:proofErr w:type="gramStart"/>
      <w:r w:rsidRPr="00DD7BD1">
        <w:rPr>
          <w:rFonts w:ascii="Calibri" w:hAnsi="Calibri" w:cs="Calibri"/>
          <w:spacing w:val="3"/>
          <w:sz w:val="22"/>
          <w:szCs w:val="22"/>
        </w:rPr>
        <w:t>particular conduct</w:t>
      </w:r>
      <w:proofErr w:type="gramEnd"/>
      <w:r w:rsidRPr="00DD7BD1">
        <w:rPr>
          <w:rFonts w:ascii="Calibri" w:hAnsi="Calibri" w:cs="Calibri"/>
          <w:spacing w:val="3"/>
          <w:sz w:val="22"/>
          <w:szCs w:val="22"/>
        </w:rPr>
        <w:t xml:space="preserve"> rises to the level of actionable workplace harassment. It also examines the characteristics protected by federal EEO laws and provides insight into the scope of protection provided for these characteristics.</w:t>
      </w:r>
    </w:p>
    <w:p w14:paraId="7BD70070"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i/>
          <w:iCs/>
          <w:spacing w:val="3"/>
          <w:sz w:val="22"/>
          <w:szCs w:val="22"/>
        </w:rPr>
      </w:pPr>
      <w:r w:rsidRPr="00DD7BD1">
        <w:rPr>
          <w:rFonts w:ascii="Calibri" w:hAnsi="Calibri" w:cs="Calibri"/>
          <w:i/>
          <w:iCs/>
          <w:spacing w:val="3"/>
          <w:sz w:val="22"/>
          <w:szCs w:val="22"/>
        </w:rPr>
        <w:t>Among the highlights in the new guidance:</w:t>
      </w:r>
    </w:p>
    <w:p w14:paraId="0238C0B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Race harassment includes harassment based on </w:t>
      </w:r>
      <w:r w:rsidRPr="00DD7BD1">
        <w:rPr>
          <w:rFonts w:ascii="Calibri" w:hAnsi="Calibri" w:cs="Calibri"/>
          <w:i/>
          <w:iCs/>
          <w:spacing w:val="3"/>
        </w:rPr>
        <w:t>traits or characteristics linked to a person’s race</w:t>
      </w:r>
      <w:r w:rsidRPr="00DD7BD1">
        <w:rPr>
          <w:rFonts w:ascii="Calibri" w:hAnsi="Calibri" w:cs="Calibri"/>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National origin</w:t>
      </w:r>
      <w:r w:rsidRPr="00DD7BD1">
        <w:rPr>
          <w:rFonts w:ascii="Calibri" w:hAnsi="Calibri" w:cs="Calibri"/>
          <w:spacing w:val="3"/>
        </w:rPr>
        <w:t xml:space="preserve"> harassment includes harassment </w:t>
      </w:r>
      <w:r w:rsidRPr="00DD7BD1">
        <w:rPr>
          <w:rFonts w:ascii="Calibri" w:hAnsi="Calibri" w:cs="Calibri"/>
          <w:i/>
          <w:iCs/>
          <w:spacing w:val="3"/>
        </w:rPr>
        <w:t>based on traits</w:t>
      </w:r>
      <w:r w:rsidRPr="00DD7BD1">
        <w:rPr>
          <w:rFonts w:ascii="Calibri" w:hAnsi="Calibri" w:cs="Calibri"/>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prohibition on religious harassment extends to </w:t>
      </w:r>
      <w:r w:rsidRPr="00DD7BD1">
        <w:rPr>
          <w:rFonts w:ascii="Calibri" w:hAnsi="Calibri" w:cs="Calibri"/>
          <w:i/>
          <w:iCs/>
          <w:spacing w:val="3"/>
        </w:rPr>
        <w:t>religious stereotypes and requests for or receipt of religious accommodations in the workplace</w:t>
      </w:r>
      <w:r w:rsidRPr="00DD7BD1">
        <w:rPr>
          <w:rFonts w:ascii="Calibri" w:hAnsi="Calibri" w:cs="Calibri"/>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Title VII of the Civil Rights Act’s prohibition on sex-based harassment also includes harassment based on </w:t>
      </w:r>
      <w:r w:rsidRPr="00DD7BD1">
        <w:rPr>
          <w:rFonts w:ascii="Calibri" w:hAnsi="Calibri" w:cs="Calibri"/>
          <w:i/>
          <w:iCs/>
          <w:spacing w:val="3"/>
        </w:rPr>
        <w:t>pregnancy, childbirth, and related medical conditions such as lactation, morning sickness, use or non-use of contraception, and decisions related to abortions</w:t>
      </w:r>
      <w:r w:rsidRPr="00DD7BD1">
        <w:rPr>
          <w:rFonts w:ascii="Calibri" w:hAnsi="Calibri" w:cs="Calibri"/>
          <w:spacing w:val="3"/>
        </w:rPr>
        <w:t>.</w:t>
      </w:r>
    </w:p>
    <w:p w14:paraId="6236F8D8"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Sex-based</w:t>
      </w:r>
      <w:r w:rsidRPr="00DD7BD1">
        <w:rPr>
          <w:rFonts w:ascii="Calibri" w:hAnsi="Calibri" w:cs="Calibri"/>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prohibited by the </w:t>
      </w:r>
      <w:r w:rsidRPr="00DD7BD1">
        <w:rPr>
          <w:rFonts w:ascii="Calibri" w:hAnsi="Calibri" w:cs="Calibri"/>
          <w:i/>
          <w:iCs/>
          <w:spacing w:val="3"/>
        </w:rPr>
        <w:t>Age Discrimination</w:t>
      </w:r>
      <w:r w:rsidRPr="00DD7BD1">
        <w:rPr>
          <w:rFonts w:ascii="Calibri" w:hAnsi="Calibri" w:cs="Calibri"/>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Disability harassment</w:t>
      </w:r>
      <w:r w:rsidRPr="00DD7BD1">
        <w:rPr>
          <w:rFonts w:ascii="Calibri" w:hAnsi="Calibri" w:cs="Calibri"/>
          <w:spacing w:val="3"/>
        </w:rPr>
        <w:t xml:space="preserve"> under Title I of the Americans With Disabilities Act includes conduct based on the person’s </w:t>
      </w:r>
      <w:r w:rsidRPr="00DD7BD1">
        <w:rPr>
          <w:rFonts w:ascii="Calibri" w:hAnsi="Calibri" w:cs="Calibri"/>
          <w:i/>
          <w:iCs/>
          <w:spacing w:val="3"/>
        </w:rPr>
        <w:t>disability-related traits or characteristics</w:t>
      </w:r>
      <w:r w:rsidRPr="00DD7BD1">
        <w:rPr>
          <w:rFonts w:ascii="Calibri" w:hAnsi="Calibri" w:cs="Calibri"/>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w:t>
      </w:r>
      <w:r w:rsidRPr="00DD7BD1">
        <w:rPr>
          <w:rFonts w:ascii="Calibri" w:hAnsi="Calibri" w:cs="Calibri"/>
          <w:i/>
          <w:iCs/>
          <w:spacing w:val="3"/>
        </w:rPr>
        <w:t>prohibition on retaliation</w:t>
      </w:r>
      <w:r w:rsidRPr="00DD7BD1">
        <w:rPr>
          <w:rFonts w:ascii="Calibri" w:hAnsi="Calibri" w:cs="Calibri"/>
          <w:spacing w:val="3"/>
        </w:rPr>
        <w:t xml:space="preserve"> under EEO statutes extends to what the guidance describes as “</w:t>
      </w:r>
      <w:r w:rsidRPr="00DD7BD1">
        <w:rPr>
          <w:rFonts w:ascii="Calibri" w:hAnsi="Calibri" w:cs="Calibri"/>
          <w:i/>
          <w:iCs/>
          <w:spacing w:val="3"/>
        </w:rPr>
        <w:t>retaliatory harassment,” or harassment suffered by the employee due to their protected activity</w:t>
      </w:r>
      <w:r w:rsidRPr="00DD7BD1">
        <w:rPr>
          <w:rFonts w:ascii="Calibri" w:hAnsi="Calibri" w:cs="Calibri"/>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DD7BD1">
        <w:rPr>
          <w:rFonts w:ascii="Calibri" w:hAnsi="Calibri" w:cs="Calibri"/>
          <w:i/>
          <w:iCs/>
          <w:spacing w:val="3"/>
        </w:rPr>
        <w:t>not sufficiently severe or pervasive to support a hostile work environment claim</w:t>
      </w:r>
      <w:r w:rsidRPr="00DD7BD1">
        <w:rPr>
          <w:rFonts w:ascii="Calibri" w:hAnsi="Calibri" w:cs="Calibri"/>
          <w:spacing w:val="3"/>
        </w:rPr>
        <w:t xml:space="preserve"> because the Supreme Court has held </w:t>
      </w:r>
      <w:r w:rsidRPr="00DD7BD1">
        <w:rPr>
          <w:rFonts w:ascii="Calibri" w:hAnsi="Calibri" w:cs="Calibri"/>
          <w:spacing w:val="3"/>
        </w:rPr>
        <w:lastRenderedPageBreak/>
        <w:t>the EEO statutes’ anti-retaliation provisions protect against a broader range of behaviors by prohibiting any conduct that might deter a reasonable person from engaging in protected activity.</w:t>
      </w:r>
    </w:p>
    <w:p w14:paraId="6F5E714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guidance provides that an individual can be found to have engaged in prohibited harassment against another individual </w:t>
      </w:r>
      <w:r w:rsidRPr="00DD7BD1">
        <w:rPr>
          <w:rFonts w:ascii="Calibri" w:hAnsi="Calibri" w:cs="Calibri"/>
          <w:i/>
          <w:iCs/>
          <w:spacing w:val="3"/>
        </w:rPr>
        <w:t>even if both are in the same protected class</w:t>
      </w:r>
      <w:r w:rsidRPr="00DD7BD1">
        <w:rPr>
          <w:rFonts w:ascii="Calibri" w:hAnsi="Calibri" w:cs="Calibri"/>
          <w:spacing w:val="3"/>
        </w:rPr>
        <w:t xml:space="preserve">, referred to </w:t>
      </w:r>
      <w:r w:rsidRPr="00DD7BD1">
        <w:rPr>
          <w:rFonts w:ascii="Calibri" w:hAnsi="Calibri" w:cs="Calibri"/>
          <w:i/>
          <w:iCs/>
          <w:spacing w:val="3"/>
        </w:rPr>
        <w:t>as intraclass harassment.</w:t>
      </w:r>
    </w:p>
    <w:p w14:paraId="152DCE8D"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can also be based on more than one protected characteristic or be actionable under more than one EEO statute, which is referred to </w:t>
      </w:r>
      <w:r w:rsidRPr="00DD7BD1">
        <w:rPr>
          <w:rFonts w:ascii="Calibri" w:hAnsi="Calibri" w:cs="Calibri"/>
          <w:i/>
          <w:iCs/>
          <w:spacing w:val="3"/>
        </w:rPr>
        <w:t>as intersectional harassment</w:t>
      </w:r>
      <w:r w:rsidRPr="00DD7BD1">
        <w:rPr>
          <w:rFonts w:ascii="Calibri" w:hAnsi="Calibri" w:cs="Calibri"/>
          <w:spacing w:val="3"/>
        </w:rPr>
        <w:t>.</w:t>
      </w:r>
    </w:p>
    <w:p w14:paraId="7D4C0A1E" w14:textId="77777777" w:rsidR="00D11F7B" w:rsidRPr="00DD7BD1" w:rsidRDefault="00D11F7B" w:rsidP="00AF4ED7">
      <w:pPr>
        <w:pStyle w:val="NormalWeb"/>
        <w:shd w:val="clear" w:color="auto" w:fill="FFFFFF"/>
        <w:spacing w:before="0" w:beforeAutospacing="0" w:after="0" w:afterAutospacing="0"/>
        <w:jc w:val="center"/>
        <w:rPr>
          <w:rFonts w:ascii="Calibri" w:hAnsi="Calibri" w:cs="Calibri"/>
          <w:b/>
          <w:bCs/>
          <w:sz w:val="20"/>
          <w:szCs w:val="20"/>
        </w:rPr>
      </w:pPr>
    </w:p>
    <w:p w14:paraId="1A8F683A" w14:textId="7AFAA9AB"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 xml:space="preserve">DOL Issues Guidance on AI </w:t>
      </w:r>
    </w:p>
    <w:p w14:paraId="0A9E329E"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eastAsia="Times New Roman" w:hAnsi="Calibri" w:cs="Calibri"/>
        </w:rPr>
        <w:t xml:space="preserve">The Wage and Hour Division (WHD) of the U.S. Department of Labor recently published a </w:t>
      </w:r>
      <w:hyperlink r:id="rId468" w:history="1">
        <w:r w:rsidRPr="00DD7BD1">
          <w:rPr>
            <w:rStyle w:val="Hyperlink"/>
            <w:rFonts w:ascii="Calibri" w:eastAsia="Times New Roman" w:hAnsi="Calibri" w:cs="Calibri"/>
          </w:rPr>
          <w:t>Field Assistance Bulletin (FAB) No. 2024-1</w:t>
        </w:r>
      </w:hyperlink>
      <w:r w:rsidRPr="00DD7BD1">
        <w:rPr>
          <w:rFonts w:ascii="Calibri" w:eastAsia="Times New Roman" w:hAnsi="Calibri" w:cs="Calibri"/>
          <w:color w:val="31313A"/>
        </w:rPr>
        <w:t xml:space="preserve"> </w:t>
      </w:r>
      <w:r w:rsidRPr="00DD7BD1">
        <w:rPr>
          <w:rFonts w:ascii="Calibri" w:eastAsia="Times New Roman" w:hAnsi="Calibri" w:cs="Calibri"/>
        </w:rPr>
        <w:t xml:space="preserve">warning that the use of artificial intelligence (AI) and other automated systems could cause employers to violate laws WHD enforces, including </w:t>
      </w:r>
      <w:r w:rsidRPr="00DD7BD1">
        <w:rPr>
          <w:rFonts w:ascii="Calibri" w:hAnsi="Calibri" w:cs="Calibri"/>
          <w:shd w:val="clear" w:color="auto" w:fill="FFFFFF"/>
        </w:rPr>
        <w:t>Fair Labor Standards Act (FLSA), the Family and Medical Leave Act (FMLA), and other federal labor laws due to the use of AI and automation technologies.</w:t>
      </w:r>
    </w:p>
    <w:p w14:paraId="72089E0E"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16"/>
          <w:szCs w:val="16"/>
        </w:rPr>
      </w:pPr>
    </w:p>
    <w:p w14:paraId="4FA463F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shd w:val="clear" w:color="auto" w:fill="FFFFFF"/>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C00000"/>
          <w:sz w:val="16"/>
          <w:szCs w:val="16"/>
          <w:highlight w:val="lightGray"/>
        </w:rPr>
      </w:pPr>
    </w:p>
    <w:p w14:paraId="7FCCE59F" w14:textId="77777777" w:rsidR="00AF4ED7" w:rsidRPr="00DD7BD1" w:rsidRDefault="00AF4ED7" w:rsidP="00AF4ED7">
      <w:pPr>
        <w:shd w:val="clear" w:color="auto" w:fill="FFFFFF"/>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Learn More:</w:t>
      </w:r>
    </w:p>
    <w:p w14:paraId="729201F7"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64702220"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So, what’s in the DOL’s released Principles?</w:t>
      </w:r>
    </w:p>
    <w:p w14:paraId="3CDA0E13"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Centering Worker Empowerment</w:t>
      </w:r>
      <w:r w:rsidRPr="00DD7BD1">
        <w:rPr>
          <w:rFonts w:ascii="Calibri" w:eastAsia="Times New Roman" w:hAnsi="Calibri" w:cs="Calibri"/>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Ethically Developing AI</w:t>
      </w:r>
      <w:r w:rsidRPr="00DD7BD1">
        <w:rPr>
          <w:rFonts w:ascii="Calibri" w:eastAsia="Times New Roman" w:hAnsi="Calibri" w:cs="Calibri"/>
        </w:rPr>
        <w:t xml:space="preserve">: AI systems should be designed, developed, and trained in a way that protects workers. </w:t>
      </w:r>
    </w:p>
    <w:p w14:paraId="7B04A4FC"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Establishing AI Governance and Human Oversight</w:t>
      </w:r>
      <w:r w:rsidRPr="00DD7BD1">
        <w:rPr>
          <w:rFonts w:ascii="Calibri" w:eastAsia="Times New Roman" w:hAnsi="Calibri" w:cs="Calibri"/>
        </w:rPr>
        <w:t xml:space="preserve">: Organizations should have clear governance systems, procedures, human oversight, and evaluation processes for AI systems for use in the workplace. </w:t>
      </w:r>
    </w:p>
    <w:p w14:paraId="7C3A4876"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Transparency in AI Use</w:t>
      </w:r>
      <w:r w:rsidRPr="00DD7BD1">
        <w:rPr>
          <w:rFonts w:ascii="Calibri" w:eastAsia="Times New Roman" w:hAnsi="Calibri" w:cs="Calibri"/>
        </w:rPr>
        <w:t xml:space="preserve">: Employers should be transparent with workers and job seekers about the AI systems that are being used in the workplace. </w:t>
      </w:r>
    </w:p>
    <w:p w14:paraId="62FACCE1"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Protecting Labor and Employment Rights</w:t>
      </w:r>
      <w:r w:rsidRPr="00DD7BD1">
        <w:rPr>
          <w:rFonts w:ascii="Calibri" w:eastAsia="Times New Roman" w:hAnsi="Calibri" w:cs="Calibri"/>
        </w:rPr>
        <w:t xml:space="preserve">: AI systems should not violate or undermine workers’ right to organize, health and safety rights, wage and hour rights, and anti-discrimination and anti-retaliation protections. </w:t>
      </w:r>
    </w:p>
    <w:p w14:paraId="4A92B0E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Using AI to Enable Workers:</w:t>
      </w:r>
      <w:r w:rsidRPr="00DD7BD1">
        <w:rPr>
          <w:rFonts w:ascii="Calibri" w:eastAsia="Times New Roman" w:hAnsi="Calibri" w:cs="Calibri"/>
        </w:rPr>
        <w:t> AI systems should assist, complement, and enable workers, and improve job quality.</w:t>
      </w:r>
    </w:p>
    <w:p w14:paraId="789852BE"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Supporting Workers Impacted by AI</w:t>
      </w:r>
      <w:r w:rsidRPr="00DD7BD1">
        <w:rPr>
          <w:rFonts w:ascii="Calibri" w:eastAsia="Times New Roman" w:hAnsi="Calibri" w:cs="Calibri"/>
        </w:rPr>
        <w:t xml:space="preserve">: Employers should support or upskill workers during job transitions related to AI. </w:t>
      </w:r>
    </w:p>
    <w:p w14:paraId="06AB4D45"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Responsible Use of Worker Data:</w:t>
      </w:r>
      <w:r w:rsidRPr="00DD7BD1">
        <w:rPr>
          <w:rFonts w:ascii="Calibri" w:eastAsia="Times New Roman" w:hAnsi="Calibri" w:cs="Calibri"/>
        </w:rPr>
        <w:t> Workers’ data collected, used, or created by AI systems should be limited in scope and location, used only to support legitimate business aims, and protected and handled responsibly.</w:t>
      </w:r>
    </w:p>
    <w:p w14:paraId="14E4393E" w14:textId="77777777" w:rsidR="00AF4ED7" w:rsidRPr="00DD7BD1" w:rsidRDefault="00AF4ED7" w:rsidP="00AF4ED7">
      <w:pPr>
        <w:shd w:val="clear" w:color="auto" w:fill="FFFFFF"/>
        <w:spacing w:after="0" w:line="240" w:lineRule="auto"/>
        <w:ind w:left="720"/>
        <w:rPr>
          <w:rFonts w:ascii="Calibri" w:eastAsia="Times New Roman" w:hAnsi="Calibri" w:cs="Calibri"/>
          <w:sz w:val="20"/>
          <w:szCs w:val="20"/>
        </w:rPr>
      </w:pPr>
    </w:p>
    <w:p w14:paraId="3095F488" w14:textId="77777777" w:rsidR="00AF4ED7" w:rsidRPr="00DD7BD1" w:rsidRDefault="00AF4ED7" w:rsidP="00AF4ED7">
      <w:pPr>
        <w:pStyle w:val="Heading1"/>
        <w:shd w:val="clear" w:color="auto" w:fill="FFFFFF"/>
        <w:spacing w:before="0" w:beforeAutospacing="0" w:after="0" w:afterAutospacing="0"/>
        <w:jc w:val="center"/>
        <w:rPr>
          <w:rFonts w:ascii="Calibri" w:hAnsi="Calibri" w:cs="Calibri"/>
          <w:spacing w:val="-4"/>
          <w:sz w:val="28"/>
          <w:szCs w:val="28"/>
        </w:rPr>
      </w:pPr>
      <w:r w:rsidRPr="00DD7BD1">
        <w:rPr>
          <w:rFonts w:ascii="Calibri" w:hAnsi="Calibri" w:cs="Calibri"/>
          <w:spacing w:val="-4"/>
          <w:sz w:val="28"/>
          <w:szCs w:val="28"/>
        </w:rPr>
        <w:t>The Whitehouse Publishes Critical Steps to Protect Workers from Risks of Artificial Intelligence</w:t>
      </w:r>
    </w:p>
    <w:p w14:paraId="03D2D84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color w:val="000000" w:themeColor="text1"/>
          <w:sz w:val="22"/>
          <w:szCs w:val="22"/>
        </w:rPr>
        <w:t>Last year the White House weighed in on the use of </w:t>
      </w:r>
      <w:hyperlink r:id="rId469" w:tgtFrame="_blank" w:history="1">
        <w:r w:rsidRPr="00DD7BD1">
          <w:rPr>
            <w:rStyle w:val="Hyperlink"/>
            <w:rFonts w:ascii="Calibri" w:hAnsi="Calibri" w:cs="Calibri"/>
            <w:sz w:val="22"/>
            <w:szCs w:val="22"/>
          </w:rPr>
          <w:t>artificial intelligence (AI) in businesses</w:t>
        </w:r>
      </w:hyperlink>
      <w:r w:rsidRPr="00DD7BD1">
        <w:rPr>
          <w:rStyle w:val="Hyperlink"/>
          <w:rFonts w:ascii="Calibri" w:hAnsi="Calibri" w:cs="Calibri"/>
          <w:sz w:val="22"/>
          <w:szCs w:val="22"/>
        </w:rPr>
        <w:t>.</w:t>
      </w:r>
    </w:p>
    <w:p w14:paraId="4ABFF19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executive order, several government entities including the Department of Labor have released guidance on the use of AI.</w:t>
      </w:r>
    </w:p>
    <w:p w14:paraId="40A3E082"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And now the </w:t>
      </w:r>
      <w:hyperlink r:id="rId470" w:tgtFrame="_blank" w:history="1">
        <w:r w:rsidRPr="00DD7BD1">
          <w:rPr>
            <w:rStyle w:val="Hyperlink"/>
            <w:rFonts w:ascii="Calibri" w:hAnsi="Calibri" w:cs="Calibri"/>
            <w:sz w:val="22"/>
            <w:szCs w:val="22"/>
          </w:rPr>
          <w:t>White House published principles</w:t>
        </w:r>
      </w:hyperlink>
      <w:r w:rsidRPr="00DD7BD1">
        <w:rPr>
          <w:rFonts w:ascii="Calibri" w:hAnsi="Calibri" w:cs="Calibri"/>
          <w:color w:val="333333"/>
          <w:sz w:val="22"/>
          <w:szCs w:val="22"/>
        </w:rPr>
        <w:t> </w:t>
      </w:r>
      <w:r w:rsidRPr="00DD7BD1">
        <w:rPr>
          <w:rFonts w:ascii="Calibri" w:hAnsi="Calibri" w:cs="Calibri"/>
          <w:color w:val="000000" w:themeColor="text1"/>
          <w:sz w:val="22"/>
          <w:szCs w:val="22"/>
        </w:rPr>
        <w:t>to protect workers when AI is used in the workplace.</w:t>
      </w:r>
    </w:p>
    <w:p w14:paraId="69E8ACF9"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principles apply to both the development and deployment of AI systems. These principles include:</w:t>
      </w:r>
    </w:p>
    <w:p w14:paraId="1E40ACD1"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Awareness – </w:t>
      </w:r>
      <w:r w:rsidRPr="00DD7BD1">
        <w:rPr>
          <w:rFonts w:ascii="Calibri" w:hAnsi="Calibri" w:cs="Calibri"/>
          <w:color w:val="000000" w:themeColor="text1"/>
        </w:rPr>
        <w:t>Workers should be informed of and have input in the design, development, testing, training, and use of AI systems in the workplace.</w:t>
      </w:r>
    </w:p>
    <w:p w14:paraId="323298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Ethical development</w:t>
      </w:r>
      <w:r w:rsidRPr="00DD7BD1">
        <w:rPr>
          <w:rFonts w:ascii="Calibri" w:hAnsi="Calibri" w:cs="Calibri"/>
          <w:color w:val="000000" w:themeColor="text1"/>
        </w:rPr>
        <w:t> – AI systems should be designed, developed, and trained in a way to protect workers.</w:t>
      </w:r>
    </w:p>
    <w:p w14:paraId="59FF37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Governance and Oversight – </w:t>
      </w:r>
      <w:r w:rsidRPr="00DD7BD1">
        <w:rPr>
          <w:rFonts w:ascii="Calibri" w:hAnsi="Calibri" w:cs="Calibri"/>
          <w:color w:val="000000" w:themeColor="text1"/>
        </w:rPr>
        <w:t>Organizations should have clear governance systems and oversight for AI systems.</w:t>
      </w:r>
    </w:p>
    <w:p w14:paraId="2EEF1CB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Transparency – </w:t>
      </w:r>
      <w:r w:rsidRPr="00DD7BD1">
        <w:rPr>
          <w:rFonts w:ascii="Calibri" w:hAnsi="Calibri" w:cs="Calibri"/>
          <w:color w:val="000000" w:themeColor="text1"/>
        </w:rPr>
        <w:t>Employers should be transparent with workers and job seekers about AI systems being used.</w:t>
      </w:r>
    </w:p>
    <w:p w14:paraId="262DD7D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lastRenderedPageBreak/>
        <w:t>Compliance with existing workplace laws – </w:t>
      </w:r>
      <w:r w:rsidRPr="00DD7BD1">
        <w:rPr>
          <w:rFonts w:ascii="Calibri" w:hAnsi="Calibri" w:cs="Calibri"/>
          <w:color w:val="000000" w:themeColor="text1"/>
        </w:rPr>
        <w:t>AI systems should not violate or undermine worker’s rights including the right to organize, health and safety rights, and other worker protections.</w:t>
      </w:r>
    </w:p>
    <w:p w14:paraId="47BE763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Enabling</w:t>
      </w:r>
      <w:r w:rsidRPr="00DD7BD1">
        <w:rPr>
          <w:rFonts w:ascii="Calibri" w:hAnsi="Calibri" w:cs="Calibri"/>
          <w:color w:val="000000" w:themeColor="text1"/>
        </w:rPr>
        <w:t> – AI systems should assist and improve worker’s job quality.</w:t>
      </w:r>
    </w:p>
    <w:p w14:paraId="70CA531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Supportive during transition</w:t>
      </w:r>
      <w:r w:rsidRPr="00DD7BD1">
        <w:rPr>
          <w:rFonts w:ascii="Calibri" w:hAnsi="Calibri" w:cs="Calibri"/>
          <w:color w:val="000000" w:themeColor="text1"/>
        </w:rPr>
        <w:t> – Employers support workers during job transitions related to AI.</w:t>
      </w:r>
    </w:p>
    <w:p w14:paraId="1CE309F4"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Privacy and Security of Data – </w:t>
      </w:r>
      <w:r w:rsidRPr="00DD7BD1">
        <w:rPr>
          <w:rFonts w:ascii="Calibri" w:hAnsi="Calibri" w:cs="Calibri"/>
          <w:color w:val="000000" w:themeColor="text1"/>
        </w:rPr>
        <w:t>Worker’s data collected, used, or created by AI systems should be limited in scope and used to support legitimate business aims.</w:t>
      </w:r>
    </w:p>
    <w:p w14:paraId="401FAF28" w14:textId="77777777" w:rsidR="00AF4ED7" w:rsidRPr="00DD7BD1" w:rsidRDefault="00AF4ED7" w:rsidP="00AF4ED7">
      <w:pPr>
        <w:shd w:val="clear" w:color="auto" w:fill="FFFFFF"/>
        <w:spacing w:after="0" w:line="240" w:lineRule="auto"/>
        <w:ind w:right="360"/>
        <w:jc w:val="both"/>
        <w:rPr>
          <w:rFonts w:ascii="Calibri" w:hAnsi="Calibri" w:cs="Calibri"/>
          <w:spacing w:val="3"/>
        </w:rPr>
      </w:pPr>
    </w:p>
    <w:p w14:paraId="14CB4C8F"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bookmarkStart w:id="44" w:name="_Hlk170458261"/>
      <w:r w:rsidRPr="00DD7BD1">
        <w:rPr>
          <w:rFonts w:ascii="Calibri" w:hAnsi="Calibri" w:cs="Calibri"/>
          <w:b/>
          <w:bCs/>
          <w:sz w:val="28"/>
          <w:szCs w:val="28"/>
        </w:rPr>
        <w:t>2025 Inflation-Adjusted HSAs &amp; HDHPs Amounts + ACA Out-of-Pocket Limits</w:t>
      </w:r>
    </w:p>
    <w:p w14:paraId="5644D82C"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May 9, 2024, the IRS released </w:t>
      </w:r>
      <w:hyperlink r:id="rId471" w:tgtFrame="_blank" w:history="1">
        <w:r w:rsidRPr="00DD7BD1">
          <w:rPr>
            <w:rStyle w:val="Hyperlink"/>
            <w:rFonts w:ascii="Calibri" w:hAnsi="Calibri" w:cs="Calibri"/>
            <w:color w:val="3052DA"/>
            <w:sz w:val="22"/>
            <w:szCs w:val="22"/>
          </w:rPr>
          <w:t>Rev. Proc. 2024-25</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announcing the 2025 health savings accounts (HSAs) and </w:t>
      </w:r>
      <w:proofErr w:type="gramStart"/>
      <w:r w:rsidRPr="00DD7BD1">
        <w:rPr>
          <w:rFonts w:ascii="Calibri" w:hAnsi="Calibri" w:cs="Calibri"/>
          <w:sz w:val="22"/>
          <w:szCs w:val="22"/>
        </w:rPr>
        <w:t>high deductible</w:t>
      </w:r>
      <w:proofErr w:type="gramEnd"/>
      <w:r w:rsidRPr="00DD7BD1">
        <w:rPr>
          <w:rFonts w:ascii="Calibri" w:hAnsi="Calibri" w:cs="Calibri"/>
          <w:sz w:val="22"/>
          <w:szCs w:val="22"/>
        </w:rPr>
        <w:t xml:space="preserve"> health plans (HDHPs) inflation-adjusted amounts:</w:t>
      </w:r>
    </w:p>
    <w:p w14:paraId="2A26021A"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HSA contribution limits:</w:t>
      </w:r>
    </w:p>
    <w:p w14:paraId="0F2B6B6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$4,300 ($150 increase from 2024)</w:t>
      </w:r>
    </w:p>
    <w:p w14:paraId="0FC4EF1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$8,550 ($250 increase from 2024)</w:t>
      </w:r>
    </w:p>
    <w:p w14:paraId="1116266C"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catch-up contribution maximum remains unchanged at $1,000 for HSA-eligible individuals age 55 or older</w:t>
      </w:r>
    </w:p>
    <w:p w14:paraId="19CCAC84"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Minimum annual HDHP deductible:</w:t>
      </w:r>
    </w:p>
    <w:p w14:paraId="5C030F08"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$1,650 ($50 increase from 2024)</w:t>
      </w:r>
    </w:p>
    <w:p w14:paraId="7C647FE4"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$3,300 ($100 increase from 2024)</w:t>
      </w:r>
    </w:p>
    <w:p w14:paraId="368B53CD"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Maximum annual HDHP out-of-pocket expenses (deductibles, copayments, and other nonpremium amounts):</w:t>
      </w:r>
    </w:p>
    <w:p w14:paraId="1A1AB09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$8,300 ($250 increase from 2024)</w:t>
      </w:r>
    </w:p>
    <w:p w14:paraId="0CF692B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$16,600 ($500 increase from 2024)</w:t>
      </w:r>
    </w:p>
    <w:p w14:paraId="6A68215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applies to all HDHPs regardless of whether they’re for essential health benefits or not.</w:t>
      </w:r>
    </w:p>
    <w:p w14:paraId="37D502A4"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p>
    <w:p w14:paraId="01D33236"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These amounts differ from the Affordable Care Act (ACA) maximum </w:t>
      </w:r>
      <w:hyperlink r:id="rId472" w:tgtFrame="_blank" w:history="1">
        <w:r w:rsidRPr="00DD7BD1">
          <w:rPr>
            <w:rStyle w:val="Hyperlink"/>
            <w:rFonts w:ascii="Calibri" w:hAnsi="Calibri" w:cs="Calibri"/>
            <w:color w:val="3052DA"/>
            <w:sz w:val="22"/>
            <w:szCs w:val="22"/>
          </w:rPr>
          <w:t>out-of-pocket limits</w:t>
        </w:r>
      </w:hyperlink>
      <w:r w:rsidRPr="00DD7BD1">
        <w:rPr>
          <w:rFonts w:ascii="Calibri" w:hAnsi="Calibri" w:cs="Calibri"/>
          <w:color w:val="282828"/>
          <w:sz w:val="22"/>
          <w:szCs w:val="22"/>
        </w:rPr>
        <w:t> </w:t>
      </w:r>
      <w:r w:rsidRPr="00DD7BD1">
        <w:rPr>
          <w:rFonts w:ascii="Calibri" w:hAnsi="Calibri" w:cs="Calibri"/>
          <w:sz w:val="22"/>
          <w:szCs w:val="22"/>
        </w:rPr>
        <w:t>for plan years beginning in 2025 (proposed by the Department of Health and Human Services in November 2024) for non-grandfathered health plans, which are:</w:t>
      </w:r>
    </w:p>
    <w:p w14:paraId="1E39F2EC"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Self-coverage only: $9,200 ($250 decrease from 2024)</w:t>
      </w:r>
    </w:p>
    <w:p w14:paraId="30290F25"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Family coverage: $18,400 ($500 decrease from 2024)</w:t>
      </w:r>
    </w:p>
    <w:p w14:paraId="5ABEE5C4" w14:textId="0FF47E33"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Unlike the HDHP out-of-pocket maximums, the ACA out-of-pocket maximums apply </w:t>
      </w:r>
      <w:proofErr w:type="gramStart"/>
      <w:r w:rsidRPr="00DD7BD1">
        <w:rPr>
          <w:rFonts w:ascii="Calibri" w:hAnsi="Calibri" w:cs="Calibri"/>
          <w:sz w:val="22"/>
          <w:szCs w:val="22"/>
        </w:rPr>
        <w:t>to in-network</w:t>
      </w:r>
      <w:proofErr w:type="gramEnd"/>
      <w:r w:rsidRPr="00DD7BD1">
        <w:rPr>
          <w:rFonts w:ascii="Calibri" w:hAnsi="Calibri" w:cs="Calibri"/>
          <w:sz w:val="22"/>
          <w:szCs w:val="22"/>
        </w:rPr>
        <w:t xml:space="preserve"> essential health benefits.</w:t>
      </w:r>
      <w:bookmarkEnd w:id="44"/>
    </w:p>
    <w:p w14:paraId="40FB6F97" w14:textId="77777777" w:rsidR="00946A29" w:rsidRPr="00DD7BD1" w:rsidRDefault="00946A29" w:rsidP="00946A29">
      <w:pPr>
        <w:pStyle w:val="BList1"/>
        <w:numPr>
          <w:ilvl w:val="0"/>
          <w:numId w:val="0"/>
        </w:numPr>
        <w:spacing w:before="0" w:after="0" w:line="240" w:lineRule="auto"/>
        <w:ind w:left="720" w:hanging="360"/>
        <w:rPr>
          <w:rFonts w:ascii="Calibri" w:hAnsi="Calibri" w:cs="Calibri"/>
          <w:b/>
          <w:bCs/>
          <w:color w:val="C00000"/>
          <w:sz w:val="16"/>
          <w:szCs w:val="16"/>
          <w:shd w:val="clear" w:color="auto" w:fill="FFFFFF"/>
        </w:rPr>
      </w:pPr>
    </w:p>
    <w:p w14:paraId="7E3EFBBF" w14:textId="7445C452" w:rsidR="00946A29" w:rsidRPr="00DD7BD1" w:rsidRDefault="00946A29" w:rsidP="00946A29">
      <w:pPr>
        <w:pStyle w:val="BList1"/>
        <w:numPr>
          <w:ilvl w:val="0"/>
          <w:numId w:val="0"/>
        </w:numPr>
        <w:spacing w:before="0" w:after="0" w:line="240" w:lineRule="auto"/>
        <w:ind w:left="30"/>
        <w:jc w:val="center"/>
        <w:rPr>
          <w:rFonts w:ascii="Calibri" w:hAnsi="Calibri" w:cs="Calibri"/>
          <w:b/>
          <w:bCs/>
          <w:color w:val="111111"/>
          <w:sz w:val="28"/>
          <w:szCs w:val="28"/>
          <w:shd w:val="clear" w:color="auto" w:fill="FFFFFF"/>
        </w:rPr>
      </w:pPr>
      <w:r w:rsidRPr="00DD7BD1">
        <w:rPr>
          <w:rFonts w:ascii="Calibri" w:hAnsi="Calibri" w:cs="Calibri"/>
          <w:b/>
          <w:bCs/>
          <w:color w:val="111111"/>
          <w:sz w:val="28"/>
          <w:szCs w:val="28"/>
          <w:shd w:val="clear" w:color="auto" w:fill="FFFFFF"/>
        </w:rPr>
        <w:t>2023 RxDC Reporting</w:t>
      </w:r>
      <w:r w:rsidRPr="00DD7BD1">
        <w:rPr>
          <w:rFonts w:ascii="Calibri" w:hAnsi="Calibri" w:cs="Calibri"/>
          <w:color w:val="111111"/>
          <w:sz w:val="28"/>
          <w:szCs w:val="28"/>
          <w:shd w:val="clear" w:color="auto" w:fill="FFFFFF"/>
        </w:rPr>
        <w:t> </w:t>
      </w:r>
      <w:r w:rsidRPr="00DD7BD1">
        <w:rPr>
          <w:rFonts w:ascii="Calibri" w:hAnsi="Calibri" w:cs="Calibri"/>
          <w:b/>
          <w:bCs/>
          <w:color w:val="111111"/>
          <w:sz w:val="28"/>
          <w:szCs w:val="28"/>
          <w:shd w:val="clear" w:color="auto" w:fill="FFFFFF"/>
        </w:rPr>
        <w:t xml:space="preserve">Due to CMS by </w:t>
      </w:r>
      <w:r w:rsidRPr="00DD7BD1">
        <w:rPr>
          <w:rFonts w:ascii="Calibri" w:hAnsi="Calibri" w:cs="Calibri"/>
          <w:b/>
          <w:bCs/>
          <w:sz w:val="28"/>
          <w:szCs w:val="28"/>
          <w:shd w:val="clear" w:color="auto" w:fill="FFFFFF"/>
        </w:rPr>
        <w:t>June 1, 2024 – ALL EMPLOYERS Offering Pharmacy Benefits as Part of their Health/Group Medical Benefit</w:t>
      </w:r>
    </w:p>
    <w:p w14:paraId="084B434D" w14:textId="4B398D11" w:rsidR="00946A29" w:rsidRPr="00DD7BD1" w:rsidRDefault="00946A29" w:rsidP="00946A29">
      <w:pPr>
        <w:pStyle w:val="BList1"/>
        <w:numPr>
          <w:ilvl w:val="0"/>
          <w:numId w:val="0"/>
        </w:numPr>
        <w:spacing w:before="0" w:after="0" w:line="240" w:lineRule="auto"/>
        <w:jc w:val="both"/>
        <w:rPr>
          <w:rFonts w:ascii="Calibri" w:hAnsi="Calibri" w:cs="Calibri"/>
          <w:color w:val="111111"/>
          <w:shd w:val="clear" w:color="auto" w:fill="FFFFFF"/>
        </w:rPr>
      </w:pPr>
      <w:r w:rsidRPr="00DD7BD1">
        <w:rPr>
          <w:rFonts w:ascii="Calibri" w:hAnsi="Calibri" w:cs="Calibri"/>
          <w:color w:val="111111"/>
          <w:shd w:val="clear" w:color="auto" w:fill="FFFFFF"/>
        </w:rPr>
        <w:t xml:space="preserve">The Consolidated Appropriations Act of 2021 (Transparency) requires all group health plans with pharmacy coverage to submit annually data and financials around their Rx programs either embedded in their medical or carved out separately. </w:t>
      </w:r>
      <w:r w:rsidRPr="00DD7BD1">
        <w:rPr>
          <w:rFonts w:ascii="Calibri" w:hAnsi="Calibri" w:cs="Calibri"/>
          <w:shd w:val="clear" w:color="auto" w:fill="FFFFFF"/>
        </w:rPr>
        <w:t xml:space="preserve">The 2023 reference year (calendar year) RxDC data report is due by </w:t>
      </w:r>
      <w:r w:rsidRPr="00DD7BD1">
        <w:rPr>
          <w:rFonts w:ascii="Calibri" w:hAnsi="Calibri" w:cs="Calibri"/>
          <w:b/>
          <w:bCs/>
          <w:shd w:val="clear" w:color="auto" w:fill="FFFFFF"/>
        </w:rPr>
        <w:t>June 3, 2024</w:t>
      </w:r>
      <w:r w:rsidRPr="00DD7BD1">
        <w:rPr>
          <w:rFonts w:ascii="Calibri" w:hAnsi="Calibri" w:cs="Calibri"/>
          <w:shd w:val="clear" w:color="auto" w:fill="FFFFFF"/>
        </w:rPr>
        <w:t xml:space="preserve">. </w:t>
      </w:r>
    </w:p>
    <w:p w14:paraId="4A619D11"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shd w:val="clear" w:color="auto" w:fill="FFFFFF"/>
        </w:rPr>
        <w:t xml:space="preserve">Although </w:t>
      </w:r>
      <w:r w:rsidRPr="00DD7BD1">
        <w:rPr>
          <w:rFonts w:ascii="Calibri" w:eastAsia="Arial" w:hAnsi="Calibri" w:cs="Calibri"/>
          <w:sz w:val="22"/>
          <w:szCs w:val="22"/>
        </w:rPr>
        <w:t xml:space="preserve">most fully-insured plan carriers have taken on this responsibility on behalf of employers,  </w:t>
      </w:r>
      <w:r w:rsidRPr="00DD7BD1">
        <w:rPr>
          <w:rFonts w:ascii="Calibri" w:hAnsi="Calibri" w:cs="Calibri"/>
          <w:color w:val="111111"/>
          <w:sz w:val="22"/>
          <w:szCs w:val="22"/>
        </w:rPr>
        <w:t>carriers/TPAs/PBMs will still need to collect a couple of financial details from the Employer that includes:</w:t>
      </w:r>
    </w:p>
    <w:p w14:paraId="1DD36294"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Member Monthly Premium Paid by MEMBER</w:t>
      </w:r>
    </w:p>
    <w:p w14:paraId="4020012A" w14:textId="79E597D2"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Monthly Premiums Paid by EMPLOYER</w:t>
      </w:r>
    </w:p>
    <w:p w14:paraId="26D98505"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The Centers for Medicare and Medicaid Services (CMS) published the </w:t>
      </w:r>
      <w:hyperlink r:id="rId473" w:tgtFrame="_blank" w:history="1">
        <w:r w:rsidRPr="00DD7BD1">
          <w:rPr>
            <w:rStyle w:val="Hyperlink"/>
            <w:rFonts w:ascii="Calibri" w:hAnsi="Calibri" w:cs="Calibri"/>
            <w:color w:val="3052DA"/>
            <w:sz w:val="22"/>
            <w:szCs w:val="22"/>
          </w:rPr>
          <w:t>2023 reference year instructions</w:t>
        </w:r>
      </w:hyperlink>
      <w:r w:rsidRPr="00DD7BD1">
        <w:rPr>
          <w:rFonts w:ascii="Calibri" w:hAnsi="Calibri" w:cs="Calibri"/>
          <w:color w:val="282828"/>
          <w:sz w:val="22"/>
          <w:szCs w:val="22"/>
        </w:rPr>
        <w:t xml:space="preserve">. </w:t>
      </w:r>
      <w:r w:rsidRPr="00DD7BD1">
        <w:rPr>
          <w:rFonts w:ascii="Calibri" w:hAnsi="Calibri" w:cs="Calibri"/>
          <w:sz w:val="22"/>
          <w:szCs w:val="22"/>
        </w:rPr>
        <w:t>The key updates include:</w:t>
      </w:r>
    </w:p>
    <w:p w14:paraId="01D0E5B7"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Updates to benefit carve-out field: Instructions for filling out the benefit carve-out field in section P2 have been updated.</w:t>
      </w:r>
    </w:p>
    <w:p w14:paraId="61486BD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lastRenderedPageBreak/>
        <w:t>Guidance on retained rebates reporting: New instructions have been provided for reporting entities on how to report information on retained rebates when exact amounts are unknown.</w:t>
      </w:r>
    </w:p>
    <w:p w14:paraId="089B809A"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Enforcement of aggregation restriction: The enforcement of the aggregation restriction has been announced, which pertains to how data are aggregated for reporting purposes.</w:t>
      </w:r>
    </w:p>
    <w:p w14:paraId="3B4AA3A8" w14:textId="4E9BD4A5"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Addition of enrollment column to D6: A new column to collect enrollment data has been added to section D6.</w:t>
      </w:r>
    </w:p>
    <w:p w14:paraId="39752EE3"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Read more on the CMS </w:t>
      </w:r>
      <w:hyperlink r:id="rId474" w:tgtFrame="_blank" w:history="1">
        <w:r w:rsidRPr="00DD7BD1">
          <w:rPr>
            <w:rStyle w:val="Hyperlink"/>
            <w:rFonts w:ascii="Calibri" w:hAnsi="Calibri" w:cs="Calibri"/>
            <w:color w:val="3052DA"/>
            <w:sz w:val="22"/>
            <w:szCs w:val="22"/>
          </w:rPr>
          <w:t>Prescription Drug Data Collection (RxDC)</w:t>
        </w:r>
      </w:hyperlink>
      <w:r w:rsidRPr="00DD7BD1">
        <w:rPr>
          <w:rFonts w:ascii="Calibri" w:hAnsi="Calibri" w:cs="Calibri"/>
          <w:color w:val="282828"/>
          <w:sz w:val="22"/>
          <w:szCs w:val="22"/>
        </w:rPr>
        <w:t> </w:t>
      </w:r>
      <w:r w:rsidRPr="00DD7BD1">
        <w:rPr>
          <w:rFonts w:ascii="Calibri" w:hAnsi="Calibri" w:cs="Calibri"/>
          <w:sz w:val="22"/>
          <w:szCs w:val="22"/>
        </w:rPr>
        <w:t>web page</w:t>
      </w:r>
    </w:p>
    <w:p w14:paraId="18FB5D82" w14:textId="30135F85" w:rsidR="00946A29" w:rsidRPr="00DD7BD1" w:rsidRDefault="00946A29" w:rsidP="00946A29">
      <w:pPr>
        <w:pStyle w:val="NormalWeb"/>
        <w:spacing w:before="0" w:beforeAutospacing="0" w:after="0" w:afterAutospacing="0"/>
        <w:jc w:val="both"/>
        <w:rPr>
          <w:rFonts w:ascii="Calibri" w:hAnsi="Calibri" w:cs="Calibri"/>
          <w:sz w:val="22"/>
          <w:szCs w:val="22"/>
        </w:rPr>
      </w:pPr>
      <w:r w:rsidRPr="00DD7BD1">
        <w:rPr>
          <w:rFonts w:ascii="Calibri" w:hAnsi="Calibri" w:cs="Calibri"/>
          <w:color w:val="111111"/>
          <w:sz w:val="22"/>
          <w:szCs w:val="22"/>
          <w:shd w:val="clear" w:color="auto" w:fill="FFFFFF"/>
        </w:rPr>
        <w:t>Because these calculations are based on actual costs (not projected), the information will need to be collected from your accounting and/or payroll records.  </w:t>
      </w:r>
      <w:r w:rsidRPr="00DD7BD1">
        <w:rPr>
          <w:rFonts w:ascii="Calibri" w:eastAsia="Arial" w:hAnsi="Calibri" w:cs="Calibri"/>
          <w:sz w:val="22"/>
          <w:szCs w:val="22"/>
        </w:rPr>
        <w:t xml:space="preserve">For self and level funded plan reporting obligations vary among health insurance carriers. </w:t>
      </w:r>
      <w:r w:rsidRPr="00DD7BD1">
        <w:rPr>
          <w:rFonts w:ascii="Calibri" w:hAnsi="Calibri" w:cs="Calibri"/>
          <w:sz w:val="22"/>
          <w:szCs w:val="22"/>
        </w:rPr>
        <w:t>Be on the lookout for more details from your Carrier and Broker regarding RxDC employer obligations.  ETC can also provide guidance and assistance; please reach out with questions today!</w:t>
      </w:r>
    </w:p>
    <w:p w14:paraId="3B6B99C4" w14:textId="77777777" w:rsidR="00946A29" w:rsidRPr="00DD7BD1" w:rsidRDefault="00946A29" w:rsidP="00946A29">
      <w:pPr>
        <w:pStyle w:val="NormalWeb"/>
        <w:spacing w:before="0" w:beforeAutospacing="0" w:after="0" w:afterAutospacing="0"/>
        <w:jc w:val="both"/>
        <w:rPr>
          <w:rFonts w:ascii="Calibri" w:hAnsi="Calibri" w:cs="Calibri"/>
          <w:sz w:val="16"/>
          <w:szCs w:val="16"/>
        </w:rPr>
      </w:pPr>
    </w:p>
    <w:p w14:paraId="23B1C534" w14:textId="69ED292B" w:rsidR="00946A29" w:rsidRPr="00DD7BD1" w:rsidRDefault="00946A29" w:rsidP="00946A29">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rPr>
      </w:pPr>
      <w:r w:rsidRPr="00DD7BD1">
        <w:rPr>
          <w:rFonts w:ascii="Calibri" w:eastAsiaTheme="minorHAnsi" w:hAnsi="Calibri" w:cs="Calibri"/>
          <w:kern w:val="0"/>
          <w:sz w:val="28"/>
          <w:szCs w:val="28"/>
        </w:rPr>
        <w:t xml:space="preserve">The 2023 </w:t>
      </w:r>
      <w:r w:rsidRPr="00DD7BD1">
        <w:rPr>
          <w:rStyle w:val="Strong"/>
          <w:rFonts w:ascii="Calibri" w:hAnsi="Calibri" w:cs="Calibri"/>
          <w:b/>
          <w:bCs/>
          <w:sz w:val="28"/>
          <w:szCs w:val="28"/>
          <w:shd w:val="clear" w:color="auto" w:fill="FFFFFF"/>
        </w:rPr>
        <w:t>EEO-1 Component 1 Data Collection June 4</w:t>
      </w:r>
      <w:r w:rsidRPr="00DD7BD1">
        <w:rPr>
          <w:rStyle w:val="Strong"/>
          <w:rFonts w:ascii="Calibri" w:hAnsi="Calibri" w:cs="Calibri"/>
          <w:b/>
          <w:bCs/>
          <w:sz w:val="28"/>
          <w:szCs w:val="28"/>
          <w:shd w:val="clear" w:color="auto" w:fill="FFFFFF"/>
          <w:vertAlign w:val="superscript"/>
        </w:rPr>
        <w:t>th</w:t>
      </w:r>
      <w:r w:rsidRPr="00DD7BD1">
        <w:rPr>
          <w:rStyle w:val="Strong"/>
          <w:rFonts w:ascii="Calibri" w:hAnsi="Calibri" w:cs="Calibri"/>
          <w:b/>
          <w:bCs/>
          <w:sz w:val="28"/>
          <w:szCs w:val="28"/>
          <w:shd w:val="clear" w:color="auto" w:fill="FFFFFF"/>
        </w:rPr>
        <w:t xml:space="preserve"> Reporting Deadline</w:t>
      </w:r>
    </w:p>
    <w:p w14:paraId="75E72D56" w14:textId="77777777" w:rsidR="00946A29" w:rsidRPr="00DD7BD1" w:rsidRDefault="00946A29" w:rsidP="00946A29">
      <w:pPr>
        <w:pStyle w:val="Heading1"/>
        <w:shd w:val="clear" w:color="auto" w:fill="FFFFFF"/>
        <w:spacing w:before="0" w:beforeAutospacing="0" w:after="0" w:afterAutospacing="0"/>
        <w:rPr>
          <w:rFonts w:ascii="Calibri" w:hAnsi="Calibri" w:cs="Calibri"/>
          <w:sz w:val="24"/>
          <w:szCs w:val="24"/>
          <w:u w:val="single"/>
          <w:shd w:val="clear" w:color="auto" w:fill="FFFFFF"/>
        </w:rPr>
      </w:pPr>
      <w:r w:rsidRPr="00DD7BD1">
        <w:rPr>
          <w:rFonts w:ascii="Calibri" w:hAnsi="Calibri" w:cs="Calibri"/>
          <w:sz w:val="24"/>
          <w:szCs w:val="24"/>
          <w:u w:val="single"/>
          <w:shd w:val="clear" w:color="auto" w:fill="FFFFFF"/>
        </w:rPr>
        <w:t>Yes, you read that correctly!</w:t>
      </w:r>
    </w:p>
    <w:p w14:paraId="40C32717" w14:textId="77777777" w:rsidR="00946A29" w:rsidRPr="00DD7BD1" w:rsidRDefault="00946A29" w:rsidP="00946A29">
      <w:pPr>
        <w:pStyle w:val="Heading1"/>
        <w:shd w:val="clear" w:color="auto" w:fill="FFFFFF"/>
        <w:spacing w:before="0" w:beforeAutospacing="0" w:after="0" w:afterAutospacing="0"/>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 xml:space="preserve">The </w:t>
      </w:r>
      <w:r w:rsidRPr="00DD7BD1">
        <w:rPr>
          <w:rFonts w:ascii="Calibri" w:hAnsi="Calibri" w:cs="Calibri"/>
          <w:sz w:val="22"/>
          <w:szCs w:val="22"/>
          <w:u w:val="single"/>
          <w:shd w:val="clear" w:color="auto" w:fill="FFFFFF"/>
        </w:rPr>
        <w:t>2023</w:t>
      </w:r>
      <w:r w:rsidRPr="00DD7BD1">
        <w:rPr>
          <w:rFonts w:ascii="Calibri" w:hAnsi="Calibri" w:cs="Calibri"/>
          <w:b w:val="0"/>
          <w:bCs w:val="0"/>
          <w:sz w:val="22"/>
          <w:szCs w:val="22"/>
          <w:shd w:val="clear" w:color="auto" w:fill="FFFFFF"/>
        </w:rPr>
        <w:t xml:space="preserve"> EEO-1 Component 1 data collection will open on </w:t>
      </w:r>
      <w:r w:rsidRPr="00DD7BD1">
        <w:rPr>
          <w:rStyle w:val="Strong"/>
          <w:rFonts w:ascii="Calibri" w:hAnsi="Calibri" w:cs="Calibri"/>
          <w:b/>
          <w:bCs/>
          <w:sz w:val="22"/>
          <w:szCs w:val="22"/>
          <w:shd w:val="clear" w:color="auto" w:fill="FFFFFF"/>
        </w:rPr>
        <w:t>Tuesday, April 30, 2024</w:t>
      </w:r>
      <w:r w:rsidRPr="00DD7BD1">
        <w:rPr>
          <w:rFonts w:ascii="Calibri" w:hAnsi="Calibri" w:cs="Calibri"/>
          <w:b w:val="0"/>
          <w:bCs w:val="0"/>
          <w:sz w:val="22"/>
          <w:szCs w:val="22"/>
          <w:shd w:val="clear" w:color="auto" w:fill="FFFFFF"/>
        </w:rPr>
        <w:t xml:space="preserve">. </w:t>
      </w:r>
    </w:p>
    <w:p w14:paraId="616F0948" w14:textId="1DB37363" w:rsidR="00946A29" w:rsidRPr="00DD7BD1" w:rsidRDefault="00946A29" w:rsidP="00946A29">
      <w:pPr>
        <w:pStyle w:val="Heading1"/>
        <w:shd w:val="clear" w:color="auto" w:fill="FFFFFF"/>
        <w:spacing w:before="0" w:beforeAutospacing="0" w:after="0" w:afterAutospacing="0"/>
        <w:rPr>
          <w:rFonts w:ascii="Calibri" w:hAnsi="Calibri" w:cs="Calibri"/>
          <w:b w:val="0"/>
          <w:bCs w:val="0"/>
          <w:color w:val="1B1B1B"/>
          <w:sz w:val="22"/>
          <w:szCs w:val="22"/>
          <w:shd w:val="clear" w:color="auto" w:fill="FFFFFF"/>
        </w:rPr>
      </w:pPr>
      <w:r w:rsidRPr="00DD7BD1">
        <w:rPr>
          <w:rFonts w:ascii="Calibri" w:hAnsi="Calibri" w:cs="Calibri"/>
          <w:b w:val="0"/>
          <w:bCs w:val="0"/>
          <w:sz w:val="22"/>
          <w:szCs w:val="22"/>
          <w:shd w:val="clear" w:color="auto" w:fill="FFFFFF"/>
        </w:rPr>
        <w:t>The deadline to file the 2023 EEO-1 Component 1 report is </w:t>
      </w:r>
      <w:r w:rsidRPr="00DD7BD1">
        <w:rPr>
          <w:rStyle w:val="Strong"/>
          <w:rFonts w:ascii="Calibri" w:hAnsi="Calibri" w:cs="Calibri"/>
          <w:b/>
          <w:bCs/>
          <w:sz w:val="22"/>
          <w:szCs w:val="22"/>
          <w:shd w:val="clear" w:color="auto" w:fill="FFFFFF"/>
        </w:rPr>
        <w:t>Tuesday, June 4, 2024</w:t>
      </w:r>
      <w:r w:rsidRPr="00DD7BD1">
        <w:rPr>
          <w:rFonts w:ascii="Calibri" w:hAnsi="Calibri" w:cs="Calibri"/>
          <w:b w:val="0"/>
          <w:bCs w:val="0"/>
          <w:sz w:val="22"/>
          <w:szCs w:val="22"/>
          <w:shd w:val="clear" w:color="auto" w:fill="FFFFFF"/>
        </w:rPr>
        <w:t>. </w:t>
      </w:r>
    </w:p>
    <w:p w14:paraId="29D36203" w14:textId="0467D06C"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475" w:history="1">
        <w:r w:rsidRPr="00DD7BD1">
          <w:rPr>
            <w:rStyle w:val="Hyperlink"/>
            <w:rFonts w:ascii="Calibri" w:hAnsi="Calibri" w:cs="Calibri"/>
            <w:b w:val="0"/>
            <w:bCs w:val="0"/>
            <w:color w:val="005EA2"/>
            <w:sz w:val="22"/>
            <w:szCs w:val="22"/>
            <w:shd w:val="clear" w:color="auto" w:fill="FFFFFF"/>
          </w:rPr>
          <w:t>www.eeocdata.org/eeo1</w:t>
        </w:r>
      </w:hyperlink>
      <w:r w:rsidRPr="00DD7BD1">
        <w:rPr>
          <w:rFonts w:ascii="Calibri" w:hAnsi="Calibri" w:cs="Calibri"/>
          <w:b w:val="0"/>
          <w:bCs w:val="0"/>
          <w:color w:val="1B1B1B"/>
          <w:sz w:val="22"/>
          <w:szCs w:val="22"/>
          <w:shd w:val="clear" w:color="auto" w:fill="FFFFFF"/>
        </w:rPr>
        <w:t> </w:t>
      </w:r>
      <w:r w:rsidRPr="00DD7BD1">
        <w:rPr>
          <w:rFonts w:ascii="Calibri" w:hAnsi="Calibri" w:cs="Calibri"/>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DD7BD1" w:rsidRDefault="002833B7" w:rsidP="00946A29">
      <w:pPr>
        <w:pStyle w:val="BodyText"/>
        <w:spacing w:after="0" w:line="240" w:lineRule="auto"/>
        <w:ind w:right="360"/>
        <w:rPr>
          <w:rFonts w:eastAsiaTheme="minorHAnsi" w:cs="Calibri"/>
          <w:b/>
          <w:bCs/>
          <w:color w:val="auto"/>
          <w:sz w:val="16"/>
          <w:szCs w:val="16"/>
        </w:rPr>
      </w:pPr>
    </w:p>
    <w:p w14:paraId="49AB40DC" w14:textId="4A514DFB"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color w:val="111111"/>
          <w:sz w:val="28"/>
          <w:szCs w:val="28"/>
        </w:rPr>
        <w:t>OSHA Form 300A Deadline</w:t>
      </w:r>
    </w:p>
    <w:p w14:paraId="49E40BEB" w14:textId="77777777"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sz w:val="28"/>
          <w:szCs w:val="28"/>
        </w:rPr>
        <w:t>Posted by February 1 </w:t>
      </w:r>
      <w:r w:rsidRPr="00DD7BD1">
        <w:rPr>
          <w:rFonts w:ascii="Calibri" w:hAnsi="Calibri" w:cs="Calibri"/>
          <w:b/>
          <w:bCs/>
          <w:color w:val="111111"/>
          <w:sz w:val="28"/>
          <w:szCs w:val="28"/>
        </w:rPr>
        <w:t>&amp;</w:t>
      </w:r>
      <w:r w:rsidRPr="00DD7BD1">
        <w:rPr>
          <w:rFonts w:ascii="Calibri" w:hAnsi="Calibri" w:cs="Calibri"/>
          <w:color w:val="111111"/>
          <w:sz w:val="28"/>
          <w:szCs w:val="28"/>
        </w:rPr>
        <w:t xml:space="preserve"> </w:t>
      </w:r>
      <w:r w:rsidRPr="00DD7BD1">
        <w:rPr>
          <w:rFonts w:ascii="Calibri" w:hAnsi="Calibri" w:cs="Calibri"/>
          <w:b/>
          <w:bCs/>
          <w:color w:val="111111"/>
          <w:sz w:val="28"/>
          <w:szCs w:val="28"/>
        </w:rPr>
        <w:t>Electronically Submitt</w:t>
      </w:r>
      <w:r w:rsidRPr="00DD7BD1">
        <w:rPr>
          <w:rFonts w:ascii="Calibri" w:hAnsi="Calibri" w:cs="Calibri"/>
          <w:b/>
          <w:bCs/>
          <w:sz w:val="28"/>
          <w:szCs w:val="28"/>
        </w:rPr>
        <w:t xml:space="preserve">ed March 2, if </w:t>
      </w:r>
      <w:r w:rsidRPr="00DD7BD1">
        <w:rPr>
          <w:rFonts w:ascii="Calibri" w:hAnsi="Calibri" w:cs="Calibri"/>
          <w:b/>
          <w:bCs/>
          <w:color w:val="111111"/>
          <w:sz w:val="28"/>
          <w:szCs w:val="28"/>
        </w:rPr>
        <w:t>applicable</w:t>
      </w:r>
    </w:p>
    <w:p w14:paraId="4CAA0199"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ETC published on January 17</w:t>
      </w:r>
      <w:r w:rsidRPr="00DD7BD1">
        <w:rPr>
          <w:rFonts w:ascii="Calibri" w:hAnsi="Calibri" w:cs="Calibri"/>
          <w:vertAlign w:val="superscript"/>
        </w:rPr>
        <w:t>th</w:t>
      </w:r>
      <w:r w:rsidRPr="00DD7BD1">
        <w:rPr>
          <w:rFonts w:ascii="Calibri" w:hAnsi="Calibri" w:cs="Calibri"/>
        </w:rPr>
        <w:t xml:space="preserve"> an e-Alert compliance reminder pertaining to OSHA Form 300A. Be sure you are aware of the applicability of any OSHA recordkeeping and filings to your organization.</w:t>
      </w:r>
    </w:p>
    <w:p w14:paraId="1C4A1166" w14:textId="77777777" w:rsidR="00946A29" w:rsidRPr="00DD7BD1" w:rsidRDefault="00946A29" w:rsidP="009040C5">
      <w:pPr>
        <w:pStyle w:val="ParagraphBasic"/>
        <w:spacing w:after="0" w:line="240" w:lineRule="auto"/>
        <w:jc w:val="both"/>
        <w:rPr>
          <w:rFonts w:ascii="Calibri" w:hAnsi="Calibri" w:cs="Calibri"/>
          <w:sz w:val="16"/>
          <w:szCs w:val="16"/>
        </w:rPr>
      </w:pPr>
    </w:p>
    <w:p w14:paraId="586F781F" w14:textId="68AF8BDB" w:rsidR="00946A29" w:rsidRPr="00DD7BD1" w:rsidRDefault="00946A29" w:rsidP="00946A29">
      <w:pPr>
        <w:pStyle w:val="NormalWeb"/>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OFCCP Affirmative Action Plan Submission Due July 1</w:t>
      </w:r>
    </w:p>
    <w:p w14:paraId="4F3D3145" w14:textId="6079D11C" w:rsidR="00946A29" w:rsidRPr="00DD7BD1" w:rsidRDefault="00946A29" w:rsidP="00946A29">
      <w:pPr>
        <w:pStyle w:val="NormalWeb"/>
        <w:spacing w:before="0" w:beforeAutospacing="0" w:after="0" w:afterAutospacing="0"/>
        <w:rPr>
          <w:rFonts w:ascii="Calibri" w:hAnsi="Calibri" w:cs="Calibri"/>
          <w:color w:val="000000"/>
          <w:sz w:val="22"/>
          <w:szCs w:val="22"/>
          <w:shd w:val="clear" w:color="auto" w:fill="FFFFFF"/>
        </w:rPr>
      </w:pPr>
      <w:r w:rsidRPr="00DD7BD1">
        <w:rPr>
          <w:rFonts w:ascii="Calibri" w:hAnsi="Calibri" w:cs="Calibri"/>
          <w:sz w:val="22"/>
          <w:szCs w:val="22"/>
        </w:rPr>
        <w:t>On April 1</w:t>
      </w:r>
      <w:r w:rsidRPr="00DD7BD1">
        <w:rPr>
          <w:rFonts w:ascii="Calibri" w:hAnsi="Calibri" w:cs="Calibri"/>
          <w:sz w:val="22"/>
          <w:szCs w:val="22"/>
          <w:vertAlign w:val="superscript"/>
        </w:rPr>
        <w:t>st</w:t>
      </w:r>
      <w:r w:rsidRPr="00DD7BD1">
        <w:rPr>
          <w:rFonts w:ascii="Calibri" w:hAnsi="Calibri" w:cs="Calibri"/>
          <w:sz w:val="22"/>
          <w:szCs w:val="22"/>
        </w:rPr>
        <w:t xml:space="preserve"> the </w:t>
      </w:r>
      <w:r w:rsidRPr="00DD7BD1">
        <w:rPr>
          <w:rFonts w:ascii="Calibri" w:hAnsi="Calibri" w:cs="Calibri"/>
          <w:color w:val="000000"/>
          <w:sz w:val="22"/>
          <w:szCs w:val="22"/>
          <w:shd w:val="clear" w:color="auto" w:fill="FFFFFF"/>
        </w:rPr>
        <w:t>Office of Federal Contract Compliance Programs (OFCCP) will open the </w:t>
      </w:r>
      <w:hyperlink r:id="rId476" w:tgtFrame="_blank" w:history="1">
        <w:r w:rsidRPr="00DD7BD1">
          <w:rPr>
            <w:rStyle w:val="Hyperlink"/>
            <w:rFonts w:ascii="Calibri" w:eastAsiaTheme="minorHAnsi" w:hAnsi="Calibri" w:cs="Calibri"/>
            <w:sz w:val="22"/>
            <w:szCs w:val="22"/>
          </w:rPr>
          <w:t>Contractor Portal</w:t>
        </w:r>
      </w:hyperlink>
      <w:r w:rsidRPr="00DD7BD1">
        <w:rPr>
          <w:rFonts w:ascii="Calibri" w:hAnsi="Calibri" w:cs="Calibri"/>
          <w:color w:val="000000"/>
          <w:sz w:val="22"/>
          <w:szCs w:val="22"/>
          <w:shd w:val="clear" w:color="auto" w:fill="FFFFFF"/>
        </w:rPr>
        <w:t xml:space="preserve"> for the 2024 Affirmative Action Program (AAP) certification period: </w:t>
      </w:r>
      <w:r w:rsidRPr="00DD7BD1">
        <w:rPr>
          <w:rFonts w:ascii="Calibri" w:hAnsi="Calibri" w:cs="Calibri"/>
          <w:b/>
          <w:bCs/>
          <w:sz w:val="22"/>
          <w:szCs w:val="22"/>
          <w:shd w:val="clear" w:color="auto" w:fill="FFFFFF"/>
        </w:rPr>
        <w:t>April 1 – July 1, 2024</w:t>
      </w:r>
      <w:r w:rsidRPr="00DD7BD1">
        <w:rPr>
          <w:rFonts w:ascii="Calibri" w:hAnsi="Calibri" w:cs="Calibri"/>
          <w:sz w:val="22"/>
          <w:szCs w:val="22"/>
          <w:shd w:val="clear" w:color="auto" w:fill="FFFFFF"/>
        </w:rPr>
        <w:t>.</w:t>
      </w:r>
    </w:p>
    <w:p w14:paraId="553F929C" w14:textId="09194FB3" w:rsidR="00946A29" w:rsidRPr="00DD7BD1" w:rsidRDefault="00946A29" w:rsidP="00946A29">
      <w:pPr>
        <w:pStyle w:val="NormalWeb"/>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color w:val="000000"/>
          <w:sz w:val="22"/>
          <w:szCs w:val="22"/>
        </w:rPr>
        <w:t xml:space="preserve">Covered federal contractors are urged to begin certifying their AAP compliance through the portal today to meet the July 1, 2024, deadline. </w:t>
      </w:r>
      <w:r w:rsidRPr="00DD7BD1">
        <w:rPr>
          <w:rFonts w:ascii="Calibri" w:hAnsi="Calibri" w:cs="Calibri"/>
          <w:sz w:val="22"/>
          <w:szCs w:val="22"/>
        </w:rPr>
        <w:t xml:space="preserve">If you are in </w:t>
      </w:r>
      <w:proofErr w:type="gramStart"/>
      <w:r w:rsidRPr="00DD7BD1">
        <w:rPr>
          <w:rFonts w:ascii="Calibri" w:hAnsi="Calibri" w:cs="Calibri"/>
          <w:sz w:val="22"/>
          <w:szCs w:val="22"/>
        </w:rPr>
        <w:t>need out</w:t>
      </w:r>
      <w:proofErr w:type="gramEnd"/>
      <w:r w:rsidRPr="00DD7BD1">
        <w:rPr>
          <w:rFonts w:ascii="Calibri" w:hAnsi="Calibri" w:cs="Calibri"/>
          <w:sz w:val="22"/>
          <w:szCs w:val="22"/>
        </w:rPr>
        <w:t xml:space="preserve"> outsourced assistance with this compliance obligation, reach out to ETC </w:t>
      </w:r>
      <w:proofErr w:type="gramStart"/>
      <w:r w:rsidRPr="00DD7BD1">
        <w:rPr>
          <w:rFonts w:ascii="Calibri" w:hAnsi="Calibri" w:cs="Calibri"/>
          <w:sz w:val="22"/>
          <w:szCs w:val="22"/>
        </w:rPr>
        <w:t>today @</w:t>
      </w:r>
      <w:proofErr w:type="gramEnd"/>
      <w:r w:rsidRPr="00DD7BD1">
        <w:rPr>
          <w:rFonts w:ascii="Calibri" w:hAnsi="Calibri" w:cs="Calibri"/>
          <w:sz w:val="22"/>
          <w:szCs w:val="22"/>
        </w:rPr>
        <w:t>HR_Help so that we can facilitate an introduction!</w:t>
      </w:r>
    </w:p>
    <w:p w14:paraId="2570920E" w14:textId="17D8C42B"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b/>
          <w:bCs/>
          <w:color w:val="000000"/>
          <w:sz w:val="22"/>
          <w:szCs w:val="22"/>
          <w:highlight w:val="lightGray"/>
        </w:rPr>
        <w:t>Learn More:</w:t>
      </w:r>
      <w:r w:rsidRPr="00DD7BD1">
        <w:rPr>
          <w:rFonts w:ascii="Calibri" w:hAnsi="Calibri" w:cs="Calibri"/>
          <w:color w:val="000000"/>
          <w:sz w:val="22"/>
          <w:szCs w:val="22"/>
        </w:rPr>
        <w:t xml:space="preserve"> 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Visit OFCCP’s </w:t>
      </w:r>
      <w:hyperlink r:id="rId477" w:tgtFrame="_blank" w:history="1">
        <w:r w:rsidRPr="00DD7BD1">
          <w:rPr>
            <w:rStyle w:val="Hyperlink"/>
            <w:rFonts w:ascii="Calibri" w:eastAsiaTheme="minorHAnsi" w:hAnsi="Calibri" w:cs="Calibri"/>
            <w:sz w:val="22"/>
            <w:szCs w:val="22"/>
          </w:rPr>
          <w:t>Contractor Portal information page </w:t>
        </w:r>
      </w:hyperlink>
      <w:r w:rsidRPr="00DD7BD1">
        <w:rPr>
          <w:rFonts w:ascii="Calibri" w:hAnsi="Calibri" w:cs="Calibri"/>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Contractors can refer to the pre-recorded webinar on the </w:t>
      </w:r>
      <w:hyperlink r:id="rId478" w:tgtFrame="_blank" w:history="1">
        <w:r w:rsidRPr="00DD7BD1">
          <w:rPr>
            <w:rStyle w:val="Hyperlink"/>
            <w:rFonts w:ascii="Calibri" w:eastAsiaTheme="minorHAnsi" w:hAnsi="Calibri" w:cs="Calibri"/>
            <w:sz w:val="22"/>
            <w:szCs w:val="22"/>
          </w:rPr>
          <w:t>Contractor Portal information page</w:t>
        </w:r>
      </w:hyperlink>
      <w:r w:rsidRPr="00DD7BD1">
        <w:rPr>
          <w:rStyle w:val="Hyperlink"/>
          <w:rFonts w:ascii="Calibri" w:eastAsiaTheme="minorHAnsi" w:hAnsi="Calibri" w:cs="Calibri"/>
        </w:rPr>
        <w:t> that</w:t>
      </w:r>
      <w:r w:rsidRPr="00DD7BD1">
        <w:rPr>
          <w:rFonts w:ascii="Calibri" w:hAnsi="Calibri" w:cs="Calibri"/>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lastRenderedPageBreak/>
        <w:t>Please submit your Contractor Portal questions to the Applications Technical help desk using the </w:t>
      </w:r>
      <w:hyperlink r:id="rId479" w:tgtFrame="_blank" w:history="1">
        <w:r w:rsidRPr="00DD7BD1">
          <w:rPr>
            <w:rStyle w:val="Hyperlink"/>
            <w:rFonts w:ascii="Calibri" w:eastAsiaTheme="minorHAnsi" w:hAnsi="Calibri" w:cs="Calibri"/>
            <w:sz w:val="22"/>
            <w:szCs w:val="22"/>
          </w:rPr>
          <w:t>OFCCP Applications Technical Help Request Form</w:t>
        </w:r>
      </w:hyperlink>
      <w:r w:rsidRPr="00DD7BD1">
        <w:rPr>
          <w:rFonts w:ascii="Calibri" w:hAnsi="Calibri" w:cs="Calibri"/>
          <w:color w:val="000000"/>
          <w:sz w:val="22"/>
          <w:szCs w:val="22"/>
        </w:rPr>
        <w:t> or call the OFCCP help desk at 1-800-397-6251, press 1 for English or 2 for Spanish, then press 1 to reach technical support for assistance.</w:t>
      </w:r>
    </w:p>
    <w:p w14:paraId="760A709E" w14:textId="77777777" w:rsidR="00946A29" w:rsidRPr="00DD7BD1" w:rsidRDefault="00946A29">
      <w:pPr>
        <w:numPr>
          <w:ilvl w:val="0"/>
          <w:numId w:val="36"/>
        </w:numPr>
        <w:shd w:val="clear" w:color="auto" w:fill="FFFFFF"/>
        <w:spacing w:after="0" w:line="240" w:lineRule="auto"/>
        <w:ind w:left="945"/>
        <w:rPr>
          <w:rFonts w:ascii="Calibri" w:hAnsi="Calibri" w:cs="Calibri"/>
          <w:color w:val="000000"/>
        </w:rPr>
      </w:pPr>
      <w:r w:rsidRPr="00DD7BD1">
        <w:rPr>
          <w:rFonts w:ascii="Calibri" w:hAnsi="Calibri" w:cs="Calibri"/>
          <w:color w:val="000000"/>
        </w:rPr>
        <w:t>Instructions for registering and certifying for the Contractor Portal </w:t>
      </w:r>
    </w:p>
    <w:p w14:paraId="098F46D4"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80" w:tgtFrame="_blank" w:history="1">
        <w:r w:rsidRPr="00DD7BD1">
          <w:rPr>
            <w:rStyle w:val="Hyperlink"/>
            <w:rFonts w:ascii="Calibri" w:hAnsi="Calibri" w:cs="Calibri"/>
          </w:rPr>
          <w:t>How-to Videos</w:t>
        </w:r>
      </w:hyperlink>
    </w:p>
    <w:p w14:paraId="589CD602"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81" w:tgtFrame="_blank" w:history="1">
        <w:r w:rsidRPr="00DD7BD1">
          <w:rPr>
            <w:rStyle w:val="Hyperlink"/>
            <w:rFonts w:ascii="Calibri" w:hAnsi="Calibri" w:cs="Calibri"/>
          </w:rPr>
          <w:t>User Guide</w:t>
        </w:r>
      </w:hyperlink>
    </w:p>
    <w:p w14:paraId="33C645C5" w14:textId="1E9BF7B0" w:rsidR="00946A29" w:rsidRPr="00DD7BD1" w:rsidRDefault="00946A29">
      <w:pPr>
        <w:numPr>
          <w:ilvl w:val="0"/>
          <w:numId w:val="36"/>
        </w:numPr>
        <w:shd w:val="clear" w:color="auto" w:fill="FFFFFF"/>
        <w:spacing w:after="0" w:line="240" w:lineRule="auto"/>
        <w:ind w:left="945"/>
        <w:rPr>
          <w:rFonts w:ascii="Calibri" w:hAnsi="Calibri" w:cs="Calibri"/>
          <w:color w:val="0000FF"/>
          <w:u w:val="single"/>
        </w:rPr>
      </w:pPr>
      <w:hyperlink r:id="rId482" w:tgtFrame="_blank" w:history="1">
        <w:r w:rsidRPr="00DD7BD1">
          <w:rPr>
            <w:rStyle w:val="Hyperlink"/>
            <w:rFonts w:ascii="Calibri" w:hAnsi="Calibri" w:cs="Calibri"/>
          </w:rPr>
          <w:t>Frequently Asked Questions </w:t>
        </w:r>
      </w:hyperlink>
      <w:r w:rsidRPr="00DD7BD1">
        <w:rPr>
          <w:rStyle w:val="Hyperlink"/>
          <w:rFonts w:ascii="Calibri" w:hAnsi="Calibri" w:cs="Calibri"/>
        </w:rPr>
        <w:t> </w:t>
      </w:r>
    </w:p>
    <w:p w14:paraId="310C3282" w14:textId="77777777" w:rsidR="009040C5" w:rsidRPr="00DD7BD1" w:rsidRDefault="009040C5" w:rsidP="009040C5">
      <w:pPr>
        <w:pStyle w:val="ParagraphBasic"/>
        <w:spacing w:after="0" w:line="240" w:lineRule="auto"/>
        <w:jc w:val="both"/>
        <w:rPr>
          <w:rFonts w:ascii="Calibri" w:hAnsi="Calibri" w:cs="Calibri"/>
          <w:sz w:val="16"/>
          <w:szCs w:val="16"/>
        </w:rPr>
      </w:pPr>
    </w:p>
    <w:p w14:paraId="3BFA7C98" w14:textId="2C297D96" w:rsidR="009040C5" w:rsidRPr="00DD7BD1" w:rsidRDefault="009040C5" w:rsidP="009040C5">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ACA Reporting Deadlines</w:t>
      </w:r>
    </w:p>
    <w:p w14:paraId="138AA51E" w14:textId="77777777" w:rsidR="009040C5" w:rsidRPr="00DD7BD1" w:rsidRDefault="009040C5" w:rsidP="009040C5">
      <w:pPr>
        <w:pStyle w:val="BodyText"/>
        <w:spacing w:after="0" w:line="240" w:lineRule="auto"/>
        <w:ind w:right="360"/>
        <w:rPr>
          <w:rFonts w:cs="Calibri"/>
          <w:color w:val="auto"/>
          <w:szCs w:val="22"/>
        </w:rPr>
      </w:pPr>
      <w:bookmarkStart w:id="45" w:name="_Hlk27481520"/>
      <w:r w:rsidRPr="00DD7BD1">
        <w:rPr>
          <w:rFonts w:cs="Calibri"/>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DD7BD1" w:rsidRDefault="009040C5" w:rsidP="009040C5">
      <w:pPr>
        <w:pStyle w:val="BulletListText"/>
        <w:spacing w:after="0"/>
        <w:rPr>
          <w:rFonts w:cs="Calibri"/>
          <w:color w:val="auto"/>
          <w:szCs w:val="22"/>
        </w:rPr>
      </w:pPr>
      <w:r w:rsidRPr="00DD7BD1">
        <w:rPr>
          <w:rFonts w:cs="Calibri"/>
          <w:color w:val="auto"/>
          <w:szCs w:val="22"/>
        </w:rPr>
        <w:t xml:space="preserve">Furnish statements to individuals by </w:t>
      </w:r>
      <w:r w:rsidRPr="00DD7BD1">
        <w:rPr>
          <w:rFonts w:cs="Calibri"/>
          <w:b/>
          <w:color w:val="auto"/>
          <w:szCs w:val="22"/>
        </w:rPr>
        <w:t>March 1, 2024</w:t>
      </w:r>
      <w:r w:rsidRPr="00DD7BD1">
        <w:rPr>
          <w:rFonts w:cs="Calibri"/>
          <w:color w:val="auto"/>
          <w:szCs w:val="22"/>
        </w:rPr>
        <w:t xml:space="preserve"> (an alternative method of furnishing statements to covered individuals is available in certain situations); and</w:t>
      </w:r>
    </w:p>
    <w:p w14:paraId="4F83A83E"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File paper returns with the IRS by </w:t>
      </w:r>
      <w:r w:rsidRPr="00DD7BD1">
        <w:rPr>
          <w:rFonts w:cs="Calibri"/>
          <w:b/>
          <w:color w:val="auto"/>
          <w:szCs w:val="22"/>
        </w:rPr>
        <w:t>Feb. 28, 2024</w:t>
      </w:r>
      <w:r w:rsidRPr="00DD7BD1">
        <w:rPr>
          <w:rFonts w:cs="Calibri"/>
          <w:color w:val="auto"/>
          <w:szCs w:val="22"/>
        </w:rPr>
        <w:t xml:space="preserve">, or </w:t>
      </w:r>
      <w:r w:rsidRPr="00DD7BD1">
        <w:rPr>
          <w:rFonts w:cs="Calibri"/>
          <w:b/>
          <w:color w:val="auto"/>
          <w:szCs w:val="22"/>
        </w:rPr>
        <w:t>April 1, 2024</w:t>
      </w:r>
      <w:r w:rsidRPr="00DD7BD1">
        <w:rPr>
          <w:rFonts w:cs="Calibri"/>
          <w:color w:val="auto"/>
          <w:szCs w:val="22"/>
        </w:rPr>
        <w:t xml:space="preserve">, if filing electronically. </w:t>
      </w:r>
    </w:p>
    <w:p w14:paraId="08DA1F67"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***Beginning in 2024, employers that file </w:t>
      </w:r>
      <w:r w:rsidRPr="00DD7BD1">
        <w:rPr>
          <w:rFonts w:cs="Calibri"/>
          <w:b/>
          <w:bCs/>
          <w:color w:val="auto"/>
          <w:szCs w:val="22"/>
        </w:rPr>
        <w:t>at least 10</w:t>
      </w:r>
      <w:r w:rsidRPr="00DD7BD1">
        <w:rPr>
          <w:rFonts w:cs="Calibri"/>
          <w:color w:val="auto"/>
          <w:szCs w:val="22"/>
        </w:rPr>
        <w:t xml:space="preserve"> </w:t>
      </w:r>
      <w:r w:rsidRPr="00DD7BD1">
        <w:rPr>
          <w:rFonts w:cs="Calibri"/>
          <w:b/>
          <w:bCs/>
          <w:color w:val="auto"/>
          <w:szCs w:val="22"/>
        </w:rPr>
        <w:t>returns</w:t>
      </w:r>
      <w:r w:rsidRPr="00DD7BD1">
        <w:rPr>
          <w:rFonts w:cs="Calibri"/>
          <w:color w:val="auto"/>
          <w:szCs w:val="22"/>
        </w:rPr>
        <w:t xml:space="preserve"> during the calendar year must file electronically.</w:t>
      </w:r>
    </w:p>
    <w:bookmarkEnd w:id="45"/>
    <w:p w14:paraId="2BFE3AE2" w14:textId="0B27A2AD" w:rsidR="00AF4ED7" w:rsidRPr="00DD7BD1" w:rsidRDefault="009040C5" w:rsidP="00946A29">
      <w:pPr>
        <w:pStyle w:val="BodyText"/>
        <w:spacing w:after="0" w:line="240" w:lineRule="auto"/>
        <w:ind w:right="360"/>
        <w:rPr>
          <w:rFonts w:cs="Calibri"/>
          <w:color w:val="auto"/>
          <w:szCs w:val="22"/>
        </w:rPr>
      </w:pPr>
      <w:r w:rsidRPr="00DD7BD1">
        <w:rPr>
          <w:rFonts w:cs="Calibri"/>
          <w:color w:val="auto"/>
          <w:szCs w:val="22"/>
        </w:rPr>
        <w:t>Penalties may apply if employers are subject to ACA reporting and fail to file returns and furnish statements by the applicable deadlines.</w:t>
      </w:r>
    </w:p>
    <w:p w14:paraId="6AB2D761" w14:textId="77777777" w:rsidR="00AF4ED7" w:rsidRPr="00DD7BD1" w:rsidRDefault="00AF4ED7" w:rsidP="00946A29">
      <w:pPr>
        <w:pStyle w:val="BodyText"/>
        <w:spacing w:after="0" w:line="240" w:lineRule="auto"/>
        <w:ind w:right="360"/>
        <w:rPr>
          <w:rFonts w:cs="Calibri"/>
          <w:color w:val="auto"/>
          <w:sz w:val="16"/>
          <w:szCs w:val="16"/>
        </w:rPr>
      </w:pPr>
    </w:p>
    <w:p w14:paraId="4D29329C" w14:textId="4EC3B071" w:rsidR="009040C5" w:rsidRPr="00DD7BD1" w:rsidRDefault="009040C5" w:rsidP="00946A29">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46" w:name="_Hlk170458339"/>
      <w:r w:rsidRPr="00DD7BD1">
        <w:rPr>
          <w:rFonts w:ascii="Calibri" w:eastAsiaTheme="minorHAnsi" w:hAnsi="Calibri" w:cs="Calibri"/>
          <w:kern w:val="0"/>
          <w:sz w:val="28"/>
          <w:szCs w:val="28"/>
        </w:rPr>
        <w:t>IRS Releases ACA Pay-or-Play Penalties for 2025</w:t>
      </w:r>
    </w:p>
    <w:p w14:paraId="40875E4B"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On Feb. 12, 2024, the IRS </w:t>
      </w:r>
      <w:hyperlink r:id="rId483" w:history="1">
        <w:r w:rsidRPr="00DD7BD1">
          <w:rPr>
            <w:rStyle w:val="Hyperlink"/>
            <w:rFonts w:ascii="Calibri" w:hAnsi="Calibri" w:cs="Calibri"/>
          </w:rPr>
          <w:t>released</w:t>
        </w:r>
      </w:hyperlink>
      <w:r w:rsidRPr="00DD7BD1">
        <w:rPr>
          <w:rFonts w:ascii="Calibri" w:hAnsi="Calibri" w:cs="Calibri"/>
        </w:rPr>
        <w:t xml:space="preserve"> updated penalty amounts for 2025 related to the employer shared responsibility (pay-or-play) rules under the Affordable Care Act (ACA). The 2025 penalty amounts apply for failures to offer </w:t>
      </w:r>
      <w:proofErr w:type="gramStart"/>
      <w:r w:rsidRPr="00DD7BD1">
        <w:rPr>
          <w:rFonts w:ascii="Calibri" w:hAnsi="Calibri" w:cs="Calibri"/>
        </w:rPr>
        <w:t>affordable,</w:t>
      </w:r>
      <w:proofErr w:type="gramEnd"/>
      <w:r w:rsidRPr="00DD7BD1">
        <w:rPr>
          <w:rFonts w:ascii="Calibri" w:hAnsi="Calibri" w:cs="Calibri"/>
        </w:rPr>
        <w:t xml:space="preserve"> MV coverage during the 2025 calendar year.</w:t>
      </w:r>
    </w:p>
    <w:p w14:paraId="243931FF" w14:textId="77777777" w:rsidR="009040C5" w:rsidRPr="00DD7BD1" w:rsidRDefault="009040C5" w:rsidP="009040C5">
      <w:pPr>
        <w:pStyle w:val="ParagraphBasic"/>
        <w:spacing w:after="0" w:line="240" w:lineRule="auto"/>
        <w:jc w:val="both"/>
        <w:rPr>
          <w:rFonts w:ascii="Calibri" w:hAnsi="Calibri" w:cs="Calibri"/>
        </w:rPr>
      </w:pPr>
    </w:p>
    <w:p w14:paraId="49938954" w14:textId="4454CDCB"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For calendar year 2025, the adjusted $2,000 penalty amount is </w:t>
      </w:r>
      <w:r w:rsidRPr="00DD7BD1">
        <w:rPr>
          <w:rFonts w:ascii="Calibri" w:hAnsi="Calibri" w:cs="Calibri"/>
          <w:b/>
          <w:bCs/>
        </w:rPr>
        <w:t>$2,900,</w:t>
      </w:r>
      <w:r w:rsidRPr="00DD7BD1">
        <w:rPr>
          <w:rFonts w:ascii="Calibri" w:hAnsi="Calibri" w:cs="Calibri"/>
        </w:rPr>
        <w:t xml:space="preserve"> and the adjusted $3,000 penalty amount is </w:t>
      </w:r>
      <w:r w:rsidRPr="00DD7BD1">
        <w:rPr>
          <w:rFonts w:ascii="Calibri" w:hAnsi="Calibri" w:cs="Calibri"/>
          <w:b/>
          <w:bCs/>
        </w:rPr>
        <w:t>$4,350</w:t>
      </w:r>
      <w:r w:rsidRPr="00DD7BD1">
        <w:rPr>
          <w:rFonts w:ascii="Calibri" w:hAnsi="Calibri" w:cs="Calibri"/>
        </w:rPr>
        <w:t>. This is a decrease from the penalty amounts for the 2024 calendar year, which are $2,970 and $4,460, respectively.</w:t>
      </w:r>
    </w:p>
    <w:p w14:paraId="3C083F05"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DD7BD1" w:rsidRDefault="009040C5">
      <w:pPr>
        <w:pStyle w:val="BList1"/>
        <w:numPr>
          <w:ilvl w:val="0"/>
          <w:numId w:val="16"/>
        </w:numPr>
        <w:spacing w:before="0" w:after="0" w:line="240" w:lineRule="auto"/>
        <w:jc w:val="both"/>
        <w:rPr>
          <w:rFonts w:ascii="Calibri" w:hAnsi="Calibri" w:cs="Calibri"/>
        </w:rPr>
      </w:pPr>
      <w:hyperlink r:id="rId484" w:history="1">
        <w:r w:rsidRPr="00DD7BD1">
          <w:rPr>
            <w:rStyle w:val="Hyperlink"/>
            <w:rFonts w:ascii="Calibri" w:hAnsi="Calibri" w:cs="Calibri"/>
          </w:rPr>
          <w:t>Employer Shared Responsibility Provisions</w:t>
        </w:r>
      </w:hyperlink>
      <w:r w:rsidRPr="00DD7BD1">
        <w:rPr>
          <w:rFonts w:ascii="Calibri" w:hAnsi="Calibri" w:cs="Calibri"/>
        </w:rPr>
        <w:t xml:space="preserve"> </w:t>
      </w:r>
    </w:p>
    <w:p w14:paraId="642A7DCE" w14:textId="01BC5350" w:rsidR="009040C5" w:rsidRPr="00DD7BD1" w:rsidRDefault="009040C5">
      <w:pPr>
        <w:pStyle w:val="BList1"/>
        <w:numPr>
          <w:ilvl w:val="0"/>
          <w:numId w:val="16"/>
        </w:numPr>
        <w:spacing w:before="0" w:after="0" w:line="240" w:lineRule="auto"/>
        <w:rPr>
          <w:rFonts w:ascii="Calibri" w:hAnsi="Calibri" w:cs="Calibri"/>
        </w:rPr>
      </w:pPr>
      <w:hyperlink r:id="rId485" w:history="1">
        <w:r w:rsidRPr="00DD7BD1">
          <w:rPr>
            <w:rStyle w:val="Hyperlink"/>
            <w:rFonts w:ascii="Calibri" w:hAnsi="Calibri" w:cs="Calibri"/>
          </w:rPr>
          <w:t>Types of Employer Payments and How They Are Calculated</w:t>
        </w:r>
      </w:hyperlink>
      <w:r w:rsidRPr="00DD7BD1">
        <w:rPr>
          <w:rFonts w:ascii="Calibri" w:hAnsi="Calibri" w:cs="Calibri"/>
        </w:rPr>
        <w:t xml:space="preserve"> </w:t>
      </w:r>
    </w:p>
    <w:bookmarkEnd w:id="46"/>
    <w:p w14:paraId="5F4A2630" w14:textId="77777777" w:rsidR="001221BB" w:rsidRPr="00DD7BD1" w:rsidRDefault="001221BB" w:rsidP="001221BB">
      <w:pPr>
        <w:pStyle w:val="BList1"/>
        <w:numPr>
          <w:ilvl w:val="0"/>
          <w:numId w:val="0"/>
        </w:numPr>
        <w:spacing w:before="0" w:after="0" w:line="240" w:lineRule="auto"/>
        <w:ind w:left="720" w:hanging="360"/>
        <w:rPr>
          <w:rFonts w:ascii="Calibri" w:hAnsi="Calibri" w:cs="Calibri"/>
        </w:rPr>
      </w:pPr>
    </w:p>
    <w:p w14:paraId="7C9B8A62" w14:textId="5D574A91" w:rsidR="001221BB" w:rsidRPr="00DD7BD1" w:rsidRDefault="001221BB" w:rsidP="001221BB">
      <w:pPr>
        <w:pStyle w:val="Heading1"/>
        <w:shd w:val="clear" w:color="auto" w:fill="FFFFFF"/>
        <w:spacing w:before="0" w:beforeAutospacing="0" w:after="0" w:afterAutospacing="0" w:line="264" w:lineRule="atLeast"/>
        <w:ind w:left="-360" w:right="-360"/>
        <w:jc w:val="center"/>
        <w:rPr>
          <w:rFonts w:ascii="Calibri" w:hAnsi="Calibri" w:cs="Calibri"/>
          <w:color w:val="000000"/>
        </w:rPr>
      </w:pPr>
      <w:r w:rsidRPr="00DD7BD1">
        <w:rPr>
          <w:rFonts w:ascii="Calibri" w:hAnsi="Calibri" w:cs="Calibri"/>
          <w:kern w:val="0"/>
          <w:sz w:val="28"/>
          <w:szCs w:val="28"/>
        </w:rPr>
        <w:t>EEO-1 Reporting &amp; Revised Racial and Ethnic Categories</w:t>
      </w:r>
    </w:p>
    <w:p w14:paraId="7618CBF5" w14:textId="77777777" w:rsidR="001221BB" w:rsidRPr="00DD7BD1" w:rsidRDefault="001221BB" w:rsidP="001221BB">
      <w:p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DD7BD1" w:rsidRDefault="001221BB" w:rsidP="001221BB">
      <w:pPr>
        <w:shd w:val="clear" w:color="auto" w:fill="FFFFFF"/>
        <w:spacing w:after="0" w:line="240" w:lineRule="auto"/>
        <w:rPr>
          <w:rFonts w:ascii="Calibri" w:eastAsia="Times New Roman" w:hAnsi="Calibri" w:cs="Calibri"/>
          <w:b/>
          <w:bCs/>
          <w:spacing w:val="3"/>
          <w:sz w:val="16"/>
          <w:szCs w:val="16"/>
        </w:rPr>
      </w:pPr>
    </w:p>
    <w:p w14:paraId="5776FA17" w14:textId="77777777" w:rsidR="001221BB" w:rsidRPr="00DD7BD1" w:rsidRDefault="001221BB" w:rsidP="001221BB">
      <w:pPr>
        <w:shd w:val="clear" w:color="auto" w:fill="FFFFFF"/>
        <w:spacing w:after="0" w:line="240" w:lineRule="auto"/>
        <w:rPr>
          <w:rFonts w:ascii="Calibri" w:eastAsia="Times New Roman" w:hAnsi="Calibri" w:cs="Calibri"/>
          <w:b/>
          <w:bCs/>
          <w:spacing w:val="3"/>
        </w:rPr>
      </w:pPr>
      <w:r w:rsidRPr="00DD7BD1">
        <w:rPr>
          <w:rFonts w:ascii="Calibri" w:eastAsia="Times New Roman" w:hAnsi="Calibri" w:cs="Calibri"/>
          <w:b/>
          <w:bCs/>
          <w:spacing w:val="3"/>
        </w:rPr>
        <w:t>The changes:</w:t>
      </w:r>
    </w:p>
    <w:p w14:paraId="0A651E93"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Add Middle Eastern or North African (MENA) as a racial and ethnic category.</w:t>
      </w:r>
    </w:p>
    <w:p w14:paraId="64529530"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Eliminate the distinction between race and ethnicity.</w:t>
      </w:r>
    </w:p>
    <w:p w14:paraId="4F323D96"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Replace the “two or more races” category with an option to select all categories that apply, including detailed sub-categories. </w:t>
      </w:r>
    </w:p>
    <w:p w14:paraId="55717397" w14:textId="77777777" w:rsidR="001221BB" w:rsidRPr="00DD7BD1" w:rsidRDefault="001221BB" w:rsidP="001221BB">
      <w:pPr>
        <w:shd w:val="clear" w:color="auto" w:fill="FFFFFF"/>
        <w:spacing w:after="0" w:line="240" w:lineRule="auto"/>
        <w:rPr>
          <w:rFonts w:ascii="Calibri" w:eastAsia="Times New Roman" w:hAnsi="Calibri" w:cs="Calibri"/>
          <w:spacing w:val="3"/>
          <w:sz w:val="16"/>
          <w:szCs w:val="16"/>
        </w:rPr>
      </w:pPr>
    </w:p>
    <w:p w14:paraId="7C6C485C" w14:textId="77777777" w:rsidR="001221BB" w:rsidRPr="00DD7BD1" w:rsidRDefault="001221BB" w:rsidP="001221BB">
      <w:pPr>
        <w:shd w:val="clear" w:color="auto" w:fill="FFFFFF"/>
        <w:spacing w:after="0" w:line="240" w:lineRule="auto"/>
        <w:rPr>
          <w:rFonts w:ascii="Calibri" w:hAnsi="Calibri" w:cs="Calibri"/>
          <w:spacing w:val="3"/>
          <w:shd w:val="clear" w:color="auto" w:fill="FFFFFF"/>
        </w:rPr>
      </w:pPr>
      <w:r w:rsidRPr="00DD7BD1">
        <w:rPr>
          <w:rFonts w:ascii="Calibri" w:eastAsia="Times New Roman" w:hAnsi="Calibri" w:cs="Calibri"/>
          <w:spacing w:val="3"/>
        </w:rPr>
        <w:t xml:space="preserve">Although the new demographic categories took effect immediately, federal agencies with demographic reporting requirements, including the EEOC and OFCCP, </w:t>
      </w:r>
      <w:r w:rsidRPr="00DD7BD1">
        <w:rPr>
          <w:rFonts w:ascii="Calibri" w:eastAsia="Times New Roman" w:hAnsi="Calibri" w:cs="Calibri"/>
          <w:spacing w:val="3"/>
          <w:u w:val="single"/>
        </w:rPr>
        <w:t>have 5 years to implement the new standards</w:t>
      </w:r>
      <w:r w:rsidRPr="00DD7BD1">
        <w:rPr>
          <w:rFonts w:ascii="Calibri" w:eastAsia="Times New Roman" w:hAnsi="Calibri" w:cs="Calibri"/>
          <w:spacing w:val="3"/>
        </w:rPr>
        <w:t xml:space="preserve">.  Agencies must publish an “action plan” within the next 18 months </w:t>
      </w:r>
      <w:r w:rsidRPr="00DD7BD1">
        <w:rPr>
          <w:rFonts w:ascii="Calibri" w:hAnsi="Calibri" w:cs="Calibri"/>
          <w:spacing w:val="3"/>
          <w:shd w:val="clear" w:color="auto" w:fill="FFFFFF"/>
        </w:rPr>
        <w:t xml:space="preserve"> describing how they intend to comply by the deadline of March 28, </w:t>
      </w:r>
      <w:r w:rsidRPr="00DD7BD1">
        <w:rPr>
          <w:rFonts w:ascii="Calibri" w:hAnsi="Calibri" w:cs="Calibri"/>
          <w:spacing w:val="3"/>
          <w:u w:val="single"/>
          <w:shd w:val="clear" w:color="auto" w:fill="FFFFFF"/>
        </w:rPr>
        <w:t>2029</w:t>
      </w:r>
      <w:r w:rsidRPr="00DD7BD1">
        <w:rPr>
          <w:rFonts w:ascii="Calibri" w:hAnsi="Calibri" w:cs="Calibri"/>
          <w:spacing w:val="3"/>
          <w:shd w:val="clear" w:color="auto" w:fill="FFFFFF"/>
        </w:rPr>
        <w:t>. </w:t>
      </w:r>
    </w:p>
    <w:p w14:paraId="6120EFD3" w14:textId="77777777" w:rsidR="001221BB" w:rsidRPr="00DD7BD1" w:rsidRDefault="001221BB" w:rsidP="001221BB">
      <w:pPr>
        <w:shd w:val="clear" w:color="auto" w:fill="FFFFFF"/>
        <w:spacing w:after="0" w:line="240" w:lineRule="auto"/>
        <w:rPr>
          <w:rFonts w:ascii="Calibri" w:hAnsi="Calibri" w:cs="Calibri"/>
          <w:color w:val="292929"/>
          <w:spacing w:val="3"/>
          <w:sz w:val="16"/>
          <w:szCs w:val="16"/>
          <w:shd w:val="clear" w:color="auto" w:fill="FFFFFF"/>
        </w:rPr>
      </w:pPr>
    </w:p>
    <w:p w14:paraId="479D5BFA" w14:textId="77777777" w:rsidR="001221BB" w:rsidRPr="00DD7BD1" w:rsidRDefault="001221BB" w:rsidP="001221BB">
      <w:pPr>
        <w:shd w:val="clear" w:color="auto" w:fill="FFFFFF"/>
        <w:spacing w:after="0" w:line="240" w:lineRule="auto"/>
        <w:rPr>
          <w:rFonts w:ascii="Calibri" w:hAnsi="Calibri" w:cs="Calibri"/>
          <w:b/>
          <w:bCs/>
          <w:color w:val="292929"/>
          <w:spacing w:val="3"/>
          <w:shd w:val="clear" w:color="auto" w:fill="FFFFFF"/>
        </w:rPr>
      </w:pPr>
      <w:r w:rsidRPr="00DD7BD1">
        <w:rPr>
          <w:rFonts w:ascii="Calibri" w:hAnsi="Calibri" w:cs="Calibri"/>
          <w:b/>
          <w:bCs/>
          <w:color w:val="292929"/>
          <w:spacing w:val="3"/>
          <w:highlight w:val="lightGray"/>
          <w:shd w:val="clear" w:color="auto" w:fill="FFFFFF"/>
        </w:rPr>
        <w:t>Employer Takeaway:</w:t>
      </w:r>
    </w:p>
    <w:p w14:paraId="7ADE55FE" w14:textId="77777777"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 xml:space="preserve">The EEOC and OFCCP likely will use the old EEO-1 categories for at least another reporting year, if not longer. Thus, any changes to an employer’s data collection categories should be </w:t>
      </w:r>
      <w:proofErr w:type="gramStart"/>
      <w:r w:rsidRPr="00DD7BD1">
        <w:rPr>
          <w:rFonts w:ascii="Calibri" w:hAnsi="Calibri" w:cs="Calibri"/>
          <w:color w:val="292929"/>
          <w:spacing w:val="3"/>
          <w:sz w:val="22"/>
          <w:szCs w:val="22"/>
        </w:rPr>
        <w:t>done</w:t>
      </w:r>
      <w:proofErr w:type="gramEnd"/>
      <w:r w:rsidRPr="00DD7BD1">
        <w:rPr>
          <w:rFonts w:ascii="Calibri" w:hAnsi="Calibri" w:cs="Calibri"/>
          <w:color w:val="292929"/>
          <w:spacing w:val="3"/>
          <w:sz w:val="22"/>
          <w:szCs w:val="22"/>
        </w:rPr>
        <w:t xml:space="preserve"> in a manner that allows employers to continue reporting under the existing EEO-1 framework, in addition to collecting the new information. </w:t>
      </w:r>
    </w:p>
    <w:p w14:paraId="673894B9" w14:textId="77777777" w:rsidR="001221BB" w:rsidRPr="00DD7BD1" w:rsidRDefault="001221BB" w:rsidP="001221BB">
      <w:pPr>
        <w:pStyle w:val="BList1"/>
        <w:numPr>
          <w:ilvl w:val="0"/>
          <w:numId w:val="0"/>
        </w:numPr>
        <w:spacing w:before="0" w:after="0" w:line="240" w:lineRule="auto"/>
        <w:ind w:left="720" w:hanging="360"/>
        <w:rPr>
          <w:rFonts w:ascii="Calibri" w:hAnsi="Calibri" w:cs="Calibri"/>
          <w:sz w:val="20"/>
          <w:szCs w:val="20"/>
        </w:rPr>
      </w:pPr>
    </w:p>
    <w:p w14:paraId="20ED5967" w14:textId="50A1FD34" w:rsidR="001221BB" w:rsidRPr="00DD7BD1" w:rsidRDefault="001221BB" w:rsidP="001221BB">
      <w:pPr>
        <w:pStyle w:val="Heading1"/>
        <w:shd w:val="clear" w:color="auto" w:fill="FFFFFF"/>
        <w:spacing w:before="0" w:beforeAutospacing="0" w:after="0" w:afterAutospacing="0"/>
        <w:ind w:left="90"/>
        <w:jc w:val="center"/>
        <w:rPr>
          <w:rFonts w:ascii="Calibri" w:hAnsi="Calibri" w:cs="Calibri"/>
          <w:sz w:val="28"/>
          <w:szCs w:val="28"/>
        </w:rPr>
      </w:pPr>
      <w:bookmarkStart w:id="47" w:name="_Hlk164240776"/>
      <w:r w:rsidRPr="00DD7BD1">
        <w:rPr>
          <w:rFonts w:ascii="Calibri" w:hAnsi="Calibri" w:cs="Calibri"/>
          <w:sz w:val="28"/>
          <w:szCs w:val="28"/>
        </w:rPr>
        <w:t>U.S. Supreme Court: Mandatory Job Transfer Can Be Discriminatory Under Title VII</w:t>
      </w:r>
    </w:p>
    <w:p w14:paraId="4C8B9856" w14:textId="77777777" w:rsidR="001221BB" w:rsidRPr="00DD7BD1" w:rsidRDefault="001221BB" w:rsidP="001221BB">
      <w:pPr>
        <w:pStyle w:val="BList1"/>
        <w:numPr>
          <w:ilvl w:val="0"/>
          <w:numId w:val="0"/>
        </w:numPr>
        <w:spacing w:before="0"/>
        <w:rPr>
          <w:rFonts w:ascii="Calibri" w:hAnsi="Calibri" w:cs="Calibri"/>
          <w:b/>
          <w:bCs/>
        </w:rPr>
      </w:pPr>
      <w:r w:rsidRPr="00DD7BD1">
        <w:rPr>
          <w:rStyle w:val="CBold"/>
          <w:rFonts w:ascii="Calibri" w:hAnsi="Calibri" w:cs="Calibri"/>
          <w:b w:val="0"/>
          <w:bCs/>
          <w:color w:val="auto"/>
        </w:rPr>
        <w:t xml:space="preserve">On April 17, 2024, the Supreme Court held through a </w:t>
      </w:r>
      <w:r w:rsidRPr="00DD7BD1">
        <w:rPr>
          <w:rFonts w:ascii="Calibri" w:hAnsi="Calibri" w:cs="Calibri"/>
        </w:rPr>
        <w:t xml:space="preserve">unanimous decision in </w:t>
      </w:r>
      <w:r w:rsidRPr="00DD7BD1">
        <w:rPr>
          <w:rFonts w:ascii="Calibri" w:hAnsi="Calibri" w:cs="Calibri"/>
          <w:i/>
          <w:iCs/>
        </w:rPr>
        <w:t>Muldrow v. City of St. Louis</w:t>
      </w:r>
      <w:r w:rsidRPr="00DD7BD1">
        <w:rPr>
          <w:rFonts w:ascii="Calibri" w:hAnsi="Calibri" w:cs="Calibri"/>
          <w:b/>
          <w:bCs/>
          <w:i/>
          <w:iCs/>
        </w:rPr>
        <w:t xml:space="preserve"> </w:t>
      </w:r>
      <w:r w:rsidRPr="00DD7BD1">
        <w:rPr>
          <w:rStyle w:val="CBold"/>
          <w:rFonts w:ascii="Calibri" w:hAnsi="Calibri" w:cs="Calibri"/>
          <w:b w:val="0"/>
          <w:bCs/>
          <w:color w:val="auto"/>
        </w:rPr>
        <w:t xml:space="preserve">that a mandatory job transfer can be discriminatory under Title VII if it results in some harm with respect to a term or condition of employment </w:t>
      </w:r>
      <w:r w:rsidRPr="00DD7BD1">
        <w:rPr>
          <w:rFonts w:ascii="Calibri" w:hAnsi="Calibri" w:cs="Calibri"/>
        </w:rPr>
        <w:t>even if the harm is not significant</w:t>
      </w:r>
      <w:r w:rsidRPr="00DD7BD1">
        <w:rPr>
          <w:rFonts w:ascii="Calibri" w:hAnsi="Calibri" w:cs="Calibri"/>
          <w:b/>
          <w:bCs/>
        </w:rPr>
        <w:t>.</w:t>
      </w:r>
    </w:p>
    <w:p w14:paraId="226005DE" w14:textId="77777777" w:rsidR="001221BB" w:rsidRPr="00DD7BD1" w:rsidRDefault="001221BB" w:rsidP="001221BB">
      <w:pPr>
        <w:pStyle w:val="BList1"/>
        <w:numPr>
          <w:ilvl w:val="0"/>
          <w:numId w:val="0"/>
        </w:numPr>
        <w:spacing w:before="0"/>
        <w:rPr>
          <w:rFonts w:ascii="Calibri" w:hAnsi="Calibri" w:cs="Calibri"/>
          <w:b/>
          <w:bCs/>
        </w:rPr>
      </w:pPr>
    </w:p>
    <w:p w14:paraId="58CDDB55"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r w:rsidRPr="00DD7BD1">
        <w:rPr>
          <w:rFonts w:ascii="Calibri" w:hAnsi="Calibri" w:cs="Calibri"/>
          <w:b/>
          <w:bCs/>
          <w:highlight w:val="lightGray"/>
        </w:rPr>
        <w:t>Key Takeaway:</w:t>
      </w:r>
      <w:r w:rsidRPr="00DD7BD1">
        <w:rPr>
          <w:rFonts w:ascii="Calibri" w:hAnsi="Calibri" w:cs="Calibri"/>
          <w:b/>
          <w:bCs/>
        </w:rPr>
        <w:t xml:space="preserve"> </w:t>
      </w:r>
      <w:r w:rsidRPr="00DD7BD1">
        <w:rPr>
          <w:rStyle w:val="Strong"/>
          <w:rFonts w:ascii="Calibri" w:hAnsi="Calibri" w:cs="Calibri"/>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p>
    <w:p w14:paraId="589A9A6E" w14:textId="77777777" w:rsidR="001221BB" w:rsidRPr="00DD7BD1" w:rsidRDefault="001221BB" w:rsidP="001221BB">
      <w:pPr>
        <w:pStyle w:val="BList1"/>
        <w:numPr>
          <w:ilvl w:val="0"/>
          <w:numId w:val="0"/>
        </w:numPr>
        <w:spacing w:before="0"/>
        <w:rPr>
          <w:rStyle w:val="CBold"/>
          <w:rFonts w:ascii="Calibri" w:hAnsi="Calibri" w:cs="Calibri"/>
          <w:b w:val="0"/>
          <w:color w:val="auto"/>
          <w:highlight w:val="lightGray"/>
        </w:rPr>
      </w:pPr>
      <w:r w:rsidRPr="00DD7BD1">
        <w:rPr>
          <w:rFonts w:ascii="Calibri" w:hAnsi="Calibri" w:cs="Calibri"/>
          <w:b/>
          <w:bCs/>
          <w:highlight w:val="lightGray"/>
        </w:rPr>
        <w:t>Learn More:</w:t>
      </w:r>
    </w:p>
    <w:p w14:paraId="3E234A7F" w14:textId="77777777" w:rsidR="001221BB" w:rsidRPr="00DD7BD1" w:rsidRDefault="001221BB" w:rsidP="001221BB">
      <w:pPr>
        <w:pStyle w:val="BList1"/>
        <w:numPr>
          <w:ilvl w:val="0"/>
          <w:numId w:val="0"/>
        </w:numPr>
        <w:spacing w:after="0" w:line="264" w:lineRule="auto"/>
        <w:rPr>
          <w:rFonts w:ascii="Calibri" w:hAnsi="Calibri" w:cs="Calibri"/>
          <w:b/>
          <w:color w:val="4A7291"/>
        </w:rPr>
      </w:pPr>
      <w:r w:rsidRPr="00DD7BD1">
        <w:rPr>
          <w:rFonts w:ascii="Calibri" w:hAnsi="Calibri" w:cs="Calibri"/>
          <w:b/>
          <w:color w:val="4A7291"/>
        </w:rPr>
        <w:t>Supreme Court Ruling</w:t>
      </w:r>
    </w:p>
    <w:p w14:paraId="6AEDD07D"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 xml:space="preserve">The Supreme Court vacated the lower court’s ruling and remanded it back to the lower courts, holding that </w:t>
      </w:r>
      <w:r w:rsidRPr="00DD7BD1">
        <w:rPr>
          <w:rFonts w:ascii="Calibri" w:hAnsi="Calibri" w:cs="Calibri"/>
          <w:u w:val="single"/>
        </w:rPr>
        <w:t>a forced job transfer</w:t>
      </w:r>
      <w:r w:rsidRPr="00DD7BD1">
        <w:rPr>
          <w:rFonts w:ascii="Calibri" w:hAnsi="Calibri" w:cs="Calibri"/>
        </w:rPr>
        <w:t xml:space="preserve"> can be discriminatory if the transfer brought about some harm with respect to an identifiable term or condition of employment but that </w:t>
      </w:r>
      <w:r w:rsidRPr="00DD7BD1">
        <w:rPr>
          <w:rFonts w:ascii="Calibri" w:hAnsi="Calibri" w:cs="Calibri"/>
          <w:b/>
          <w:bCs/>
        </w:rPr>
        <w:t>harm need not be significant</w:t>
      </w:r>
      <w:r w:rsidRPr="00DD7BD1">
        <w:rPr>
          <w:rFonts w:ascii="Calibri" w:hAnsi="Calibri" w:cs="Calibri"/>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5DA811FA" w14:textId="77777777" w:rsidR="001221BB" w:rsidRPr="00DD7BD1" w:rsidRDefault="001221BB" w:rsidP="001221BB">
      <w:pPr>
        <w:pStyle w:val="BList1"/>
        <w:numPr>
          <w:ilvl w:val="0"/>
          <w:numId w:val="0"/>
        </w:numPr>
        <w:spacing w:after="40" w:line="264" w:lineRule="auto"/>
        <w:rPr>
          <w:rFonts w:ascii="Calibri" w:hAnsi="Calibri" w:cs="Calibri"/>
          <w:b/>
          <w:color w:val="4A7291"/>
        </w:rPr>
      </w:pPr>
      <w:r w:rsidRPr="00DD7BD1">
        <w:rPr>
          <w:rFonts w:ascii="Calibri" w:hAnsi="Calibri" w:cs="Calibri"/>
          <w:b/>
          <w:color w:val="4A7291"/>
        </w:rPr>
        <w:t>Impact on Employers</w:t>
      </w:r>
    </w:p>
    <w:p w14:paraId="13C69138"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6353F107" w14:textId="77777777" w:rsidR="001221BB" w:rsidRPr="00DD7BD1" w:rsidRDefault="001221BB" w:rsidP="001221BB">
      <w:pPr>
        <w:spacing w:after="0" w:line="264" w:lineRule="auto"/>
        <w:rPr>
          <w:rFonts w:ascii="Calibri" w:hAnsi="Calibri" w:cs="Calibri"/>
          <w:b/>
          <w:color w:val="4A7291"/>
        </w:rPr>
      </w:pPr>
      <w:r w:rsidRPr="00DD7BD1">
        <w:rPr>
          <w:rFonts w:ascii="Calibri" w:hAnsi="Calibri" w:cs="Calibri"/>
          <w:b/>
          <w:color w:val="4A7291"/>
        </w:rPr>
        <w:t>Background of the Case</w:t>
      </w:r>
    </w:p>
    <w:p w14:paraId="26527CD3" w14:textId="77777777" w:rsidR="001221BB" w:rsidRPr="00DD7BD1" w:rsidRDefault="001221BB" w:rsidP="001221BB">
      <w:pPr>
        <w:pStyle w:val="ParagraphBasic"/>
        <w:rPr>
          <w:rFonts w:ascii="Calibri" w:hAnsi="Calibri" w:cs="Calibri"/>
        </w:rPr>
      </w:pPr>
      <w:r w:rsidRPr="00DD7BD1">
        <w:rPr>
          <w:rFonts w:ascii="Calibri" w:hAnsi="Calibri" w:cs="Calibri"/>
        </w:rPr>
        <w:t xml:space="preserve">Title VII makes it unlawful for an employer “to fail or refuse to hire or to discharge any </w:t>
      </w:r>
      <w:proofErr w:type="gramStart"/>
      <w:r w:rsidRPr="00DD7BD1">
        <w:rPr>
          <w:rFonts w:ascii="Calibri" w:hAnsi="Calibri" w:cs="Calibri"/>
        </w:rPr>
        <w:t>individual, or</w:t>
      </w:r>
      <w:proofErr w:type="gramEnd"/>
      <w:r w:rsidRPr="00DD7BD1">
        <w:rPr>
          <w:rFonts w:ascii="Calibri" w:hAnsi="Calibri" w:cs="Calibri"/>
        </w:rPr>
        <w:t xml:space="preserve"> otherwise discriminate against any individual” with respect to “compensation, terms, conditions or privileges of employment” </w:t>
      </w:r>
      <w:proofErr w:type="gramStart"/>
      <w:r w:rsidRPr="00DD7BD1">
        <w:rPr>
          <w:rFonts w:ascii="Calibri" w:hAnsi="Calibri" w:cs="Calibri"/>
        </w:rPr>
        <w:t>on the basis of</w:t>
      </w:r>
      <w:proofErr w:type="gramEnd"/>
      <w:r w:rsidRPr="00DD7BD1">
        <w:rPr>
          <w:rFonts w:ascii="Calibri" w:hAnsi="Calibri" w:cs="Calibri"/>
        </w:rPr>
        <w:t xml:space="preserve">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DD7BD1" w:rsidRDefault="001221BB" w:rsidP="001221BB">
      <w:pPr>
        <w:pStyle w:val="ParagraphBasic"/>
        <w:rPr>
          <w:rFonts w:ascii="Calibri" w:hAnsi="Calibri" w:cs="Calibri"/>
        </w:rPr>
      </w:pPr>
      <w:r w:rsidRPr="00DD7BD1">
        <w:rPr>
          <w:rFonts w:ascii="Calibri" w:hAnsi="Calibri" w:cs="Calibri"/>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DD7BD1" w:rsidRDefault="001221BB" w:rsidP="001221BB">
      <w:pPr>
        <w:pStyle w:val="BList1"/>
        <w:numPr>
          <w:ilvl w:val="0"/>
          <w:numId w:val="0"/>
        </w:numPr>
        <w:spacing w:before="0" w:after="0" w:line="240" w:lineRule="auto"/>
        <w:jc w:val="center"/>
        <w:rPr>
          <w:rStyle w:val="CBold"/>
          <w:rFonts w:ascii="Calibri" w:eastAsia="Times New Roman" w:hAnsi="Calibri" w:cs="Calibri"/>
          <w:bCs/>
          <w:color w:val="auto"/>
          <w:kern w:val="36"/>
          <w:sz w:val="28"/>
          <w:szCs w:val="28"/>
        </w:rPr>
      </w:pPr>
      <w:r w:rsidRPr="00DD7BD1">
        <w:rPr>
          <w:rFonts w:ascii="Calibri" w:eastAsia="Times New Roman" w:hAnsi="Calibri" w:cs="Calibri"/>
          <w:b/>
          <w:bCs/>
          <w:kern w:val="36"/>
          <w:sz w:val="28"/>
          <w:szCs w:val="28"/>
        </w:rPr>
        <w:t>IRS Addresses Tax Treatment of Work-life Referral Services</w:t>
      </w:r>
    </w:p>
    <w:bookmarkEnd w:id="47"/>
    <w:p w14:paraId="51438610"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The IRS has issued </w:t>
      </w:r>
      <w:hyperlink r:id="rId486" w:history="1">
        <w:r w:rsidRPr="00DD7BD1">
          <w:rPr>
            <w:rStyle w:val="Hyperlink"/>
            <w:rFonts w:ascii="Calibri" w:hAnsi="Calibri" w:cs="Calibri"/>
          </w:rPr>
          <w:t>frequently asked questions</w:t>
        </w:r>
      </w:hyperlink>
      <w:r w:rsidRPr="00DD7BD1">
        <w:rPr>
          <w:rFonts w:ascii="Calibri" w:hAnsi="Calibri" w:cs="Calibri"/>
        </w:rPr>
        <w:t xml:space="preserve"> (FAQs) addressing the tax treatment of work-life referral (WLR) services employers provide through their benefits offerings to their employees. These FAQs provide that WLR services </w:t>
      </w:r>
      <w:r w:rsidRPr="00DD7BD1">
        <w:rPr>
          <w:rFonts w:ascii="Calibri" w:hAnsi="Calibri" w:cs="Calibri"/>
          <w:b/>
          <w:bCs/>
        </w:rPr>
        <w:t>qualify</w:t>
      </w:r>
      <w:r w:rsidRPr="00DD7BD1">
        <w:rPr>
          <w:rFonts w:ascii="Calibri" w:hAnsi="Calibri" w:cs="Calibri"/>
        </w:rPr>
        <w:t xml:space="preserve"> as </w:t>
      </w:r>
      <w:proofErr w:type="gramStart"/>
      <w:r w:rsidRPr="00DD7BD1">
        <w:rPr>
          <w:rFonts w:ascii="Calibri" w:hAnsi="Calibri" w:cs="Calibri"/>
        </w:rPr>
        <w:t>a de</w:t>
      </w:r>
      <w:proofErr w:type="gramEnd"/>
      <w:r w:rsidRPr="00DD7BD1">
        <w:rPr>
          <w:rFonts w:ascii="Calibri" w:hAnsi="Calibri" w:cs="Calibri"/>
        </w:rPr>
        <w:t xml:space="preserve"> minimis fringe benefit for tax purposes and </w:t>
      </w:r>
      <w:r w:rsidRPr="00DD7BD1">
        <w:rPr>
          <w:rFonts w:ascii="Calibri" w:hAnsi="Calibri" w:cs="Calibri"/>
          <w:b/>
          <w:bCs/>
        </w:rPr>
        <w:t>are thus</w:t>
      </w:r>
      <w:r w:rsidRPr="00DD7BD1">
        <w:rPr>
          <w:rFonts w:ascii="Calibri" w:hAnsi="Calibri" w:cs="Calibri"/>
        </w:rPr>
        <w:t xml:space="preserve"> </w:t>
      </w:r>
      <w:r w:rsidRPr="00DD7BD1">
        <w:rPr>
          <w:rFonts w:ascii="Calibri" w:hAnsi="Calibri" w:cs="Calibri"/>
          <w:b/>
          <w:bCs/>
          <w:u w:val="single"/>
        </w:rPr>
        <w:t>excluded</w:t>
      </w:r>
      <w:r w:rsidRPr="00DD7BD1">
        <w:rPr>
          <w:rFonts w:ascii="Calibri" w:hAnsi="Calibri" w:cs="Calibri"/>
          <w:b/>
          <w:bCs/>
        </w:rPr>
        <w:t xml:space="preserve"> from income and exempt from employment taxes.</w:t>
      </w:r>
    </w:p>
    <w:p w14:paraId="267AF033"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DD7BD1">
        <w:rPr>
          <w:rFonts w:ascii="Calibri" w:hAnsi="Calibri" w:cs="Calibri"/>
          <w:b/>
          <w:bCs/>
        </w:rPr>
        <w:t xml:space="preserve"> </w:t>
      </w:r>
    </w:p>
    <w:p w14:paraId="555DACF1" w14:textId="77777777" w:rsidR="001221BB" w:rsidRPr="00DD7BD1" w:rsidRDefault="001221BB" w:rsidP="001221BB">
      <w:pPr>
        <w:spacing w:after="0" w:line="240" w:lineRule="auto"/>
        <w:rPr>
          <w:rFonts w:ascii="Calibri" w:hAnsi="Calibri" w:cs="Calibri"/>
          <w:b/>
          <w:color w:val="4A7291"/>
          <w:sz w:val="16"/>
          <w:szCs w:val="16"/>
        </w:rPr>
      </w:pPr>
    </w:p>
    <w:p w14:paraId="05C08048"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WLR Services</w:t>
      </w:r>
    </w:p>
    <w:p w14:paraId="4505FEC2"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A WLR program is an employer-funded fringe benefit that helps employees locate resources for solutions to personal, work or family challenges through informational and referral consultations. For example, WLR programs may provide employees with </w:t>
      </w:r>
      <w:r w:rsidRPr="00DD7BD1">
        <w:rPr>
          <w:rFonts w:ascii="Calibri" w:hAnsi="Calibri" w:cs="Calibri"/>
        </w:rPr>
        <w:lastRenderedPageBreak/>
        <w:t xml:space="preserve">support, information or referrals in connection with identifying health care or </w:t>
      </w:r>
      <w:proofErr w:type="gramStart"/>
      <w:r w:rsidRPr="00DD7BD1">
        <w:rPr>
          <w:rFonts w:ascii="Calibri" w:hAnsi="Calibri" w:cs="Calibri"/>
        </w:rPr>
        <w:t>child care</w:t>
      </w:r>
      <w:proofErr w:type="gramEnd"/>
      <w:r w:rsidRPr="00DD7BD1">
        <w:rPr>
          <w:rFonts w:ascii="Calibri" w:hAnsi="Calibri" w:cs="Calibri"/>
        </w:rPr>
        <w:t xml:space="preserve">, using paid leave programs, navigating the health care system, and connecting with financial planning professionals. </w:t>
      </w:r>
    </w:p>
    <w:p w14:paraId="120B1F96"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w:t>
      </w:r>
      <w:proofErr w:type="gramStart"/>
      <w:r w:rsidRPr="00DD7BD1">
        <w:rPr>
          <w:rFonts w:ascii="Calibri" w:hAnsi="Calibri" w:cs="Calibri"/>
        </w:rPr>
        <w:t>actually utilize</w:t>
      </w:r>
      <w:proofErr w:type="gramEnd"/>
      <w:r w:rsidRPr="00DD7BD1">
        <w:rPr>
          <w:rFonts w:ascii="Calibri" w:hAnsi="Calibri" w:cs="Calibri"/>
        </w:rPr>
        <w:t xml:space="preserve"> the WLR services. </w:t>
      </w:r>
    </w:p>
    <w:p w14:paraId="4FC77F6E" w14:textId="77777777" w:rsidR="001221BB" w:rsidRPr="00DD7BD1" w:rsidRDefault="001221BB" w:rsidP="001221BB">
      <w:pPr>
        <w:spacing w:after="0" w:line="240" w:lineRule="auto"/>
        <w:rPr>
          <w:rFonts w:ascii="Calibri" w:hAnsi="Calibri" w:cs="Calibri"/>
          <w:b/>
          <w:color w:val="4A7291"/>
          <w:sz w:val="16"/>
          <w:szCs w:val="16"/>
        </w:rPr>
      </w:pPr>
    </w:p>
    <w:p w14:paraId="337072CF"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Tax Treatment</w:t>
      </w:r>
    </w:p>
    <w:p w14:paraId="7BF12C7D"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The IRS’ FAQs provide that the use of employer-provided WLR services qualifies as </w:t>
      </w:r>
      <w:proofErr w:type="gramStart"/>
      <w:r w:rsidRPr="00DD7BD1">
        <w:rPr>
          <w:rFonts w:ascii="Calibri" w:hAnsi="Calibri" w:cs="Calibri"/>
        </w:rPr>
        <w:t>a de</w:t>
      </w:r>
      <w:proofErr w:type="gramEnd"/>
      <w:r w:rsidRPr="00DD7BD1">
        <w:rPr>
          <w:rFonts w:ascii="Calibri" w:hAnsi="Calibri" w:cs="Calibri"/>
        </w:rPr>
        <w:t xml:space="preserve"> minimis fringe benefit that is excluded from an employee’s gross income and is not subject to employment taxes (such as FICA, FUTA and income tax withholding). </w:t>
      </w:r>
    </w:p>
    <w:p w14:paraId="05A0FB7E" w14:textId="77777777" w:rsidR="001221BB" w:rsidRPr="00DD7BD1" w:rsidRDefault="001221BB" w:rsidP="001221BB">
      <w:pPr>
        <w:pStyle w:val="ParagraphBasic"/>
        <w:spacing w:after="0" w:line="240" w:lineRule="auto"/>
        <w:rPr>
          <w:rFonts w:ascii="Calibri" w:hAnsi="Calibri" w:cs="Calibri"/>
        </w:rPr>
      </w:pPr>
    </w:p>
    <w:p w14:paraId="5A73A0D1" w14:textId="3C681AA9"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Employers are encouraged to seek answers to any related questions from their tax advisors.</w:t>
      </w:r>
    </w:p>
    <w:p w14:paraId="68778956" w14:textId="77777777" w:rsidR="00CD70B8" w:rsidRPr="00DD7BD1" w:rsidRDefault="00CD70B8" w:rsidP="00503F70">
      <w:pPr>
        <w:pStyle w:val="NormalWeb"/>
        <w:spacing w:before="0" w:beforeAutospacing="0" w:after="0" w:afterAutospacing="0"/>
        <w:rPr>
          <w:rFonts w:ascii="Calibri" w:hAnsi="Calibri" w:cs="Calibri"/>
          <w:b/>
          <w:bCs/>
          <w:sz w:val="22"/>
          <w:szCs w:val="22"/>
        </w:rPr>
      </w:pPr>
    </w:p>
    <w:p w14:paraId="344FE22E" w14:textId="732EE0EB" w:rsidR="00FD0A5D" w:rsidRPr="00DD7BD1" w:rsidRDefault="00FD0A5D" w:rsidP="00FD0A5D">
      <w:pPr>
        <w:pStyle w:val="NormalWeb"/>
        <w:spacing w:before="0" w:beforeAutospacing="0" w:after="0" w:afterAutospacing="0"/>
        <w:jc w:val="center"/>
        <w:rPr>
          <w:rFonts w:ascii="Calibri" w:hAnsi="Calibri" w:cs="Calibri"/>
          <w:sz w:val="22"/>
          <w:szCs w:val="22"/>
        </w:rPr>
      </w:pPr>
      <w:r w:rsidRPr="00DD7BD1">
        <w:rPr>
          <w:rFonts w:ascii="Calibri" w:hAnsi="Calibri" w:cs="Calibri"/>
          <w:b/>
          <w:bCs/>
          <w:sz w:val="28"/>
          <w:szCs w:val="28"/>
        </w:rPr>
        <w:t>Pregnant Workers Fairness Act – Final Regulations Published</w:t>
      </w:r>
    </w:p>
    <w:p w14:paraId="77A4CC2F" w14:textId="77777777" w:rsidR="00FD0A5D" w:rsidRPr="00DD7BD1" w:rsidRDefault="00FD0A5D" w:rsidP="00FD0A5D">
      <w:pPr>
        <w:pStyle w:val="Highlight"/>
        <w:rPr>
          <w:rFonts w:ascii="Calibri" w:hAnsi="Calibri" w:cs="Calibri"/>
          <w:b/>
        </w:rPr>
      </w:pPr>
      <w:r w:rsidRPr="00DD7BD1">
        <w:rPr>
          <w:rFonts w:ascii="Calibri" w:eastAsia="Times New Roman" w:hAnsi="Calibri" w:cs="Calibri"/>
          <w:color w:val="282828"/>
        </w:rPr>
        <w:t>The </w:t>
      </w:r>
      <w:hyperlink r:id="rId487" w:tgtFrame="_blank" w:history="1">
        <w:r w:rsidRPr="00DD7BD1">
          <w:rPr>
            <w:rFonts w:ascii="Calibri" w:eastAsia="Times New Roman" w:hAnsi="Calibri" w:cs="Calibri"/>
            <w:color w:val="1155CC"/>
            <w:u w:val="single"/>
          </w:rPr>
          <w:t>final rule</w:t>
        </w:r>
      </w:hyperlink>
      <w:r w:rsidRPr="00DD7BD1">
        <w:rPr>
          <w:rFonts w:ascii="Calibri" w:eastAsia="Times New Roman" w:hAnsi="Calibri" w:cs="Calibri"/>
          <w:color w:val="282828"/>
        </w:rPr>
        <w:t> </w:t>
      </w:r>
      <w:r w:rsidRPr="00DD7BD1">
        <w:rPr>
          <w:rFonts w:ascii="Calibri" w:eastAsia="Times New Roman" w:hAnsi="Calibri" w:cs="Calibri"/>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DD7BD1" w:rsidRDefault="00FD0A5D" w:rsidP="00FD0A5D">
      <w:pPr>
        <w:pStyle w:val="BodyText"/>
        <w:rPr>
          <w:rFonts w:cs="Calibri"/>
          <w:color w:val="auto"/>
          <w:szCs w:val="22"/>
        </w:rPr>
      </w:pPr>
      <w:r w:rsidRPr="00DD7BD1">
        <w:rPr>
          <w:rFonts w:cs="Calibri"/>
          <w:b/>
          <w:bCs/>
          <w:color w:val="auto"/>
          <w:highlight w:val="lightGray"/>
        </w:rPr>
        <w:t>Employer Take Aways:</w:t>
      </w:r>
      <w:r w:rsidRPr="00DD7BD1">
        <w:rPr>
          <w:rFonts w:cs="Calibri"/>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DD7BD1">
        <w:rPr>
          <w:rFonts w:cs="Calibri"/>
          <w:color w:val="auto"/>
          <w:szCs w:val="22"/>
        </w:rPr>
        <w:t>are in compliance with</w:t>
      </w:r>
      <w:proofErr w:type="gramEnd"/>
      <w:r w:rsidRPr="00DD7BD1">
        <w:rPr>
          <w:rFonts w:cs="Calibri"/>
          <w:color w:val="auto"/>
          <w:szCs w:val="22"/>
        </w:rPr>
        <w:t xml:space="preserve"> their obligations under the PWFA. </w:t>
      </w:r>
    </w:p>
    <w:p w14:paraId="38F36CB2"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Make sure your policy addressing the PWFA accurately reflects the regulations. You should also educate your managers (and anyone else likely to receive a request) on the </w:t>
      </w:r>
      <w:r w:rsidRPr="00DD7BD1">
        <w:rPr>
          <w:rFonts w:ascii="Calibri" w:eastAsia="Times New Roman" w:hAnsi="Calibri" w:cs="Calibri"/>
          <w:i/>
          <w:iCs/>
        </w:rPr>
        <w:t>presumptively reasonable</w:t>
      </w:r>
      <w:r w:rsidRPr="00DD7BD1">
        <w:rPr>
          <w:rFonts w:ascii="Calibri" w:eastAsia="Times New Roman" w:hAnsi="Calibri" w:cs="Calibri"/>
        </w:rPr>
        <w:t xml:space="preserve"> accommodations, the limitations on asking for supporting documentation, and the importance of prompt accommodation. If you don’t have high confidence in your managers’ abilities to respond appropriately, you may want to </w:t>
      </w:r>
      <w:proofErr w:type="gramStart"/>
      <w:r w:rsidRPr="00DD7BD1">
        <w:rPr>
          <w:rFonts w:ascii="Calibri" w:eastAsia="Times New Roman" w:hAnsi="Calibri" w:cs="Calibri"/>
        </w:rPr>
        <w:t>require</w:t>
      </w:r>
      <w:proofErr w:type="gramEnd"/>
      <w:r w:rsidRPr="00DD7BD1">
        <w:rPr>
          <w:rFonts w:ascii="Calibri" w:eastAsia="Times New Roman" w:hAnsi="Calibri" w:cs="Calibri"/>
        </w:rPr>
        <w:t xml:space="preserve"> that anyone who receives a request immediately communicate it to HR.</w:t>
      </w:r>
    </w:p>
    <w:p w14:paraId="6D9DCCC4" w14:textId="77777777" w:rsidR="00FD0A5D" w:rsidRPr="00DD7BD1" w:rsidRDefault="00FD0A5D">
      <w:pPr>
        <w:pStyle w:val="ListParagraph"/>
        <w:numPr>
          <w:ilvl w:val="0"/>
          <w:numId w:val="43"/>
        </w:numPr>
        <w:shd w:val="clear" w:color="auto" w:fill="FFFFFF"/>
        <w:spacing w:after="0" w:line="240" w:lineRule="auto"/>
        <w:rPr>
          <w:rFonts w:ascii="Calibri" w:hAnsi="Calibri" w:cs="Calibri"/>
          <w:noProof/>
        </w:rPr>
      </w:pPr>
      <w:r w:rsidRPr="00DD7BD1">
        <w:rPr>
          <w:rFonts w:ascii="Calibri" w:hAnsi="Calibri" w:cs="Calibri"/>
          <w:noProof/>
        </w:rPr>
        <w:t xml:space="preserve">EEOC </w:t>
      </w:r>
      <w:hyperlink r:id="rId488" w:history="1">
        <w:r w:rsidRPr="00DD7BD1">
          <w:rPr>
            <w:rStyle w:val="Hyperlink"/>
            <w:rFonts w:ascii="Calibri" w:hAnsi="Calibri" w:cs="Calibri"/>
            <w:noProof/>
          </w:rPr>
          <w:t>FAQs</w:t>
        </w:r>
      </w:hyperlink>
      <w:r w:rsidRPr="00DD7BD1">
        <w:rPr>
          <w:rStyle w:val="Hyperlink"/>
          <w:rFonts w:ascii="Calibri" w:hAnsi="Calibri" w:cs="Calibri"/>
          <w:noProof/>
        </w:rPr>
        <w:t xml:space="preserve"> - </w:t>
      </w:r>
      <w:r w:rsidRPr="00DD7BD1">
        <w:rPr>
          <w:rFonts w:ascii="Calibri" w:hAnsi="Calibri" w:cs="Calibri"/>
          <w:noProof/>
        </w:rPr>
        <w:t>What You Should Know About the Pregnant Workers Fairness Act</w:t>
      </w:r>
    </w:p>
    <w:p w14:paraId="59C56ED1" w14:textId="77777777" w:rsidR="00FD0A5D" w:rsidRPr="00DD7BD1" w:rsidRDefault="00FD0A5D">
      <w:pPr>
        <w:pStyle w:val="ListParagraph"/>
        <w:numPr>
          <w:ilvl w:val="0"/>
          <w:numId w:val="43"/>
        </w:numPr>
        <w:shd w:val="clear" w:color="auto" w:fill="FFFFFF"/>
        <w:spacing w:after="0" w:line="240" w:lineRule="auto"/>
        <w:rPr>
          <w:rStyle w:val="Hyperlink"/>
          <w:rFonts w:ascii="Calibri" w:hAnsi="Calibri" w:cs="Calibri"/>
          <w:noProof/>
        </w:rPr>
      </w:pPr>
      <w:r w:rsidRPr="00DD7BD1">
        <w:rPr>
          <w:rFonts w:ascii="Calibri" w:hAnsi="Calibri" w:cs="Calibri"/>
          <w:noProof/>
        </w:rPr>
        <w:t xml:space="preserve">EEOC </w:t>
      </w:r>
      <w:hyperlink r:id="rId489" w:history="1">
        <w:r w:rsidRPr="00DD7BD1">
          <w:rPr>
            <w:rStyle w:val="Hyperlink"/>
            <w:rFonts w:ascii="Calibri" w:hAnsi="Calibri" w:cs="Calibri"/>
            <w:noProof/>
          </w:rPr>
          <w:t>Overview</w:t>
        </w:r>
      </w:hyperlink>
      <w:r w:rsidRPr="00DD7BD1">
        <w:rPr>
          <w:rStyle w:val="Hyperlink"/>
          <w:rFonts w:ascii="Calibri" w:hAnsi="Calibri" w:cs="Calibri"/>
          <w:noProof/>
        </w:rPr>
        <w:t xml:space="preserve"> - </w:t>
      </w:r>
      <w:r w:rsidRPr="00DD7BD1">
        <w:rPr>
          <w:rFonts w:ascii="Calibri" w:hAnsi="Calibri" w:cs="Calibri"/>
          <w:noProof/>
        </w:rPr>
        <w:t>Pregnancy Discrimination and Pregnancy-Related Disability Discrimination</w:t>
      </w:r>
    </w:p>
    <w:p w14:paraId="06392C42" w14:textId="77777777" w:rsidR="00FD0A5D" w:rsidRPr="00DD7BD1" w:rsidRDefault="00FD0A5D">
      <w:pPr>
        <w:pStyle w:val="ListParagraph"/>
        <w:numPr>
          <w:ilvl w:val="0"/>
          <w:numId w:val="43"/>
        </w:numPr>
        <w:shd w:val="clear" w:color="auto" w:fill="FFFFFF"/>
        <w:spacing w:after="0" w:line="240" w:lineRule="auto"/>
        <w:rPr>
          <w:rFonts w:ascii="Calibri" w:eastAsia="Times New Roman" w:hAnsi="Calibri" w:cs="Calibri"/>
          <w:color w:val="282828"/>
        </w:rPr>
      </w:pPr>
      <w:r w:rsidRPr="00DD7BD1">
        <w:rPr>
          <w:rFonts w:ascii="Calibri" w:hAnsi="Calibri" w:cs="Calibri"/>
          <w:noProof/>
        </w:rPr>
        <w:t xml:space="preserve">EEOC </w:t>
      </w:r>
      <w:hyperlink r:id="rId490" w:history="1">
        <w:r w:rsidRPr="00DD7BD1">
          <w:rPr>
            <w:rStyle w:val="Hyperlink"/>
            <w:rFonts w:ascii="Calibri" w:hAnsi="Calibri" w:cs="Calibri"/>
            <w:noProof/>
          </w:rPr>
          <w:t>Summary</w:t>
        </w:r>
      </w:hyperlink>
      <w:r w:rsidRPr="00DD7BD1">
        <w:rPr>
          <w:rStyle w:val="Hyperlink"/>
          <w:rFonts w:ascii="Calibri" w:hAnsi="Calibri" w:cs="Calibri"/>
          <w:noProof/>
        </w:rPr>
        <w:t xml:space="preserve"> - </w:t>
      </w:r>
      <w:r w:rsidRPr="00DD7BD1">
        <w:rPr>
          <w:rFonts w:ascii="Calibri" w:hAnsi="Calibri" w:cs="Calibri"/>
          <w:noProof/>
        </w:rPr>
        <w:t>Key Provisions of the EEOC’s Final Rule to Implement the Pregnant Workers Fairness Act</w:t>
      </w:r>
    </w:p>
    <w:p w14:paraId="5A639BC5" w14:textId="77777777" w:rsidR="00FD0A5D" w:rsidRPr="00DD7BD1" w:rsidRDefault="00FD0A5D" w:rsidP="00FD0A5D">
      <w:pPr>
        <w:shd w:val="clear" w:color="auto" w:fill="FFFFFF"/>
        <w:spacing w:after="0" w:line="240" w:lineRule="auto"/>
        <w:rPr>
          <w:rFonts w:ascii="Calibri" w:eastAsia="Times New Roman" w:hAnsi="Calibri" w:cs="Calibri"/>
          <w:b/>
          <w:bCs/>
          <w:color w:val="282828"/>
          <w:sz w:val="16"/>
          <w:szCs w:val="16"/>
          <w:highlight w:val="lightGray"/>
        </w:rPr>
      </w:pPr>
    </w:p>
    <w:p w14:paraId="3A5BAC75"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Learn More:</w:t>
      </w:r>
    </w:p>
    <w:p w14:paraId="69F3E0D0"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rPr>
        <w:t>Below are some key takeaways to be aware of even if you expect to accommodate most requests:</w:t>
      </w:r>
    </w:p>
    <w:p w14:paraId="4C04835F"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430BE5C"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Some Accommodations Are Presumptively Reasonable</w:t>
      </w:r>
      <w:r w:rsidRPr="00DD7BD1">
        <w:rPr>
          <w:rFonts w:ascii="Calibri" w:eastAsia="Times New Roman" w:hAnsi="Calibri" w:cs="Calibri"/>
        </w:rPr>
        <w:br/>
        <w:t>The following accommodations for pregnant employees are presumed to be reasonable, meaning an employer will need an </w:t>
      </w:r>
      <w:r w:rsidRPr="00DD7BD1">
        <w:rPr>
          <w:rFonts w:ascii="Calibri" w:eastAsia="Times New Roman" w:hAnsi="Calibri" w:cs="Calibri"/>
          <w:i/>
          <w:iCs/>
        </w:rPr>
        <w:t>exceptionally</w:t>
      </w:r>
      <w:r w:rsidRPr="00DD7BD1">
        <w:rPr>
          <w:rFonts w:ascii="Calibri" w:eastAsia="Times New Roman" w:hAnsi="Calibri" w:cs="Calibri"/>
        </w:rPr>
        <w:t> good rationale for denying them based on undue hardship:</w:t>
      </w:r>
    </w:p>
    <w:p w14:paraId="3D03AA03"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carry or keep water near and drink, as needed</w:t>
      </w:r>
    </w:p>
    <w:p w14:paraId="509DFFB8"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additional restroom breaks, as needed</w:t>
      </w:r>
    </w:p>
    <w:p w14:paraId="58680C62"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whose work requires standing to sit and whose work requires sitting to stand, as needed</w:t>
      </w:r>
    </w:p>
    <w:p w14:paraId="2AB003F0"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breaks to eat and drink, as needed</w:t>
      </w:r>
    </w:p>
    <w:p w14:paraId="3D93DD1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DD7BD1">
        <w:rPr>
          <w:rFonts w:ascii="Calibri" w:eastAsia="Times New Roman" w:hAnsi="Calibri" w:cs="Calibri"/>
          <w:i/>
          <w:iCs/>
        </w:rPr>
        <w:t>do</w:t>
      </w:r>
      <w:r w:rsidRPr="00DD7BD1">
        <w:rPr>
          <w:rFonts w:ascii="Calibri" w:eastAsia="Times New Roman" w:hAnsi="Calibri" w:cs="Calibri"/>
        </w:rPr>
        <w:t> create an undue hardship, we recommend speaking with an attorney before denying them.</w:t>
      </w:r>
    </w:p>
    <w:p w14:paraId="6C957918"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3D53815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Requests for Documentation Are Limited</w:t>
      </w:r>
      <w:r w:rsidRPr="00DD7BD1">
        <w:rPr>
          <w:rFonts w:ascii="Calibri" w:eastAsia="Times New Roman" w:hAnsi="Calibri" w:cs="Calibri"/>
        </w:rPr>
        <w:br/>
        <w:t>Employers can only ask for documentation to support a request for accommodation when it’s </w:t>
      </w:r>
      <w:r w:rsidRPr="00DD7BD1">
        <w:rPr>
          <w:rFonts w:ascii="Calibri" w:eastAsia="Times New Roman" w:hAnsi="Calibri" w:cs="Calibri"/>
          <w:i/>
          <w:iCs/>
        </w:rPr>
        <w:t>reasonable under the circumstances</w:t>
      </w:r>
      <w:r w:rsidRPr="00DD7BD1">
        <w:rPr>
          <w:rFonts w:ascii="Calibri" w:eastAsia="Times New Roman" w:hAnsi="Calibri" w:cs="Calibri"/>
        </w:rPr>
        <w:t>. Blanket policies that automatically require documentation aren’t permitted.</w:t>
      </w:r>
    </w:p>
    <w:p w14:paraId="47957E3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In the following situations, seeking supporting documentation is considered unreasonable and </w:t>
      </w:r>
      <w:r w:rsidRPr="00DD7BD1">
        <w:rPr>
          <w:rFonts w:ascii="Calibri" w:eastAsia="Times New Roman" w:hAnsi="Calibri" w:cs="Calibri"/>
          <w:i/>
          <w:iCs/>
        </w:rPr>
        <w:t>isn’t allowed</w:t>
      </w:r>
      <w:r w:rsidRPr="00DD7BD1">
        <w:rPr>
          <w:rFonts w:ascii="Calibri" w:eastAsia="Times New Roman" w:hAnsi="Calibri" w:cs="Calibri"/>
        </w:rPr>
        <w:t>:</w:t>
      </w:r>
    </w:p>
    <w:p w14:paraId="4D179969"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limitation and accommodation needed are obvious</w:t>
      </w:r>
    </w:p>
    <w:p w14:paraId="1D65290A"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employer already has sufficient information to determine that the employee has a limitation and needs an accommodation because of it</w:t>
      </w:r>
    </w:p>
    <w:p w14:paraId="4CE41A95"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 xml:space="preserve">When a </w:t>
      </w:r>
      <w:proofErr w:type="gramStart"/>
      <w:r w:rsidRPr="00DD7BD1">
        <w:rPr>
          <w:rFonts w:ascii="Calibri" w:eastAsia="Times New Roman" w:hAnsi="Calibri" w:cs="Calibri"/>
        </w:rPr>
        <w:t>pregnant employee requests</w:t>
      </w:r>
      <w:proofErr w:type="gramEnd"/>
      <w:r w:rsidRPr="00DD7BD1">
        <w:rPr>
          <w:rFonts w:ascii="Calibri" w:eastAsia="Times New Roman" w:hAnsi="Calibri" w:cs="Calibri"/>
        </w:rPr>
        <w:t xml:space="preserve"> one of the presumptively reasonable accommodations listed in the section above</w:t>
      </w:r>
    </w:p>
    <w:p w14:paraId="65DC9793"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employee requests an accommodation related to pumping at work (or nursing, if feasible)</w:t>
      </w:r>
    </w:p>
    <w:p w14:paraId="5AAFCD40"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requested accommodation is available to employees with a non-PWFA limitation </w:t>
      </w:r>
      <w:r w:rsidRPr="00DD7BD1">
        <w:rPr>
          <w:rFonts w:ascii="Calibri" w:eastAsia="Times New Roman" w:hAnsi="Calibri" w:cs="Calibri"/>
          <w:i/>
          <w:iCs/>
        </w:rPr>
        <w:t>without</w:t>
      </w:r>
      <w:r w:rsidRPr="00DD7BD1">
        <w:rPr>
          <w:rFonts w:ascii="Calibri" w:eastAsia="Times New Roman" w:hAnsi="Calibri" w:cs="Calibri"/>
        </w:rPr>
        <w:t> providing documentation</w:t>
      </w:r>
    </w:p>
    <w:p w14:paraId="2561EAD7"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When collecting documentation </w:t>
      </w:r>
      <w:r w:rsidRPr="00DD7BD1">
        <w:rPr>
          <w:rFonts w:ascii="Calibri" w:eastAsia="Times New Roman" w:hAnsi="Calibri" w:cs="Calibri"/>
          <w:i/>
          <w:iCs/>
        </w:rPr>
        <w:t>is</w:t>
      </w:r>
      <w:r w:rsidRPr="00DD7BD1">
        <w:rPr>
          <w:rFonts w:ascii="Calibri" w:eastAsia="Times New Roman" w:hAnsi="Calibri" w:cs="Calibri"/>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27176D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The Definitions Are Broad (and Might Surprise You)</w:t>
      </w:r>
      <w:r w:rsidRPr="00DD7BD1">
        <w:rPr>
          <w:rFonts w:ascii="Calibri" w:eastAsia="Times New Roman" w:hAnsi="Calibri" w:cs="Calibri"/>
        </w:rPr>
        <w:br/>
      </w:r>
      <w:r w:rsidRPr="00DD7BD1">
        <w:rPr>
          <w:rFonts w:ascii="Calibri" w:eastAsia="Times New Roman" w:hAnsi="Calibri" w:cs="Calibri"/>
          <w:i/>
          <w:iCs/>
          <w:u w:val="single"/>
        </w:rPr>
        <w:t>Known limitations</w:t>
      </w:r>
      <w:r w:rsidRPr="00DD7BD1">
        <w:rPr>
          <w:rFonts w:ascii="Calibri" w:eastAsia="Times New Roman" w:hAnsi="Calibri" w:cs="Calibri"/>
        </w:rPr>
        <w:t> that must be accommodated can be modest, minor, or episodic and don’t need to rise to the level of a disability—they also include medical care, meaning you need to allow time off for appointments. </w:t>
      </w:r>
      <w:r w:rsidRPr="00DD7BD1">
        <w:rPr>
          <w:rFonts w:ascii="Calibri" w:eastAsia="Times New Roman" w:hAnsi="Calibri" w:cs="Calibri"/>
          <w:i/>
          <w:iCs/>
        </w:rPr>
        <w:t>Pregnancy and childbirth</w:t>
      </w:r>
      <w:r w:rsidRPr="00DD7BD1">
        <w:rPr>
          <w:rFonts w:ascii="Calibri" w:eastAsia="Times New Roman" w:hAnsi="Calibri" w:cs="Calibri"/>
        </w:rPr>
        <w:t> include (among other things) infertility, fertility treatment, and the use of contraception. And </w:t>
      </w:r>
      <w:r w:rsidRPr="00DD7BD1">
        <w:rPr>
          <w:rFonts w:ascii="Calibri" w:eastAsia="Times New Roman" w:hAnsi="Calibri" w:cs="Calibri"/>
          <w:i/>
          <w:iCs/>
        </w:rPr>
        <w:t>related medical conditions</w:t>
      </w:r>
      <w:r w:rsidRPr="00DD7BD1">
        <w:rPr>
          <w:rFonts w:ascii="Calibri" w:eastAsia="Times New Roman" w:hAnsi="Calibri" w:cs="Calibri"/>
        </w:rPr>
        <w:t> (among </w:t>
      </w:r>
      <w:r w:rsidRPr="00DD7BD1">
        <w:rPr>
          <w:rFonts w:ascii="Calibri" w:eastAsia="Times New Roman" w:hAnsi="Calibri" w:cs="Calibri"/>
          <w:i/>
          <w:iCs/>
        </w:rPr>
        <w:t>many</w:t>
      </w:r>
      <w:r w:rsidRPr="00DD7BD1">
        <w:rPr>
          <w:rFonts w:ascii="Calibri" w:eastAsia="Times New Roman" w:hAnsi="Calibri" w:cs="Calibri"/>
        </w:rPr>
        <w:t xml:space="preserve"> other things) include termination of pregnancy, </w:t>
      </w:r>
      <w:proofErr w:type="gramStart"/>
      <w:r w:rsidRPr="00DD7BD1">
        <w:rPr>
          <w:rFonts w:ascii="Calibri" w:eastAsia="Times New Roman" w:hAnsi="Calibri" w:cs="Calibri"/>
        </w:rPr>
        <w:t>including by</w:t>
      </w:r>
      <w:proofErr w:type="gramEnd"/>
      <w:r w:rsidRPr="00DD7BD1">
        <w:rPr>
          <w:rFonts w:ascii="Calibri" w:eastAsia="Times New Roman" w:hAnsi="Calibri" w:cs="Calibri"/>
        </w:rPr>
        <w:t xml:space="preserve"> miscarriage, stillbirth, or abortion.</w:t>
      </w:r>
    </w:p>
    <w:p w14:paraId="35E8E814"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431C162A"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Employers Can’t Require “Magic Words” or Special Forms</w:t>
      </w:r>
      <w:r w:rsidRPr="00DD7BD1">
        <w:rPr>
          <w:rFonts w:ascii="Calibri" w:eastAsia="Times New Roman" w:hAnsi="Calibri" w:cs="Calibri"/>
        </w:rPr>
        <w:br/>
        <w:t xml:space="preserve">An employee’s request for accommodation can be made orally, in writing, or by any other effective means. Employers can’t </w:t>
      </w:r>
      <w:proofErr w:type="gramStart"/>
      <w:r w:rsidRPr="00DD7BD1">
        <w:rPr>
          <w:rFonts w:ascii="Calibri" w:eastAsia="Times New Roman" w:hAnsi="Calibri" w:cs="Calibri"/>
        </w:rPr>
        <w:t>require that</w:t>
      </w:r>
      <w:proofErr w:type="gramEnd"/>
      <w:r w:rsidRPr="00DD7BD1">
        <w:rPr>
          <w:rFonts w:ascii="Calibri" w:eastAsia="Times New Roman" w:hAnsi="Calibri" w:cs="Calibri"/>
        </w:rPr>
        <w:t xml:space="preserve"> it be in a specific format or use specific language for them to acknowledge the request. Employers also can’t require that supporting documentation be on a specific form.</w:t>
      </w:r>
    </w:p>
    <w:p w14:paraId="278B2D5D"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3A461FC" w14:textId="79522C82"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Accommodations Should Be Provided Without Delay</w:t>
      </w:r>
      <w:r w:rsidRPr="00DD7BD1">
        <w:rPr>
          <w:rFonts w:ascii="Calibri" w:eastAsia="Times New Roman" w:hAnsi="Calibri" w:cs="Calibri"/>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7A24FF" w14:textId="57FCB999"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Webcast: Reasonable Accommodation: A Deeper Dive into the Interactive Process under the ADA and Title VII</w:t>
      </w:r>
    </w:p>
    <w:p w14:paraId="33EA29A6" w14:textId="77777777" w:rsidR="00275725" w:rsidRPr="00DD7BD1" w:rsidRDefault="00275725" w:rsidP="00275725">
      <w:pPr>
        <w:pStyle w:val="Heading1"/>
        <w:spacing w:before="0" w:beforeAutospacing="0" w:after="0" w:afterAutospacing="0"/>
        <w:rPr>
          <w:rFonts w:ascii="Calibri" w:hAnsi="Calibri" w:cs="Calibri"/>
          <w:b w:val="0"/>
          <w:bCs w:val="0"/>
          <w:color w:val="000000"/>
          <w:sz w:val="22"/>
          <w:szCs w:val="22"/>
        </w:rPr>
      </w:pPr>
      <w:r w:rsidRPr="00DD7BD1">
        <w:rPr>
          <w:rFonts w:ascii="Calibri" w:hAnsi="Calibri" w:cs="Calibri"/>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  Access the March 21</w:t>
      </w:r>
      <w:r w:rsidRPr="00DD7BD1">
        <w:rPr>
          <w:rFonts w:ascii="Calibri" w:hAnsi="Calibri" w:cs="Calibri"/>
          <w:b w:val="0"/>
          <w:bCs w:val="0"/>
          <w:color w:val="000000"/>
          <w:sz w:val="22"/>
          <w:szCs w:val="22"/>
          <w:vertAlign w:val="superscript"/>
        </w:rPr>
        <w:t>st</w:t>
      </w:r>
      <w:r w:rsidRPr="00DD7BD1">
        <w:rPr>
          <w:rFonts w:ascii="Calibri" w:hAnsi="Calibri" w:cs="Calibri"/>
          <w:b w:val="0"/>
          <w:bCs w:val="0"/>
          <w:color w:val="000000"/>
          <w:sz w:val="22"/>
          <w:szCs w:val="22"/>
        </w:rPr>
        <w:t xml:space="preserve"> recording, click </w:t>
      </w:r>
      <w:hyperlink r:id="rId491" w:tgtFrame="_blank" w:history="1">
        <w:r w:rsidRPr="00DD7BD1">
          <w:rPr>
            <w:rStyle w:val="Hyperlink"/>
            <w:rFonts w:ascii="Calibri" w:eastAsiaTheme="minorHAnsi" w:hAnsi="Calibri" w:cs="Calibri"/>
            <w:b w:val="0"/>
            <w:bCs w:val="0"/>
            <w:kern w:val="0"/>
            <w:sz w:val="22"/>
            <w:szCs w:val="22"/>
          </w:rPr>
          <w:t>here</w:t>
        </w:r>
      </w:hyperlink>
    </w:p>
    <w:p w14:paraId="394C8512"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99CD1E"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CDC Issues New COVID-Related Guidance</w:t>
      </w:r>
    </w:p>
    <w:p w14:paraId="3CC338C3" w14:textId="27ADF780" w:rsidR="00275725" w:rsidRPr="00DD7BD1" w:rsidRDefault="00275725" w:rsidP="00275725">
      <w:pPr>
        <w:pStyle w:val="BodyText"/>
        <w:spacing w:after="0" w:line="240" w:lineRule="auto"/>
        <w:ind w:right="360"/>
        <w:rPr>
          <w:rFonts w:cs="Calibri"/>
          <w:color w:val="auto"/>
          <w:sz w:val="23"/>
          <w:szCs w:val="23"/>
          <w:shd w:val="clear" w:color="auto" w:fill="FFFFFF"/>
        </w:rPr>
      </w:pPr>
      <w:r w:rsidRPr="00DD7BD1">
        <w:rPr>
          <w:rFonts w:cs="Calibri"/>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Pr="00DD7BD1" w:rsidRDefault="00275725" w:rsidP="00427CA7">
      <w:pPr>
        <w:pStyle w:val="BodyText"/>
        <w:spacing w:after="0" w:line="240" w:lineRule="auto"/>
        <w:ind w:right="360"/>
        <w:rPr>
          <w:rFonts w:cs="Calibri"/>
          <w:color w:val="auto"/>
          <w:sz w:val="23"/>
          <w:szCs w:val="23"/>
          <w:shd w:val="clear" w:color="auto" w:fill="FFFFFF"/>
        </w:rPr>
      </w:pPr>
      <w:r w:rsidRPr="00DD7BD1">
        <w:rPr>
          <w:rFonts w:cs="Calibri"/>
          <w:b/>
          <w:bCs/>
          <w:color w:val="auto"/>
          <w:szCs w:val="22"/>
          <w:highlight w:val="lightGray"/>
        </w:rPr>
        <w:lastRenderedPageBreak/>
        <w:t>Employer Takeaway</w:t>
      </w:r>
      <w:r w:rsidRPr="00DD7BD1">
        <w:rPr>
          <w:rFonts w:cs="Calibri"/>
          <w:b/>
          <w:bCs/>
          <w:szCs w:val="22"/>
          <w:highlight w:val="lightGray"/>
        </w:rPr>
        <w:t>:</w:t>
      </w:r>
      <w:r w:rsidRPr="00DD7BD1">
        <w:rPr>
          <w:rFonts w:cs="Calibri"/>
          <w:b/>
          <w:bCs/>
        </w:rPr>
        <w:t xml:space="preserve"> </w:t>
      </w:r>
      <w:r w:rsidRPr="00DD7BD1">
        <w:rPr>
          <w:rFonts w:cs="Calibri"/>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DD7BD1" w:rsidRDefault="00427CA7" w:rsidP="00427CA7">
      <w:pPr>
        <w:pStyle w:val="BodyText"/>
        <w:spacing w:after="0" w:line="240" w:lineRule="auto"/>
        <w:ind w:right="360"/>
        <w:rPr>
          <w:rFonts w:cs="Calibri"/>
          <w:color w:val="auto"/>
          <w:sz w:val="16"/>
          <w:szCs w:val="16"/>
          <w:shd w:val="clear" w:color="auto" w:fill="FFFFFF"/>
        </w:rPr>
      </w:pPr>
    </w:p>
    <w:p w14:paraId="5FA06D1B" w14:textId="77777777" w:rsidR="00275725" w:rsidRPr="00DD7BD1" w:rsidRDefault="00275725" w:rsidP="00275725">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Employers Should Monitor Both Pro &amp; Anti DEI Court Challenges &amp;  Legislation</w:t>
      </w:r>
    </w:p>
    <w:p w14:paraId="28869534" w14:textId="77777777" w:rsidR="00275725" w:rsidRPr="00DD7BD1" w:rsidRDefault="00275725" w:rsidP="00275725">
      <w:pPr>
        <w:shd w:val="clear" w:color="auto" w:fill="FFFFFF"/>
        <w:spacing w:after="0" w:line="240" w:lineRule="auto"/>
        <w:jc w:val="both"/>
        <w:rPr>
          <w:rFonts w:ascii="Calibri" w:eastAsia="Times New Roman" w:hAnsi="Calibri" w:cs="Calibri"/>
          <w:b/>
          <w:bCs/>
          <w:spacing w:val="3"/>
        </w:rPr>
      </w:pPr>
      <w:r w:rsidRPr="00DD7BD1">
        <w:rPr>
          <w:rFonts w:ascii="Calibri" w:eastAsia="Times New Roman" w:hAnsi="Calibri" w:cs="Calibri"/>
          <w:b/>
          <w:bCs/>
          <w:spacing w:val="3"/>
        </w:rPr>
        <w:t>Key Takeaways</w:t>
      </w:r>
    </w:p>
    <w:p w14:paraId="4E16B10D"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State legislators on both sides of the aisle have passed bills and introduced others to either pare back or promote DEI initiatives.</w:t>
      </w:r>
    </w:p>
    <w:p w14:paraId="55F3B84A" w14:textId="26E48423"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proofErr w:type="gramStart"/>
      <w:r w:rsidRPr="00DD7BD1">
        <w:rPr>
          <w:rFonts w:ascii="Calibri" w:eastAsia="Times New Roman" w:hAnsi="Calibri" w:cs="Calibri"/>
          <w:spacing w:val="3"/>
        </w:rPr>
        <w:t>In light of</w:t>
      </w:r>
      <w:proofErr w:type="gramEnd"/>
      <w:r w:rsidRPr="00DD7BD1">
        <w:rPr>
          <w:rFonts w:ascii="Calibri" w:eastAsia="Times New Roman" w:hAnsi="Calibri" w:cs="Calibri"/>
          <w:spacing w:val="3"/>
        </w:rPr>
        <w:t xml:space="preserve">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DD7BD1" w:rsidRDefault="00275725" w:rsidP="00275725">
      <w:pPr>
        <w:pStyle w:val="Heading2"/>
        <w:shd w:val="clear" w:color="auto" w:fill="FFFFFF"/>
        <w:spacing w:before="0" w:line="240" w:lineRule="auto"/>
        <w:jc w:val="both"/>
        <w:rPr>
          <w:rFonts w:ascii="Calibri" w:hAnsi="Calibri" w:cs="Calibri"/>
          <w:b/>
          <w:bCs/>
          <w:color w:val="auto"/>
          <w:spacing w:val="3"/>
          <w:sz w:val="22"/>
          <w:szCs w:val="22"/>
        </w:rPr>
      </w:pPr>
      <w:r w:rsidRPr="00DD7BD1">
        <w:rPr>
          <w:rFonts w:ascii="Calibri" w:hAnsi="Calibri" w:cs="Calibri"/>
          <w:b/>
          <w:bCs/>
          <w:color w:val="auto"/>
          <w:spacing w:val="3"/>
          <w:sz w:val="22"/>
          <w:szCs w:val="22"/>
        </w:rPr>
        <w:t>State Legislation Relating to DEI Initiatives</w:t>
      </w:r>
    </w:p>
    <w:p w14:paraId="338034F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Most recently, on March 20, 2024, the governor of </w:t>
      </w:r>
      <w:r w:rsidRPr="00DD7BD1">
        <w:rPr>
          <w:rFonts w:ascii="Calibri" w:hAnsi="Calibri" w:cs="Calibri"/>
          <w:b/>
          <w:bCs/>
          <w:spacing w:val="3"/>
          <w:sz w:val="22"/>
          <w:szCs w:val="22"/>
        </w:rPr>
        <w:t>Alabama</w:t>
      </w:r>
      <w:r w:rsidRPr="00DD7BD1">
        <w:rPr>
          <w:rFonts w:ascii="Calibri" w:hAnsi="Calibri" w:cs="Calibri"/>
          <w:spacing w:val="3"/>
          <w:sz w:val="22"/>
          <w:szCs w:val="22"/>
        </w:rPr>
        <w:t xml:space="preserve"> signed </w:t>
      </w:r>
      <w:hyperlink r:id="rId492" w:history="1">
        <w:r w:rsidRPr="00DD7BD1">
          <w:rPr>
            <w:rStyle w:val="Hyperlink"/>
            <w:rFonts w:ascii="Calibri" w:eastAsiaTheme="minorHAnsi" w:hAnsi="Calibri" w:cs="Calibri"/>
            <w:sz w:val="22"/>
            <w:szCs w:val="22"/>
          </w:rPr>
          <w:t>Senate Bill (SB) 129</w:t>
        </w:r>
      </w:hyperlink>
      <w:r w:rsidRPr="00DD7BD1">
        <w:rPr>
          <w:rFonts w:ascii="Calibri" w:hAnsi="Calibri" w:cs="Calibri"/>
          <w:color w:val="292929"/>
          <w:spacing w:val="3"/>
          <w:sz w:val="22"/>
          <w:szCs w:val="22"/>
        </w:rPr>
        <w:t> </w:t>
      </w:r>
      <w:r w:rsidRPr="00DD7BD1">
        <w:rPr>
          <w:rFonts w:ascii="Calibri" w:hAnsi="Calibri" w:cs="Calibri"/>
          <w:spacing w:val="3"/>
          <w:sz w:val="22"/>
          <w:szCs w:val="22"/>
        </w:rPr>
        <w:t>into law, a sweeping measure that prohibits state agencies and schools from sponsoring DEI programs or requiring their employees or students to participate in them. Meanwhile, </w:t>
      </w:r>
      <w:r w:rsidRPr="00DD7BD1">
        <w:rPr>
          <w:rFonts w:ascii="Calibri" w:hAnsi="Calibri" w:cs="Calibri"/>
          <w:b/>
          <w:bCs/>
          <w:spacing w:val="3"/>
          <w:sz w:val="22"/>
          <w:szCs w:val="22"/>
        </w:rPr>
        <w:t>Utah</w:t>
      </w:r>
      <w:r w:rsidRPr="00DD7BD1">
        <w:rPr>
          <w:rFonts w:ascii="Calibri" w:hAnsi="Calibri" w:cs="Calibri"/>
          <w:spacing w:val="3"/>
          <w:sz w:val="22"/>
          <w:szCs w:val="22"/>
        </w:rPr>
        <w:t>’s governor signed into law </w:t>
      </w:r>
      <w:hyperlink r:id="rId493" w:tgtFrame="_blank" w:history="1">
        <w:r w:rsidRPr="00DD7BD1">
          <w:rPr>
            <w:rStyle w:val="Hyperlink"/>
            <w:rFonts w:ascii="Calibri" w:eastAsiaTheme="minorHAnsi" w:hAnsi="Calibri" w:cs="Calibri"/>
            <w:sz w:val="22"/>
            <w:szCs w:val="22"/>
          </w:rPr>
          <w:t>House Bill (HB) 261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Notably — and importantly, for private employers — while HB 261 passed quickly, a bill covering employers in the private sector</w:t>
      </w:r>
      <w:r w:rsidRPr="00DD7BD1">
        <w:rPr>
          <w:rFonts w:ascii="Calibri" w:hAnsi="Calibri" w:cs="Calibri"/>
          <w:color w:val="292929"/>
          <w:spacing w:val="3"/>
          <w:sz w:val="22"/>
          <w:szCs w:val="22"/>
        </w:rPr>
        <w:t>,</w:t>
      </w:r>
      <w:hyperlink r:id="rId494" w:tgtFrame="_blank" w:history="1">
        <w:r w:rsidRPr="00DD7BD1">
          <w:rPr>
            <w:rStyle w:val="Hyperlink"/>
            <w:rFonts w:ascii="Calibri" w:hAnsi="Calibri" w:cs="Calibri"/>
            <w:color w:val="1B517C"/>
            <w:spacing w:val="3"/>
            <w:sz w:val="22"/>
            <w:szCs w:val="22"/>
          </w:rPr>
          <w:t> </w:t>
        </w:r>
        <w:r w:rsidRPr="00DD7BD1">
          <w:rPr>
            <w:rStyle w:val="Hyperlink"/>
            <w:rFonts w:ascii="Calibri" w:eastAsiaTheme="minorHAnsi" w:hAnsi="Calibri" w:cs="Calibri"/>
            <w:sz w:val="22"/>
            <w:szCs w:val="22"/>
          </w:rPr>
          <w:t>HB 111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did not </w:t>
      </w:r>
      <w:proofErr w:type="gramStart"/>
      <w:r w:rsidRPr="00DD7BD1">
        <w:rPr>
          <w:rFonts w:ascii="Calibri" w:hAnsi="Calibri" w:cs="Calibri"/>
          <w:spacing w:val="3"/>
          <w:sz w:val="22"/>
          <w:szCs w:val="22"/>
        </w:rPr>
        <w:t>fare</w:t>
      </w:r>
      <w:proofErr w:type="gramEnd"/>
      <w:r w:rsidRPr="00DD7BD1">
        <w:rPr>
          <w:rFonts w:ascii="Calibri" w:hAnsi="Calibri" w:cs="Calibri"/>
          <w:spacing w:val="3"/>
          <w:sz w:val="22"/>
          <w:szCs w:val="22"/>
        </w:rPr>
        <w:t xml:space="preserve"> as well. The measure, which would have prohibited such employers from mandating DEI trainings, passed the Utah House but was voted down in the Utah Senate in February 2024.</w:t>
      </w:r>
    </w:p>
    <w:p w14:paraId="63809F20"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16"/>
          <w:szCs w:val="16"/>
        </w:rPr>
      </w:pPr>
    </w:p>
    <w:p w14:paraId="586572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Florida, North Carolina, North Dakota, Tennessee and Texas</w:t>
      </w:r>
      <w:r w:rsidRPr="00DD7BD1">
        <w:rPr>
          <w:rFonts w:ascii="Calibri" w:hAnsi="Calibri" w:cs="Calibri"/>
          <w:spacing w:val="3"/>
          <w:sz w:val="22"/>
          <w:szCs w:val="22"/>
        </w:rPr>
        <w:t xml:space="preserve"> have also enacted anti-DEI bills. </w:t>
      </w:r>
    </w:p>
    <w:p w14:paraId="46DB1E17"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Texas</w:t>
      </w:r>
      <w:r w:rsidRPr="00DD7BD1">
        <w:rPr>
          <w:rFonts w:ascii="Calibri" w:hAnsi="Calibri" w:cs="Calibri"/>
          <w:spacing w:val="3"/>
          <w:sz w:val="22"/>
          <w:szCs w:val="22"/>
        </w:rPr>
        <w:t xml:space="preserve"> adopted </w:t>
      </w:r>
      <w:hyperlink r:id="rId495" w:tgtFrame="_blank" w:history="1">
        <w:r w:rsidRPr="00DD7BD1">
          <w:rPr>
            <w:rStyle w:val="Hyperlink"/>
            <w:rFonts w:ascii="Calibri" w:eastAsiaTheme="minorHAnsi" w:hAnsi="Calibri" w:cs="Calibri"/>
            <w:sz w:val="22"/>
            <w:szCs w:val="22"/>
          </w:rPr>
          <w:t>SB 17</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which bans DEI offices and faculty and staff diversity trainings at public institutions. </w:t>
      </w:r>
    </w:p>
    <w:p w14:paraId="5F1E3318"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Tennessee</w:t>
      </w:r>
      <w:r w:rsidRPr="00DD7BD1">
        <w:rPr>
          <w:rFonts w:ascii="Calibri" w:hAnsi="Calibri" w:cs="Calibri"/>
          <w:spacing w:val="3"/>
          <w:sz w:val="22"/>
          <w:szCs w:val="22"/>
        </w:rPr>
        <w:t xml:space="preserve"> signed into law</w:t>
      </w:r>
      <w:r w:rsidRPr="00DD7BD1">
        <w:rPr>
          <w:rFonts w:ascii="Calibri" w:hAnsi="Calibri" w:cs="Calibri"/>
          <w:color w:val="292929"/>
          <w:spacing w:val="3"/>
          <w:sz w:val="22"/>
          <w:szCs w:val="22"/>
        </w:rPr>
        <w:t> </w:t>
      </w:r>
      <w:hyperlink r:id="rId496" w:tgtFrame="_blank" w:history="1">
        <w:r w:rsidRPr="00DD7BD1">
          <w:rPr>
            <w:rStyle w:val="Hyperlink"/>
            <w:rFonts w:ascii="Calibri" w:eastAsiaTheme="minorHAnsi" w:hAnsi="Calibri" w:cs="Calibri"/>
            <w:sz w:val="22"/>
            <w:szCs w:val="22"/>
          </w:rPr>
          <w:t>HB 158</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certain public institutions from mandating implicit bias training.</w:t>
      </w:r>
    </w:p>
    <w:p w14:paraId="249AF8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At the same time, other states have moved to require DEI initiatives. </w:t>
      </w:r>
    </w:p>
    <w:p w14:paraId="6833D6D1"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Washington </w:t>
      </w:r>
      <w:hyperlink r:id="rId497" w:tgtFrame="_blank" w:history="1">
        <w:r w:rsidRPr="00DD7BD1">
          <w:rPr>
            <w:rStyle w:val="Hyperlink"/>
            <w:rFonts w:ascii="Calibri" w:eastAsiaTheme="minorHAnsi" w:hAnsi="Calibri" w:cs="Calibri"/>
            <w:sz w:val="22"/>
            <w:szCs w:val="22"/>
          </w:rPr>
          <w:t>SB 5462</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would require school districts to adopt curricula that tell the perspectives of LGBTQ+ Washingtonians. </w:t>
      </w:r>
    </w:p>
    <w:p w14:paraId="27C50903"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And in </w:t>
      </w:r>
      <w:r w:rsidRPr="00DD7BD1">
        <w:rPr>
          <w:rFonts w:ascii="Calibri" w:hAnsi="Calibri" w:cs="Calibri"/>
          <w:b/>
          <w:bCs/>
          <w:spacing w:val="3"/>
          <w:sz w:val="22"/>
          <w:szCs w:val="22"/>
        </w:rPr>
        <w:t>California</w:t>
      </w:r>
      <w:r w:rsidRPr="00DD7BD1">
        <w:rPr>
          <w:rFonts w:ascii="Calibri" w:hAnsi="Calibri" w:cs="Calibri"/>
          <w:spacing w:val="3"/>
          <w:sz w:val="22"/>
          <w:szCs w:val="22"/>
        </w:rPr>
        <w:t>, </w:t>
      </w:r>
      <w:hyperlink r:id="rId498" w:tgtFrame="_blank" w:history="1">
        <w:r w:rsidRPr="00DD7BD1">
          <w:rPr>
            <w:rStyle w:val="Hyperlink"/>
            <w:rFonts w:ascii="Calibri" w:eastAsiaTheme="minorHAnsi" w:hAnsi="Calibri" w:cs="Calibri"/>
            <w:sz w:val="22"/>
            <w:szCs w:val="22"/>
          </w:rPr>
          <w:t>SB 54</w:t>
        </w:r>
      </w:hyperlink>
      <w:r w:rsidRPr="00DD7BD1">
        <w:rPr>
          <w:rFonts w:ascii="Calibri" w:hAnsi="Calibri" w:cs="Calibri"/>
          <w:spacing w:val="3"/>
          <w:sz w:val="22"/>
          <w:szCs w:val="22"/>
        </w:rPr>
        <w:t> requires venture capital companies to report the diversity of the founding members of businesses in which they invest.</w:t>
      </w:r>
    </w:p>
    <w:p w14:paraId="4CF77FF2" w14:textId="77777777" w:rsidR="00275725" w:rsidRPr="00DD7BD1" w:rsidRDefault="00275725" w:rsidP="00275725">
      <w:pPr>
        <w:pStyle w:val="NormalWeb"/>
        <w:shd w:val="clear" w:color="auto" w:fill="FFFFFF"/>
        <w:spacing w:before="0" w:beforeAutospacing="0" w:after="0" w:afterAutospacing="0"/>
        <w:rPr>
          <w:rFonts w:ascii="Calibri" w:hAnsi="Calibri" w:cs="Calibri"/>
          <w:color w:val="292929"/>
          <w:spacing w:val="3"/>
          <w:sz w:val="16"/>
          <w:szCs w:val="16"/>
        </w:rPr>
      </w:pPr>
      <w:bookmarkStart w:id="48" w:name="_Hlk163118037"/>
    </w:p>
    <w:p w14:paraId="0243293E" w14:textId="77777777" w:rsidR="00FC0387" w:rsidRDefault="00FC0387" w:rsidP="00275725">
      <w:pPr>
        <w:pStyle w:val="BodyText"/>
        <w:spacing w:after="0" w:line="240" w:lineRule="auto"/>
        <w:ind w:right="360"/>
        <w:jc w:val="center"/>
        <w:rPr>
          <w:rFonts w:cs="Calibri"/>
          <w:b/>
          <w:bCs/>
          <w:color w:val="auto"/>
          <w:sz w:val="28"/>
          <w:szCs w:val="28"/>
        </w:rPr>
      </w:pPr>
    </w:p>
    <w:p w14:paraId="4DF4482C" w14:textId="108CBD34"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Pay Transparency (Ohio, Minnesota &amp; DC Updates)</w:t>
      </w:r>
    </w:p>
    <w:p w14:paraId="2F8190FC"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601F4B71" w14:textId="6AABE123"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shd w:val="clear" w:color="auto" w:fill="FFFFFF"/>
        </w:rPr>
        <w:t xml:space="preserve">Pay transparency laws are in effect in 9 states: California, Colorado, Connecticut, Hawaii, Maryland, Nevada, New York, Rhode Island, and Washington. The District of Columbia and Illinois pay transparency laws are scheduled to go into effect on June 30, 2024, and January 1, 2025, respectively. Additionally, at least 7 local jurisdictions have pay transparency laws in effect, and proposed legislation is pending in many other </w:t>
      </w:r>
      <w:proofErr w:type="gramStart"/>
      <w:r w:rsidRPr="00DD7BD1">
        <w:rPr>
          <w:rFonts w:ascii="Calibri" w:hAnsi="Calibri" w:cs="Calibri"/>
          <w:shd w:val="clear" w:color="auto" w:fill="FFFFFF"/>
        </w:rPr>
        <w:t>state</w:t>
      </w:r>
      <w:proofErr w:type="gramEnd"/>
      <w:r w:rsidRPr="00DD7BD1">
        <w:rPr>
          <w:rFonts w:ascii="Calibri" w:hAnsi="Calibri" w:cs="Calibri"/>
          <w:shd w:val="clear" w:color="auto" w:fill="FFFFFF"/>
        </w:rPr>
        <w:t xml:space="preserve"> and local jurisdictions. </w:t>
      </w:r>
      <w:r w:rsidRPr="00DD7BD1">
        <w:rPr>
          <w:rFonts w:ascii="Calibri" w:hAnsi="Calibri" w:cs="Calibri"/>
        </w:rPr>
        <w:t>As employers, it is essential to proactively adapt to the upcoming pay transparency legislation to ensure compliance and foster a fair and inclusive work environment. Start 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DD7BD1" w:rsidRDefault="00275725" w:rsidP="00275725">
      <w:pPr>
        <w:pStyle w:val="NormalWeb"/>
        <w:shd w:val="clear" w:color="auto" w:fill="FFFFFF"/>
        <w:spacing w:before="0" w:beforeAutospacing="0" w:after="0" w:afterAutospacing="0"/>
        <w:jc w:val="both"/>
        <w:rPr>
          <w:rFonts w:ascii="Calibri" w:eastAsiaTheme="minorHAnsi" w:hAnsi="Calibri" w:cs="Calibri"/>
          <w:b/>
          <w:bCs/>
          <w:sz w:val="22"/>
          <w:szCs w:val="22"/>
          <w:highlight w:val="lightGray"/>
        </w:rPr>
      </w:pPr>
      <w:r w:rsidRPr="00DD7BD1">
        <w:rPr>
          <w:rFonts w:ascii="Calibri" w:eastAsiaTheme="minorHAnsi" w:hAnsi="Calibri" w:cs="Calibri"/>
          <w:b/>
          <w:bCs/>
          <w:sz w:val="22"/>
          <w:szCs w:val="22"/>
          <w:highlight w:val="lightGray"/>
        </w:rPr>
        <w:t>Learn More:</w:t>
      </w:r>
      <w:r w:rsidRPr="00DD7BD1">
        <w:rPr>
          <w:rFonts w:ascii="Calibri" w:hAnsi="Calibri" w:cs="Calibri"/>
          <w:sz w:val="28"/>
          <w:szCs w:val="28"/>
        </w:rPr>
        <w:t xml:space="preserve"> </w:t>
      </w:r>
      <w:r w:rsidRPr="00DD7BD1">
        <w:rPr>
          <w:rFonts w:ascii="Calibri" w:hAnsi="Calibri" w:cs="Calibri"/>
          <w:sz w:val="22"/>
          <w:szCs w:val="22"/>
        </w:rPr>
        <w:t xml:space="preserve">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w:t>
      </w:r>
      <w:r w:rsidRPr="00DD7BD1">
        <w:rPr>
          <w:rFonts w:ascii="Calibri" w:hAnsi="Calibri" w:cs="Calibri"/>
          <w:sz w:val="22"/>
          <w:szCs w:val="22"/>
        </w:rPr>
        <w:lastRenderedPageBreak/>
        <w:t>transparency laws set to take effect in 2024, we'll examine the specifics of these regulations and their implications for employers and job seekers alike. </w:t>
      </w:r>
    </w:p>
    <w:p w14:paraId="46957A6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Columbus, Ohio:</w:t>
      </w:r>
      <w:r w:rsidRPr="00DD7BD1">
        <w:rPr>
          <w:rFonts w:ascii="Calibri" w:hAnsi="Calibri" w:cs="Calibri"/>
          <w:sz w:val="22"/>
          <w:szCs w:val="22"/>
        </w:rPr>
        <w:t> Effective March 1, 2024, Columbus prohibits employers with 15 or more employees from inquiring about an applicant's salary history. </w:t>
      </w:r>
      <w:hyperlink r:id="rId499" w:tgtFrame="_blank" w:history="1">
        <w:r w:rsidRPr="00DD7BD1">
          <w:rPr>
            <w:rStyle w:val="Hyperlink"/>
            <w:rFonts w:ascii="Calibri" w:eastAsiaTheme="minorHAnsi" w:hAnsi="Calibri" w:cs="Calibri"/>
            <w:sz w:val="22"/>
            <w:szCs w:val="22"/>
          </w:rPr>
          <w:t>Ordinance 0709-2023</w:t>
        </w:r>
      </w:hyperlink>
      <w:r w:rsidRPr="00DD7BD1">
        <w:rPr>
          <w:rFonts w:ascii="Calibri" w:hAnsi="Calibri" w:cs="Calibri"/>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Minnesota:</w:t>
      </w:r>
      <w:r w:rsidRPr="00DD7BD1">
        <w:rPr>
          <w:rFonts w:ascii="Calibri" w:hAnsi="Calibri" w:cs="Calibri"/>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500" w:tgtFrame="_blank" w:history="1">
        <w:r w:rsidRPr="00DD7BD1">
          <w:rPr>
            <w:rStyle w:val="Hyperlink"/>
            <w:rFonts w:ascii="Calibri" w:eastAsiaTheme="minorHAnsi" w:hAnsi="Calibri" w:cs="Calibri"/>
            <w:sz w:val="22"/>
            <w:szCs w:val="22"/>
          </w:rPr>
          <w:t>The Wage Disclosure Protection law</w:t>
        </w:r>
      </w:hyperlink>
      <w:r w:rsidRPr="00DD7BD1">
        <w:rPr>
          <w:rFonts w:ascii="Calibri" w:hAnsi="Calibri" w:cs="Calibri"/>
          <w:sz w:val="22"/>
          <w:szCs w:val="22"/>
        </w:rPr>
        <w:t> exempts certain federal, state, or local law provisions and voluntary disclosures by applicants.</w:t>
      </w:r>
    </w:p>
    <w:p w14:paraId="52F87896"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Washington, D.C.:</w:t>
      </w:r>
      <w:r w:rsidRPr="00DD7BD1">
        <w:rPr>
          <w:rFonts w:ascii="Calibri" w:hAnsi="Calibri" w:cs="Calibri"/>
          <w:sz w:val="22"/>
          <w:szCs w:val="22"/>
        </w:rPr>
        <w:t> Scheduled for enactment on June 30, 2024, Washington, D.C.'s new </w:t>
      </w:r>
      <w:hyperlink r:id="rId501" w:tgtFrame="_blank" w:history="1">
        <w:r w:rsidRPr="00DD7BD1">
          <w:rPr>
            <w:rStyle w:val="Hyperlink"/>
            <w:rFonts w:ascii="Calibri" w:eastAsiaTheme="minorHAnsi" w:hAnsi="Calibri" w:cs="Calibri"/>
            <w:sz w:val="22"/>
            <w:szCs w:val="22"/>
          </w:rPr>
          <w:t>Pay Scale and Benefits Disclosure Amendment Act of 2023</w:t>
        </w:r>
      </w:hyperlink>
      <w:r w:rsidRPr="00DD7BD1">
        <w:rPr>
          <w:rStyle w:val="Hyperlink"/>
          <w:rFonts w:ascii="Calibri" w:eastAsiaTheme="minorHAnsi" w:hAnsi="Calibri" w:cs="Calibri"/>
        </w:rPr>
        <w:t>,</w:t>
      </w:r>
      <w:r w:rsidRPr="00DD7BD1">
        <w:rPr>
          <w:rFonts w:ascii="Calibri" w:hAnsi="Calibri" w:cs="Calibri"/>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w:t>
      </w:r>
      <w:proofErr w:type="gramStart"/>
      <w:r w:rsidRPr="00DD7BD1">
        <w:rPr>
          <w:rFonts w:ascii="Calibri" w:hAnsi="Calibri" w:cs="Calibri"/>
          <w:sz w:val="22"/>
          <w:szCs w:val="22"/>
        </w:rPr>
        <w:t>empowered</w:t>
      </w:r>
      <w:proofErr w:type="gramEnd"/>
      <w:r w:rsidRPr="00DD7BD1">
        <w:rPr>
          <w:rFonts w:ascii="Calibri" w:hAnsi="Calibri" w:cs="Calibri"/>
          <w:sz w:val="22"/>
          <w:szCs w:val="22"/>
        </w:rPr>
        <w:t xml:space="preserve"> to investigate and seek remedies. </w:t>
      </w:r>
    </w:p>
    <w:bookmarkEnd w:id="48"/>
    <w:p w14:paraId="2136EC8F" w14:textId="77777777" w:rsidR="00275725" w:rsidRPr="00DD7BD1" w:rsidRDefault="00275725" w:rsidP="00275725">
      <w:pPr>
        <w:pStyle w:val="BodyText"/>
        <w:spacing w:after="0" w:line="240" w:lineRule="auto"/>
        <w:ind w:right="360"/>
        <w:jc w:val="center"/>
        <w:rPr>
          <w:rFonts w:cs="Calibri"/>
          <w:b/>
          <w:bCs/>
          <w:color w:val="auto"/>
          <w:sz w:val="16"/>
          <w:szCs w:val="16"/>
        </w:rPr>
      </w:pPr>
    </w:p>
    <w:p w14:paraId="531DEA29" w14:textId="782CBD7C" w:rsidR="00275725" w:rsidRPr="00DD7BD1" w:rsidRDefault="00275725" w:rsidP="0027572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Blocked from Implementing Expansive Joint Employer Rule in Advance of the March 11</w:t>
      </w:r>
      <w:r w:rsidRPr="00DD7BD1">
        <w:rPr>
          <w:rFonts w:ascii="Calibri" w:hAnsi="Calibri" w:cs="Calibri"/>
          <w:sz w:val="28"/>
          <w:szCs w:val="28"/>
          <w:vertAlign w:val="superscript"/>
        </w:rPr>
        <w:t>th</w:t>
      </w:r>
      <w:r w:rsidRPr="00DD7BD1">
        <w:rPr>
          <w:rFonts w:ascii="Calibri" w:hAnsi="Calibri" w:cs="Calibri"/>
          <w:sz w:val="28"/>
          <w:szCs w:val="28"/>
        </w:rPr>
        <w:t xml:space="preserve"> Effective Date</w:t>
      </w:r>
    </w:p>
    <w:p w14:paraId="3DAD1A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color w:val="333333"/>
          <w:sz w:val="16"/>
          <w:szCs w:val="16"/>
        </w:rPr>
      </w:pPr>
    </w:p>
    <w:p w14:paraId="7F9C6D0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BACKGROUND</w:t>
      </w:r>
    </w:p>
    <w:p w14:paraId="2F0ED227"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8, 2024, the US District Court for the Eastern District of Texas vacated a 2023 rule issued by the NLRB, which would have </w:t>
      </w:r>
      <w:hyperlink r:id="rId502" w:tgtFrame="_blank" w:history="1">
        <w:r w:rsidRPr="00DD7BD1">
          <w:rPr>
            <w:rStyle w:val="Hyperlink"/>
            <w:rFonts w:ascii="Calibri" w:eastAsiaTheme="minorHAnsi" w:hAnsi="Calibri" w:cs="Calibri"/>
            <w:sz w:val="22"/>
            <w:szCs w:val="22"/>
          </w:rPr>
          <w:t>vastly expanded the circumstances under which separate companies can be considered joint employers</w:t>
        </w:r>
      </w:hyperlink>
      <w:r w:rsidRPr="00DD7BD1">
        <w:rPr>
          <w:rStyle w:val="Hyperlink"/>
          <w:rFonts w:ascii="Calibri" w:eastAsiaTheme="minorHAnsi" w:hAnsi="Calibri" w:cs="Calibri"/>
        </w:rPr>
        <w:t>.</w:t>
      </w:r>
      <w:hyperlink r:id="rId503" w:anchor="_ftn1" w:tgtFrame="_blank" w:history="1">
        <w:r w:rsidRPr="00DD7BD1">
          <w:rPr>
            <w:rStyle w:val="Hyperlink"/>
            <w:rFonts w:ascii="Calibri" w:eastAsiaTheme="minorHAnsi" w:hAnsi="Calibri" w:cs="Calibri"/>
            <w:sz w:val="22"/>
            <w:szCs w:val="22"/>
          </w:rPr>
          <w:t>[1]</w:t>
        </w:r>
      </w:hyperlink>
      <w:r w:rsidRPr="00DD7BD1">
        <w:rPr>
          <w:rFonts w:ascii="Calibri" w:hAnsi="Calibri" w:cs="Calibri"/>
          <w:color w:val="333333"/>
          <w:sz w:val="22"/>
          <w:szCs w:val="22"/>
        </w:rPr>
        <w:t> </w:t>
      </w:r>
      <w:r w:rsidRPr="00DD7BD1">
        <w:rPr>
          <w:rFonts w:ascii="Calibri" w:hAnsi="Calibri" w:cs="Calibri"/>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district court’s ruling preserves the NLRB’s 2020 Rule on the joint employer standard, which the 2023 Rule sought to rescind and replace. Under the 2020 Rule, a company is deemed a joint employer of another company’s employees only if it </w:t>
      </w:r>
      <w:proofErr w:type="gramStart"/>
      <w:r w:rsidRPr="00DD7BD1">
        <w:rPr>
          <w:rFonts w:ascii="Calibri" w:hAnsi="Calibri" w:cs="Calibri"/>
          <w:sz w:val="22"/>
          <w:szCs w:val="22"/>
        </w:rPr>
        <w:t>actually exercises</w:t>
      </w:r>
      <w:proofErr w:type="gramEnd"/>
      <w:r w:rsidRPr="00DD7BD1">
        <w:rPr>
          <w:rFonts w:ascii="Calibri" w:hAnsi="Calibri" w:cs="Calibri"/>
          <w:sz w:val="22"/>
          <w:szCs w:val="22"/>
        </w:rPr>
        <w:t xml:space="preserve"> “substantial direct and immediate control” over the employees’ essential terms and conditions of employment—for example, wages, benefits, hours of work, hiring, discharge, discipline, supervision, and direction.</w:t>
      </w:r>
      <w:hyperlink r:id="rId504" w:anchor="_ftn2" w:tgtFrame="_blank" w:history="1">
        <w:r w:rsidRPr="00DD7BD1">
          <w:rPr>
            <w:rStyle w:val="Hyperlink"/>
            <w:rFonts w:ascii="Calibri" w:hAnsi="Calibri" w:cs="Calibri"/>
            <w:color w:val="auto"/>
            <w:sz w:val="22"/>
            <w:szCs w:val="22"/>
          </w:rPr>
          <w:t>[2]</w:t>
        </w:r>
      </w:hyperlink>
    </w:p>
    <w:p w14:paraId="2D66DCD7" w14:textId="01E6A399"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u w:val="single"/>
        </w:rPr>
        <w:t>The 2023 Rule, which would have gone into effect on March 11, 2024, deems virtually any company that contracts for third-party labor as a joint employer.</w:t>
      </w:r>
      <w:r w:rsidRPr="00DD7BD1">
        <w:rPr>
          <w:rFonts w:ascii="Calibri" w:hAnsi="Calibri" w:cs="Calibri"/>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505" w:anchor="_ftn3" w:tgtFrame="_blank" w:history="1">
        <w:r w:rsidRPr="00DD7BD1">
          <w:rPr>
            <w:rStyle w:val="Hyperlink"/>
            <w:rFonts w:ascii="Calibri" w:hAnsi="Calibri" w:cs="Calibri"/>
            <w:color w:val="auto"/>
            <w:sz w:val="22"/>
            <w:szCs w:val="22"/>
          </w:rPr>
          <w:t>[3]</w:t>
        </w:r>
      </w:hyperlink>
    </w:p>
    <w:p w14:paraId="5E32E15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506" w:anchor="_ftn4" w:tgtFrame="_blank" w:history="1">
        <w:r w:rsidRPr="00DD7BD1">
          <w:rPr>
            <w:rStyle w:val="Hyperlink"/>
            <w:rFonts w:ascii="Calibri" w:hAnsi="Calibri" w:cs="Calibri"/>
            <w:color w:val="auto"/>
            <w:sz w:val="22"/>
            <w:szCs w:val="22"/>
          </w:rPr>
          <w:t>[4]</w:t>
        </w:r>
      </w:hyperlink>
    </w:p>
    <w:p w14:paraId="60FAEFFD"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lastRenderedPageBreak/>
        <w:t>In its March 8 decision, the district court held the 2023 Rule contrary to the NLRB’s authority because it exceeded the bounds of the common law definition of an employer.</w:t>
      </w:r>
      <w:hyperlink r:id="rId507" w:anchor="_ftn5" w:tgtFrame="_blank" w:history="1">
        <w:r w:rsidRPr="00DD7BD1">
          <w:rPr>
            <w:rStyle w:val="Hyperlink"/>
            <w:rFonts w:ascii="Calibri" w:hAnsi="Calibri" w:cs="Calibri"/>
            <w:color w:val="auto"/>
            <w:sz w:val="22"/>
            <w:szCs w:val="22"/>
          </w:rPr>
          <w:t>[5]</w:t>
        </w:r>
      </w:hyperlink>
      <w:r w:rsidRPr="00DD7BD1">
        <w:rPr>
          <w:rFonts w:ascii="Calibri" w:hAnsi="Calibri" w:cs="Calibri"/>
          <w:sz w:val="22"/>
          <w:szCs w:val="22"/>
        </w:rPr>
        <w:t> The court also found that the Board failed to provide a sufficient justification for rescinding the 2020 Rule.</w:t>
      </w:r>
    </w:p>
    <w:p w14:paraId="15D597A7" w14:textId="77777777" w:rsidR="00275725" w:rsidRPr="00DD7BD1" w:rsidRDefault="00275725" w:rsidP="00275725">
      <w:pPr>
        <w:pStyle w:val="NormalWeb"/>
        <w:shd w:val="clear" w:color="auto" w:fill="FFFFFF"/>
        <w:spacing w:before="0" w:beforeAutospacing="0" w:after="0" w:afterAutospacing="0"/>
        <w:jc w:val="both"/>
        <w:rPr>
          <w:rStyle w:val="Strong"/>
          <w:rFonts w:ascii="Calibri" w:hAnsi="Calibri" w:cs="Calibri"/>
          <w:sz w:val="16"/>
          <w:szCs w:val="16"/>
        </w:rPr>
      </w:pPr>
    </w:p>
    <w:p w14:paraId="3E2793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‘Substantial Direct and Immediate Control’ is the Operative Standard – For Now</w:t>
      </w:r>
    </w:p>
    <w:p w14:paraId="0F60A05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DD7BD1">
        <w:rPr>
          <w:rFonts w:ascii="Calibri" w:hAnsi="Calibri" w:cs="Calibri"/>
          <w:sz w:val="22"/>
          <w:szCs w:val="22"/>
        </w:rPr>
        <w:t>take action</w:t>
      </w:r>
      <w:proofErr w:type="gramEnd"/>
      <w:r w:rsidRPr="00DD7BD1">
        <w:rPr>
          <w:rFonts w:ascii="Calibri" w:hAnsi="Calibri" w:cs="Calibri"/>
          <w:sz w:val="22"/>
          <w:szCs w:val="22"/>
        </w:rPr>
        <w:t xml:space="preserve"> in response to the district court’s decision, which may include one or more of the following:</w:t>
      </w:r>
    </w:p>
    <w:p w14:paraId="08F2EFC9"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Appeal District Court’s Ruling to the US Court of Appeals for the Fifth Circuit:</w:t>
      </w:r>
      <w:r w:rsidRPr="00DD7BD1">
        <w:rPr>
          <w:rFonts w:ascii="Calibri" w:hAnsi="Calibri" w:cs="Calibri"/>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DD7BD1">
        <w:rPr>
          <w:rStyle w:val="Emphasis"/>
          <w:rFonts w:ascii="Calibri" w:hAnsi="Calibri" w:cs="Calibri"/>
        </w:rPr>
        <w:t>Browning-Ferris,</w:t>
      </w:r>
      <w:r w:rsidRPr="00DD7BD1">
        <w:rPr>
          <w:rFonts w:ascii="Calibri" w:hAnsi="Calibri" w:cs="Calibri"/>
        </w:rPr>
        <w:t> which established an approach similar to—although not quite as expansive as—the 2023 Rule.</w:t>
      </w:r>
      <w:hyperlink r:id="rId508" w:anchor="_ftn6" w:tgtFrame="_blank" w:history="1">
        <w:r w:rsidRPr="00DD7BD1">
          <w:rPr>
            <w:rStyle w:val="Hyperlink"/>
            <w:rFonts w:ascii="Calibri" w:hAnsi="Calibri" w:cs="Calibri"/>
            <w:color w:val="auto"/>
          </w:rPr>
          <w:t>[6]</w:t>
        </w:r>
      </w:hyperlink>
      <w:r w:rsidRPr="00DD7BD1">
        <w:rPr>
          <w:rFonts w:ascii="Calibri" w:hAnsi="Calibri" w:cs="Calibri"/>
        </w:rPr>
        <w:t> The Board may then choose to abandon rulemaking for the joint employer standard and establish future joint employer policy through case-by-case adjudication (see below).</w:t>
      </w:r>
    </w:p>
    <w:p w14:paraId="6AE5B9E0"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Rescind 2020 Rule and Promulgate New Joint Employer Standard Through Adjudication:</w:t>
      </w:r>
      <w:r w:rsidRPr="00DD7BD1">
        <w:rPr>
          <w:rFonts w:ascii="Calibri" w:hAnsi="Calibri" w:cs="Calibri"/>
        </w:rPr>
        <w:t> The Board could engage in new rulemaking to rescind the 2020 Rule, which would require a lengthy notice and comment process. As noted above, a rescission of the 2020 Rule would restore the Board’s prior precedent in </w:t>
      </w:r>
      <w:r w:rsidRPr="00DD7BD1">
        <w:rPr>
          <w:rStyle w:val="Emphasis"/>
          <w:rFonts w:ascii="Calibri" w:hAnsi="Calibri" w:cs="Calibri"/>
        </w:rPr>
        <w:t>Browning-Ferris,</w:t>
      </w:r>
      <w:hyperlink r:id="rId509" w:anchor="_ftn7" w:tgtFrame="_blank" w:history="1">
        <w:r w:rsidRPr="00DD7BD1">
          <w:rPr>
            <w:rStyle w:val="Hyperlink"/>
            <w:rFonts w:ascii="Calibri" w:hAnsi="Calibri" w:cs="Calibri"/>
            <w:color w:val="auto"/>
          </w:rPr>
          <w:t>[7]</w:t>
        </w:r>
      </w:hyperlink>
      <w:r w:rsidRPr="00DD7BD1">
        <w:rPr>
          <w:rFonts w:ascii="Calibri" w:hAnsi="Calibri" w:cs="Calibri"/>
        </w:rPr>
        <w:t xml:space="preserve"> which established an approach </w:t>
      </w:r>
      <w:proofErr w:type="gramStart"/>
      <w:r w:rsidRPr="00DD7BD1">
        <w:rPr>
          <w:rFonts w:ascii="Calibri" w:hAnsi="Calibri" w:cs="Calibri"/>
        </w:rPr>
        <w:t>similar to</w:t>
      </w:r>
      <w:proofErr w:type="gramEnd"/>
      <w:r w:rsidRPr="00DD7BD1">
        <w:rPr>
          <w:rFonts w:ascii="Calibri" w:hAnsi="Calibri" w:cs="Calibri"/>
        </w:rPr>
        <w:t xml:space="preserve"> the 2023 Rule. The Board could then decide future joint employer issues through case-by-case adjudication, which is how the Board addressed joint employer issues prior to the 2020 Rule.</w:t>
      </w:r>
      <w:hyperlink r:id="rId510" w:anchor="_ftn8" w:tgtFrame="_blank" w:history="1">
        <w:r w:rsidRPr="00DD7BD1">
          <w:rPr>
            <w:rStyle w:val="Hyperlink"/>
            <w:rFonts w:ascii="Calibri" w:hAnsi="Calibri" w:cs="Calibri"/>
            <w:color w:val="auto"/>
          </w:rPr>
          <w:t>[8]</w:t>
        </w:r>
      </w:hyperlink>
      <w:r w:rsidRPr="00DD7BD1">
        <w:rPr>
          <w:rFonts w:ascii="Calibri" w:hAnsi="Calibri" w:cs="Calibri"/>
        </w:rPr>
        <w:t> The Board could adopt a new standard under this case adjudication approach that is very similar, if not identical, to the 2023 Rule without engaging in rulemaking.</w:t>
      </w:r>
    </w:p>
    <w:p w14:paraId="0A18A7A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 Original Morgan Lewis </w:t>
      </w:r>
      <w:proofErr w:type="spellStart"/>
      <w:r w:rsidRPr="00DD7BD1">
        <w:rPr>
          <w:rFonts w:ascii="Calibri" w:hAnsi="Calibri" w:cs="Calibri"/>
          <w:sz w:val="22"/>
          <w:szCs w:val="22"/>
        </w:rPr>
        <w:t>Lawflash</w:t>
      </w:r>
      <w:proofErr w:type="spellEnd"/>
      <w:r w:rsidRPr="00DD7BD1">
        <w:rPr>
          <w:rFonts w:ascii="Calibri" w:hAnsi="Calibri" w:cs="Calibri"/>
          <w:sz w:val="22"/>
          <w:szCs w:val="22"/>
        </w:rPr>
        <w:t xml:space="preserve"> dated March 27</w:t>
      </w:r>
      <w:r w:rsidRPr="00DD7BD1">
        <w:rPr>
          <w:rFonts w:ascii="Calibri" w:hAnsi="Calibri" w:cs="Calibri"/>
          <w:sz w:val="22"/>
          <w:szCs w:val="22"/>
          <w:vertAlign w:val="superscript"/>
        </w:rPr>
        <w:t>th</w:t>
      </w:r>
      <w:r w:rsidRPr="00DD7BD1">
        <w:rPr>
          <w:rFonts w:ascii="Calibri" w:hAnsi="Calibri" w:cs="Calibri"/>
          <w:sz w:val="22"/>
          <w:szCs w:val="22"/>
        </w:rPr>
        <w:t xml:space="preserve">. Access it </w:t>
      </w:r>
      <w:hyperlink r:id="rId511" w:history="1">
        <w:r w:rsidRPr="00DD7BD1">
          <w:rPr>
            <w:rStyle w:val="Hyperlink"/>
            <w:rFonts w:ascii="Calibri" w:hAnsi="Calibri" w:cs="Calibri"/>
            <w:sz w:val="22"/>
            <w:szCs w:val="22"/>
          </w:rPr>
          <w:t>HERE</w:t>
        </w:r>
      </w:hyperlink>
    </w:p>
    <w:p w14:paraId="6EE3C2F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16"/>
          <w:szCs w:val="16"/>
        </w:rPr>
      </w:pPr>
    </w:p>
    <w:p w14:paraId="32BCA5FA" w14:textId="2D03B294" w:rsidR="00275725" w:rsidRPr="00DD7BD1" w:rsidRDefault="00275725" w:rsidP="0027572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Issues Independent Contractor Final Rule</w:t>
      </w:r>
    </w:p>
    <w:p w14:paraId="2816E648" w14:textId="58AE2D10"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On January 9, 2024, the U.S. Department of Labor (DOL) released a </w:t>
      </w:r>
      <w:hyperlink r:id="rId512" w:history="1">
        <w:r w:rsidRPr="00DD7BD1">
          <w:rPr>
            <w:rStyle w:val="Hyperlink"/>
            <w:rFonts w:ascii="Calibri" w:hAnsi="Calibri" w:cs="Calibri"/>
          </w:rPr>
          <w:t>final rule</w:t>
        </w:r>
      </w:hyperlink>
      <w:r w:rsidRPr="00DD7BD1">
        <w:rPr>
          <w:rFonts w:ascii="Calibri" w:hAnsi="Calibri" w:cs="Calibri"/>
        </w:rPr>
        <w:t xml:space="preserve">, effective March 11, 2024, revising the agency’s guidance on how to analyze who is an employee or independent contractor under the Fair Labor Standards Act (FLSA). This final rule rescinds the current independent contractor </w:t>
      </w:r>
      <w:hyperlink r:id="rId513" w:history="1">
        <w:r w:rsidRPr="00DD7BD1">
          <w:rPr>
            <w:rStyle w:val="Hyperlink"/>
            <w:rFonts w:ascii="Calibri" w:hAnsi="Calibri" w:cs="Calibri"/>
          </w:rPr>
          <w:t>rule</w:t>
        </w:r>
      </w:hyperlink>
      <w:r w:rsidRPr="00DD7BD1">
        <w:rPr>
          <w:rFonts w:ascii="Calibri" w:hAnsi="Calibri" w:cs="Calibri"/>
        </w:rPr>
        <w:t xml:space="preserve"> that was published on January 7, 2021, and mirrors the DOL’s </w:t>
      </w:r>
      <w:hyperlink r:id="rId514" w:history="1">
        <w:r w:rsidRPr="00DD7BD1">
          <w:rPr>
            <w:rStyle w:val="Hyperlink"/>
            <w:rFonts w:ascii="Calibri" w:hAnsi="Calibri" w:cs="Calibri"/>
          </w:rPr>
          <w:t>proposed rule</w:t>
        </w:r>
      </w:hyperlink>
      <w:r w:rsidRPr="00DD7BD1">
        <w:rPr>
          <w:rFonts w:ascii="Calibri" w:hAnsi="Calibri" w:cs="Calibri"/>
        </w:rPr>
        <w:t>.</w:t>
      </w:r>
    </w:p>
    <w:p w14:paraId="118D0E2F"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Takeaways:</w:t>
      </w:r>
    </w:p>
    <w:p w14:paraId="6B65D320"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DOL’s final rule rescinds the 2021 Independent Contractor Rule. </w:t>
      </w:r>
    </w:p>
    <w:p w14:paraId="3C61595A"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restores the multifactor, totality-of-the-circumstances when determining whether a worker is an employee or independent contractor under the FLSA. </w:t>
      </w:r>
    </w:p>
    <w:p w14:paraId="7DADACBB"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requires entities to </w:t>
      </w:r>
      <w:proofErr w:type="gramStart"/>
      <w:r w:rsidRPr="00DD7BD1">
        <w:rPr>
          <w:rFonts w:ascii="Calibri" w:hAnsi="Calibri" w:cs="Calibri"/>
        </w:rPr>
        <w:t>analyzes</w:t>
      </w:r>
      <w:proofErr w:type="gramEnd"/>
      <w:r w:rsidRPr="00DD7BD1">
        <w:rPr>
          <w:rFonts w:ascii="Calibri" w:hAnsi="Calibri" w:cs="Calibri"/>
        </w:rPr>
        <w:t xml:space="preserve"> all 6 economic realities test factors without assigning a predetermined weight to a particular factor. </w:t>
      </w:r>
    </w:p>
    <w:p w14:paraId="0AC87660" w14:textId="77777777" w:rsidR="00275725" w:rsidRPr="00DD7BD1" w:rsidRDefault="00275725" w:rsidP="00275725">
      <w:pPr>
        <w:pStyle w:val="BList1"/>
        <w:ind w:left="450"/>
        <w:jc w:val="both"/>
        <w:rPr>
          <w:rFonts w:ascii="Calibri" w:hAnsi="Calibri" w:cs="Calibri"/>
        </w:rPr>
      </w:pPr>
      <w:r w:rsidRPr="00DD7BD1">
        <w:rPr>
          <w:rFonts w:ascii="Calibri" w:hAnsi="Calibri" w:cs="Calibri"/>
        </w:rPr>
        <w:t xml:space="preserve">It may result in classifying a greater number of workers as employees, not independent contractors. </w:t>
      </w:r>
    </w:p>
    <w:p w14:paraId="7B4A6042" w14:textId="5FE1134C"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The DOL has released </w:t>
      </w:r>
      <w:hyperlink r:id="rId515" w:history="1">
        <w:r w:rsidRPr="00DD7BD1">
          <w:rPr>
            <w:rStyle w:val="Hyperlink"/>
            <w:rFonts w:ascii="Calibri" w:hAnsi="Calibri" w:cs="Calibri"/>
          </w:rPr>
          <w:t>guidance</w:t>
        </w:r>
      </w:hyperlink>
      <w:r w:rsidRPr="00DD7BD1">
        <w:rPr>
          <w:rFonts w:ascii="Calibri" w:hAnsi="Calibri" w:cs="Calibri"/>
        </w:rPr>
        <w:t xml:space="preserve"> to help employers comply with the final rule.</w:t>
      </w:r>
    </w:p>
    <w:p w14:paraId="6F5BC23A" w14:textId="77777777"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b/>
          <w:bCs/>
          <w:highlight w:val="lightGray"/>
        </w:rPr>
        <w:t>Learn More</w:t>
      </w:r>
    </w:p>
    <w:p w14:paraId="15E5A9C8" w14:textId="76FB0BAF"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DD7BD1" w:rsidRDefault="00275725" w:rsidP="00275725">
      <w:pPr>
        <w:pStyle w:val="BodyText"/>
        <w:spacing w:after="0" w:line="240" w:lineRule="auto"/>
        <w:rPr>
          <w:rFonts w:cs="Calibri"/>
          <w:color w:val="auto"/>
        </w:rPr>
      </w:pPr>
      <w:r w:rsidRPr="00DD7BD1">
        <w:rPr>
          <w:rFonts w:cs="Calibri"/>
          <w:color w:val="auto"/>
        </w:rPr>
        <w:t xml:space="preserve">The DOL published the 2021 Independent Contractor Rule on January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w:t>
      </w:r>
      <w:r w:rsidRPr="00DD7BD1">
        <w:rPr>
          <w:rFonts w:cs="Calibri"/>
          <w:color w:val="auto"/>
        </w:rPr>
        <w:lastRenderedPageBreak/>
        <w:t xml:space="preserve">over </w:t>
      </w:r>
      <w:proofErr w:type="gramStart"/>
      <w:r w:rsidRPr="00DD7BD1">
        <w:rPr>
          <w:rFonts w:cs="Calibri"/>
          <w:color w:val="auto"/>
        </w:rPr>
        <w:t>the work and the</w:t>
      </w:r>
      <w:proofErr w:type="gramEnd"/>
      <w:r w:rsidRPr="00DD7BD1">
        <w:rPr>
          <w:rFonts w:cs="Calibri"/>
          <w:color w:val="auto"/>
        </w:rPr>
        <w:t xml:space="preserve"> worker’s opportunity for profit and loss based on initiative and/or investment. These factors carried more weight in determining the status of independent contractors.</w:t>
      </w:r>
    </w:p>
    <w:p w14:paraId="57CBFB72" w14:textId="7E0026FE"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DD7BD1" w:rsidRDefault="009040C5" w:rsidP="009040C5">
      <w:pPr>
        <w:pStyle w:val="BodyText"/>
        <w:spacing w:after="0" w:line="240" w:lineRule="auto"/>
        <w:ind w:right="360"/>
        <w:rPr>
          <w:rFonts w:cs="Calibri"/>
          <w:color w:val="auto"/>
          <w:sz w:val="16"/>
          <w:szCs w:val="16"/>
        </w:rPr>
      </w:pPr>
    </w:p>
    <w:p w14:paraId="632B4633"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NLRB’s General Counsel Says Employers Cannot Bar Outside Employment</w:t>
      </w:r>
    </w:p>
    <w:p w14:paraId="0E30F463"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color w:val="000000"/>
          <w:sz w:val="22"/>
          <w:szCs w:val="22"/>
        </w:rPr>
      </w:pPr>
      <w:r w:rsidRPr="00DD7BD1">
        <w:rPr>
          <w:rFonts w:ascii="Calibri" w:hAnsi="Calibri" w:cs="Calibri"/>
          <w:color w:val="000000"/>
          <w:sz w:val="22"/>
          <w:szCs w:val="22"/>
          <w:highlight w:val="lightGray"/>
        </w:rPr>
        <w:t>Employer Takeaway:</w:t>
      </w:r>
      <w:r w:rsidRPr="00DD7BD1">
        <w:rPr>
          <w:rFonts w:ascii="Calibri" w:hAnsi="Calibri" w:cs="Calibri"/>
          <w:b w:val="0"/>
          <w:bCs w:val="0"/>
          <w:color w:val="000000"/>
          <w:sz w:val="22"/>
          <w:szCs w:val="22"/>
        </w:rPr>
        <w:t xml:space="preserve"> If you have a policy strictly prohibiting all outside </w:t>
      </w:r>
      <w:proofErr w:type="gramStart"/>
      <w:r w:rsidRPr="00DD7BD1">
        <w:rPr>
          <w:rFonts w:ascii="Calibri" w:hAnsi="Calibri" w:cs="Calibri"/>
          <w:b w:val="0"/>
          <w:bCs w:val="0"/>
          <w:color w:val="000000"/>
          <w:sz w:val="22"/>
          <w:szCs w:val="22"/>
        </w:rPr>
        <w:t>employment.,</w:t>
      </w:r>
      <w:proofErr w:type="gramEnd"/>
      <w:r w:rsidRPr="00DD7BD1">
        <w:rPr>
          <w:rFonts w:ascii="Calibri" w:hAnsi="Calibri" w:cs="Calibri"/>
          <w:b w:val="0"/>
          <w:bCs w:val="0"/>
          <w:color w:val="000000"/>
          <w:sz w:val="22"/>
          <w:szCs w:val="22"/>
        </w:rPr>
        <w:t xml:space="preserve"> it may be time to review and update that policy.</w:t>
      </w:r>
    </w:p>
    <w:p w14:paraId="071C35F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16"/>
          <w:szCs w:val="16"/>
          <w:shd w:val="clear" w:color="auto" w:fill="FFFFFF"/>
        </w:rPr>
      </w:pPr>
    </w:p>
    <w:p w14:paraId="604FCAFA"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r w:rsidRPr="00DD7BD1">
        <w:rPr>
          <w:rFonts w:ascii="Calibri" w:hAnsi="Calibri" w:cs="Calibri"/>
          <w:spacing w:val="3"/>
          <w:sz w:val="22"/>
          <w:szCs w:val="22"/>
          <w:highlight w:val="darkGray"/>
          <w:shd w:val="clear" w:color="auto" w:fill="FFFFFF"/>
        </w:rPr>
        <w:t>Learn More:</w:t>
      </w:r>
      <w:r w:rsidRPr="00DD7BD1">
        <w:rPr>
          <w:rFonts w:ascii="Calibri" w:hAnsi="Calibri" w:cs="Calibri"/>
          <w:b w:val="0"/>
          <w:bCs w:val="0"/>
          <w:spacing w:val="3"/>
          <w:sz w:val="22"/>
          <w:szCs w:val="22"/>
          <w:shd w:val="clear" w:color="auto" w:fill="FFFFFF"/>
        </w:rPr>
        <w:t xml:space="preserve"> The National Labor Relations Board (NLRB) is chipping away at employment agreements and other restrictive covenants one clause at a time. In a recent </w:t>
      </w:r>
      <w:hyperlink r:id="rId516" w:tgtFrame="_blank" w:history="1">
        <w:r w:rsidRPr="00FC0387">
          <w:rPr>
            <w:rStyle w:val="Hyperlink"/>
            <w:rFonts w:ascii="Calibri" w:eastAsiaTheme="minorHAnsi" w:hAnsi="Calibri" w:cs="Calibri"/>
            <w:b w:val="0"/>
            <w:bCs w:val="0"/>
            <w:kern w:val="0"/>
            <w:sz w:val="22"/>
            <w:szCs w:val="22"/>
          </w:rPr>
          <w:t>memorandum</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p>
    <w:p w14:paraId="35591DE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z w:val="22"/>
          <w:szCs w:val="22"/>
        </w:rPr>
      </w:pPr>
      <w:r w:rsidRPr="00DD7BD1">
        <w:rPr>
          <w:rFonts w:ascii="Calibri" w:hAnsi="Calibri" w:cs="Calibri"/>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DD7BD1" w:rsidRDefault="009040C5" w:rsidP="009040C5">
      <w:pPr>
        <w:pStyle w:val="BodyText"/>
        <w:spacing w:after="0" w:line="240" w:lineRule="auto"/>
        <w:ind w:right="360"/>
        <w:rPr>
          <w:rFonts w:cs="Calibri"/>
          <w:color w:val="auto"/>
          <w:sz w:val="16"/>
          <w:szCs w:val="16"/>
        </w:rPr>
      </w:pPr>
    </w:p>
    <w:p w14:paraId="752E8DB1" w14:textId="77777777" w:rsidR="009040C5" w:rsidRPr="00DD7BD1" w:rsidRDefault="009040C5" w:rsidP="009040C5">
      <w:pPr>
        <w:pStyle w:val="BodyText"/>
        <w:spacing w:after="0" w:line="240" w:lineRule="auto"/>
        <w:ind w:right="360"/>
        <w:jc w:val="center"/>
        <w:rPr>
          <w:rFonts w:cs="Calibri"/>
          <w:b/>
          <w:bCs/>
          <w:color w:val="111111"/>
          <w:sz w:val="28"/>
          <w:szCs w:val="28"/>
        </w:rPr>
      </w:pPr>
      <w:r w:rsidRPr="00DD7BD1">
        <w:rPr>
          <w:rFonts w:cs="Calibri"/>
          <w:b/>
          <w:bCs/>
          <w:color w:val="111111"/>
          <w:sz w:val="28"/>
          <w:szCs w:val="28"/>
        </w:rPr>
        <w:t>Out of Work: Union Strike Activity Surged in 2023</w:t>
      </w:r>
    </w:p>
    <w:p w14:paraId="15FEADA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b/>
          <w:bCs/>
          <w:color w:val="000000"/>
          <w:kern w:val="36"/>
          <w:sz w:val="22"/>
          <w:szCs w:val="22"/>
          <w:highlight w:val="lightGray"/>
        </w:rPr>
        <w:t>Employer Takeaway:</w:t>
      </w:r>
      <w:r w:rsidRPr="00DD7BD1">
        <w:rPr>
          <w:rFonts w:ascii="Calibri" w:hAnsi="Calibri" w:cs="Calibri"/>
          <w:color w:val="000000"/>
          <w:sz w:val="22"/>
          <w:szCs w:val="22"/>
        </w:rPr>
        <w:t xml:space="preserve"> 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16"/>
          <w:szCs w:val="16"/>
        </w:rPr>
      </w:pPr>
    </w:p>
    <w:p w14:paraId="0F06940E"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22"/>
          <w:szCs w:val="22"/>
        </w:rPr>
      </w:pPr>
      <w:r w:rsidRPr="00DD7BD1">
        <w:rPr>
          <w:rFonts w:ascii="Calibri" w:hAnsi="Calibri" w:cs="Calibri"/>
          <w:b/>
          <w:bCs/>
          <w:spacing w:val="3"/>
          <w:sz w:val="22"/>
          <w:szCs w:val="22"/>
          <w:highlight w:val="darkGray"/>
          <w:shd w:val="clear" w:color="auto" w:fill="FFFFFF"/>
        </w:rPr>
        <w:t>Learn More:</w:t>
      </w:r>
      <w:r w:rsidRPr="00DD7BD1">
        <w:rPr>
          <w:rFonts w:ascii="Calibri" w:hAnsi="Calibri" w:cs="Calibri"/>
          <w:b/>
          <w:bCs/>
          <w:color w:val="000000"/>
          <w:sz w:val="22"/>
          <w:szCs w:val="22"/>
        </w:rPr>
        <w:t xml:space="preserve"> </w:t>
      </w:r>
      <w:r w:rsidRPr="00DD7BD1">
        <w:rPr>
          <w:rFonts w:ascii="Calibri" w:hAnsi="Calibri" w:cs="Calibri"/>
          <w:color w:val="000000"/>
          <w:sz w:val="22"/>
          <w:szCs w:val="22"/>
        </w:rPr>
        <w:t>Unions continued to dominate headlines in late 2023, with the Starbucks saga </w:t>
      </w:r>
      <w:hyperlink r:id="rId517" w:tgtFrame="_blank" w:history="1">
        <w:r w:rsidRPr="00DD7BD1">
          <w:rPr>
            <w:rStyle w:val="Hyperlink"/>
            <w:rFonts w:ascii="Calibri" w:eastAsiaTheme="minorHAnsi" w:hAnsi="Calibri" w:cs="Calibri"/>
            <w:sz w:val="22"/>
            <w:szCs w:val="22"/>
          </w:rPr>
          <w:t>continuing to unfold</w:t>
        </w:r>
      </w:hyperlink>
      <w:r w:rsidRPr="00DD7BD1">
        <w:rPr>
          <w:rFonts w:ascii="Calibri" w:hAnsi="Calibri" w:cs="Calibri"/>
          <w:color w:val="000000"/>
          <w:sz w:val="22"/>
          <w:szCs w:val="22"/>
        </w:rPr>
        <w:t> and the United Auto</w:t>
      </w:r>
      <w:r w:rsidRPr="00DD7BD1">
        <w:rPr>
          <w:rFonts w:ascii="Calibri" w:hAnsi="Calibri" w:cs="Calibri"/>
          <w:color w:val="000000"/>
          <w:sz w:val="21"/>
          <w:szCs w:val="21"/>
        </w:rPr>
        <w:t xml:space="preserve"> </w:t>
      </w:r>
      <w:r w:rsidRPr="00DD7BD1">
        <w:rPr>
          <w:rFonts w:ascii="Calibri" w:hAnsi="Calibri" w:cs="Calibri"/>
          <w:color w:val="000000"/>
          <w:sz w:val="22"/>
          <w:szCs w:val="22"/>
        </w:rPr>
        <w:t>Workers (UAW) – for the first time in its history – coordinating a </w:t>
      </w:r>
      <w:hyperlink r:id="rId518" w:tgtFrame="_blank" w:history="1">
        <w:r w:rsidRPr="00DD7BD1">
          <w:rPr>
            <w:rStyle w:val="Hyperlink"/>
            <w:rFonts w:ascii="Calibri" w:eastAsiaTheme="minorHAnsi" w:hAnsi="Calibri" w:cs="Calibri"/>
            <w:sz w:val="22"/>
            <w:szCs w:val="22"/>
          </w:rPr>
          <w:t>simultaneous strike</w:t>
        </w:r>
      </w:hyperlink>
      <w:r w:rsidRPr="00DD7BD1">
        <w:rPr>
          <w:rFonts w:ascii="Calibri" w:hAnsi="Calibri" w:cs="Calibri"/>
          <w:color w:val="000000"/>
          <w:sz w:val="22"/>
          <w:szCs w:val="22"/>
        </w:rPr>
        <w:t> at the “Big Three” automakers in Detroit.</w:t>
      </w:r>
    </w:p>
    <w:p w14:paraId="0A6A9AC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UAW's historic strike against American auto manufacturers was not an outlier. According to a </w:t>
      </w:r>
      <w:hyperlink r:id="rId519" w:tgtFrame="_blank" w:history="1">
        <w:r w:rsidRPr="00DD7BD1">
          <w:rPr>
            <w:rStyle w:val="Hyperlink"/>
            <w:rFonts w:ascii="Calibri" w:hAnsi="Calibri" w:cs="Calibri"/>
            <w:color w:val="194C81"/>
            <w:sz w:val="22"/>
            <w:szCs w:val="22"/>
            <w:u w:val="none"/>
          </w:rPr>
          <w:t>recent article</w:t>
        </w:r>
      </w:hyperlink>
      <w:r w:rsidRPr="00DD7BD1">
        <w:rPr>
          <w:rFonts w:ascii="Calibri" w:hAnsi="Calibri" w:cs="Calibri"/>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520" w:tgtFrame="_blank" w:history="1">
        <w:r w:rsidRPr="00DD7BD1">
          <w:rPr>
            <w:rStyle w:val="Hyperlink"/>
            <w:rFonts w:ascii="Calibri" w:hAnsi="Calibri" w:cs="Calibri"/>
            <w:color w:val="194C81"/>
            <w:sz w:val="22"/>
            <w:szCs w:val="22"/>
            <w:u w:val="none"/>
          </w:rPr>
          <w:t xml:space="preserve">in </w:t>
        </w:r>
        <w:r w:rsidRPr="00DD7BD1">
          <w:rPr>
            <w:rStyle w:val="Hyperlink"/>
            <w:rFonts w:ascii="Calibri" w:eastAsiaTheme="minorHAnsi" w:hAnsi="Calibri" w:cs="Calibri"/>
            <w:sz w:val="22"/>
            <w:szCs w:val="22"/>
          </w:rPr>
          <w:t>2022 as wel</w:t>
        </w:r>
        <w:r w:rsidRPr="00DD7BD1">
          <w:rPr>
            <w:rStyle w:val="Hyperlink"/>
            <w:rFonts w:ascii="Calibri" w:hAnsi="Calibri" w:cs="Calibri"/>
            <w:color w:val="194C81"/>
            <w:sz w:val="22"/>
            <w:szCs w:val="22"/>
            <w:u w:val="none"/>
          </w:rPr>
          <w:t>l</w:t>
        </w:r>
      </w:hyperlink>
      <w:r w:rsidRPr="00DD7BD1">
        <w:rPr>
          <w:rFonts w:ascii="Calibri" w:hAnsi="Calibri" w:cs="Calibri"/>
          <w:color w:val="000000"/>
          <w:sz w:val="22"/>
          <w:szCs w:val="22"/>
        </w:rPr>
        <w:t>.</w:t>
      </w:r>
    </w:p>
    <w:p w14:paraId="726D29F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A myriad labor law and other legal issues come into play for employers when workers decide to go on strike. </w:t>
      </w:r>
    </w:p>
    <w:p w14:paraId="60F0AE7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For example:</w:t>
      </w:r>
    </w:p>
    <w:p w14:paraId="0C6115AC"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 xml:space="preserve">Unions and employees generally have a right to picket peacefully on public property outside and adjacent to an employer's property. Employers may not engage in surveillance – or even create the impression of surveillance – of lawful picketing </w:t>
      </w:r>
      <w:r w:rsidRPr="00DD7BD1">
        <w:rPr>
          <w:rFonts w:ascii="Calibri" w:hAnsi="Calibri" w:cs="Calibri"/>
          <w:color w:val="000000"/>
        </w:rPr>
        <w:lastRenderedPageBreak/>
        <w:t>activity. Companies often trip up, for instance, by setting up new video cameras to record picketing activity before any illegal conduct occurs.</w:t>
      </w:r>
    </w:p>
    <w:p w14:paraId="0BBF93B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some states, employees on strike get unemployment benefits in certain circumstances and in others they do not</w:t>
      </w:r>
    </w:p>
    <w:p w14:paraId="4F91E30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Most – but not all – benefit plans provide that employees on strike are not eligible for benefits and must elect COBRA, which typically is very costly, to continue coverage</w:t>
      </w:r>
    </w:p>
    <w:p w14:paraId="2ABED1A4"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Countless other legal issues come into play as well. </w:t>
      </w:r>
    </w:p>
    <w:p w14:paraId="757D5B77"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t>
      </w:r>
      <w:r w:rsidRPr="00DD7BD1">
        <w:rPr>
          <w:rFonts w:ascii="Calibri" w:hAnsi="Calibri" w:cs="Calibri"/>
          <w:sz w:val="22"/>
          <w:szCs w:val="22"/>
        </w:rPr>
        <w:t xml:space="preserve">National Law Review: </w:t>
      </w:r>
      <w:r w:rsidRPr="00DD7BD1">
        <w:rPr>
          <w:rFonts w:ascii="Calibri" w:hAnsi="Calibri" w:cs="Calibri"/>
          <w:sz w:val="22"/>
          <w:szCs w:val="22"/>
          <w:shd w:val="clear" w:color="auto" w:fill="FFFFFF"/>
        </w:rPr>
        <w:t>Thursday, January 25, 2024, BARNES &amp; THORNBURG LLP</w:t>
      </w:r>
    </w:p>
    <w:p w14:paraId="652ACABB" w14:textId="77777777" w:rsidR="009040C5" w:rsidRPr="00DD7BD1" w:rsidRDefault="009040C5" w:rsidP="009040C5">
      <w:pPr>
        <w:pStyle w:val="BodyText"/>
        <w:spacing w:after="0" w:line="240" w:lineRule="auto"/>
        <w:ind w:right="360"/>
        <w:rPr>
          <w:rFonts w:cs="Calibri"/>
          <w:color w:val="auto"/>
          <w:sz w:val="16"/>
          <w:szCs w:val="16"/>
        </w:rPr>
      </w:pPr>
    </w:p>
    <w:p w14:paraId="35B0545B" w14:textId="77777777" w:rsidR="009040C5" w:rsidRPr="00DD7BD1" w:rsidRDefault="009040C5" w:rsidP="009040C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HR WORK BREAK PODCAST: HR Work Break: Keeping Employees Engaged</w:t>
      </w:r>
    </w:p>
    <w:p w14:paraId="48A0FA87" w14:textId="77777777" w:rsidR="009040C5" w:rsidRPr="00DD7BD1" w:rsidRDefault="009040C5" w:rsidP="009040C5">
      <w:pPr>
        <w:pStyle w:val="BodyText"/>
        <w:spacing w:after="0" w:line="240" w:lineRule="auto"/>
        <w:ind w:right="360"/>
        <w:rPr>
          <w:rFonts w:cs="Calibri"/>
          <w:b/>
          <w:bCs/>
          <w:color w:val="auto"/>
          <w:sz w:val="23"/>
          <w:szCs w:val="23"/>
        </w:rPr>
      </w:pPr>
      <w:r w:rsidRPr="00DD7BD1">
        <w:rPr>
          <w:rFonts w:cs="Calibri"/>
          <w:b/>
          <w:bCs/>
          <w:color w:val="auto"/>
          <w:sz w:val="23"/>
          <w:szCs w:val="23"/>
        </w:rPr>
        <w:t>Listen</w:t>
      </w:r>
      <w:hyperlink r:id="rId521" w:history="1">
        <w:r w:rsidRPr="00DD7BD1">
          <w:rPr>
            <w:rStyle w:val="Hyperlink"/>
            <w:rFonts w:cs="Calibri"/>
            <w:b/>
            <w:bCs/>
            <w:sz w:val="23"/>
            <w:szCs w:val="23"/>
          </w:rPr>
          <w:t xml:space="preserve"> HERE</w:t>
        </w:r>
      </w:hyperlink>
    </w:p>
    <w:p w14:paraId="62B7F438" w14:textId="77777777" w:rsidR="009040C5" w:rsidRPr="00DD7BD1" w:rsidRDefault="009040C5" w:rsidP="009040C5">
      <w:pPr>
        <w:pStyle w:val="BodyText"/>
        <w:spacing w:after="0" w:line="240" w:lineRule="auto"/>
        <w:ind w:right="360"/>
        <w:rPr>
          <w:rFonts w:cs="Calibri"/>
          <w:color w:val="auto"/>
          <w:szCs w:val="22"/>
          <w:shd w:val="clear" w:color="auto" w:fill="FFFFFF"/>
        </w:rPr>
      </w:pPr>
      <w:r w:rsidRPr="00DD7BD1">
        <w:rPr>
          <w:rFonts w:cs="Calibri"/>
          <w:color w:val="auto"/>
          <w:szCs w:val="22"/>
          <w:shd w:val="clear" w:color="auto" w:fill="FFFFFF"/>
        </w:rPr>
        <w:t>Recent research at </w:t>
      </w:r>
      <w:hyperlink r:id="rId522" w:tgtFrame="_blank" w:history="1">
        <w:r w:rsidRPr="00DD7BD1">
          <w:rPr>
            <w:rStyle w:val="Hyperlink"/>
            <w:rFonts w:cs="Calibri"/>
            <w:szCs w:val="22"/>
          </w:rPr>
          <w:t>Gallup</w:t>
        </w:r>
      </w:hyperlink>
      <w:r w:rsidRPr="00DD7BD1">
        <w:rPr>
          <w:rStyle w:val="Hyperlink"/>
          <w:rFonts w:cs="Calibri"/>
          <w:szCs w:val="22"/>
        </w:rPr>
        <w:t> </w:t>
      </w:r>
      <w:r w:rsidRPr="00DD7BD1">
        <w:rPr>
          <w:rFonts w:cs="Calibri"/>
          <w:color w:val="auto"/>
          <w:szCs w:val="22"/>
          <w:shd w:val="clear" w:color="auto" w:fill="FFFFFF"/>
        </w:rPr>
        <w:t xml:space="preserve">shows that employee engagement continues to decline, </w:t>
      </w:r>
      <w:proofErr w:type="gramStart"/>
      <w:r w:rsidRPr="00DD7BD1">
        <w:rPr>
          <w:rFonts w:cs="Calibri"/>
          <w:color w:val="auto"/>
          <w:szCs w:val="22"/>
          <w:shd w:val="clear" w:color="auto" w:fill="FFFFFF"/>
        </w:rPr>
        <w:t>in spite of</w:t>
      </w:r>
      <w:proofErr w:type="gramEnd"/>
      <w:r w:rsidRPr="00DD7BD1">
        <w:rPr>
          <w:rFonts w:cs="Calibri"/>
          <w:color w:val="auto"/>
          <w:szCs w:val="22"/>
          <w:shd w:val="clear" w:color="auto" w:fill="FFFFFF"/>
        </w:rPr>
        <w:t xml:space="preserve"> many efforts to revitalize company culture: only 36% of the workforce was engaged in 2020, and </w:t>
      </w:r>
      <w:proofErr w:type="gramStart"/>
      <w:r w:rsidRPr="00DD7BD1">
        <w:rPr>
          <w:rFonts w:cs="Calibri"/>
          <w:color w:val="auto"/>
          <w:szCs w:val="22"/>
          <w:shd w:val="clear" w:color="auto" w:fill="FFFFFF"/>
        </w:rPr>
        <w:t>it’s</w:t>
      </w:r>
      <w:proofErr w:type="gramEnd"/>
      <w:r w:rsidRPr="00DD7BD1">
        <w:rPr>
          <w:rFonts w:cs="Calibri"/>
          <w:color w:val="auto"/>
          <w:szCs w:val="22"/>
          <w:shd w:val="clear" w:color="auto" w:fill="FFFFFF"/>
        </w:rPr>
        <w:t xml:space="preserve">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 HR Work Break Podcast Guest: Shannon Gabriel, Vice President of Leadership Solutions at TBM Consulting</w:t>
      </w:r>
    </w:p>
    <w:p w14:paraId="730082F9" w14:textId="77777777" w:rsidR="009040C5" w:rsidRPr="00DD7BD1" w:rsidRDefault="009040C5" w:rsidP="009040C5">
      <w:pPr>
        <w:pStyle w:val="BodyText"/>
        <w:spacing w:after="0" w:line="240" w:lineRule="auto"/>
        <w:ind w:right="360"/>
        <w:rPr>
          <w:rFonts w:eastAsiaTheme="minorHAnsi" w:cs="Calibri"/>
          <w:b/>
          <w:bCs/>
          <w:color w:val="auto"/>
          <w:sz w:val="16"/>
          <w:szCs w:val="16"/>
        </w:rPr>
      </w:pPr>
    </w:p>
    <w:p w14:paraId="50F323B9" w14:textId="180AD7AB" w:rsidR="00145775" w:rsidRPr="00DD7BD1" w:rsidRDefault="00145775" w:rsidP="00145775">
      <w:pPr>
        <w:pStyle w:val="BodyText"/>
        <w:spacing w:after="0" w:line="240" w:lineRule="auto"/>
        <w:ind w:right="360"/>
        <w:jc w:val="center"/>
        <w:rPr>
          <w:rFonts w:eastAsiaTheme="minorHAnsi" w:cs="Calibri"/>
          <w:b/>
          <w:bCs/>
          <w:color w:val="auto"/>
          <w:sz w:val="28"/>
          <w:szCs w:val="28"/>
        </w:rPr>
      </w:pPr>
      <w:r w:rsidRPr="00DD7BD1">
        <w:rPr>
          <w:rFonts w:eastAsiaTheme="minorHAnsi" w:cs="Calibri"/>
          <w:b/>
          <w:bCs/>
          <w:color w:val="auto"/>
          <w:sz w:val="28"/>
          <w:szCs w:val="28"/>
        </w:rPr>
        <w:t>FCRA Summary &amp; Employer Obligation Changes</w:t>
      </w:r>
    </w:p>
    <w:p w14:paraId="1AAE5776"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rPr>
        <w:t>Employers utilizing credit reports to deny employment MUST ensure the 3</w:t>
      </w:r>
      <w:r w:rsidRPr="00DD7BD1">
        <w:rPr>
          <w:rFonts w:ascii="Calibri" w:hAnsi="Calibri" w:cs="Calibri"/>
          <w:sz w:val="22"/>
          <w:szCs w:val="22"/>
          <w:vertAlign w:val="superscript"/>
        </w:rPr>
        <w:t>rd</w:t>
      </w:r>
      <w:r w:rsidRPr="00DD7BD1">
        <w:rPr>
          <w:rFonts w:ascii="Calibri" w:hAnsi="Calibri" w:cs="Calibri"/>
          <w:sz w:val="22"/>
          <w:szCs w:val="22"/>
        </w:rPr>
        <w:t xml:space="preserve"> Party conducting Background Investigations are adhering to this employer obligation.</w:t>
      </w:r>
    </w:p>
    <w:p w14:paraId="2D5E08E2"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12"/>
          <w:szCs w:val="12"/>
        </w:rPr>
      </w:pPr>
    </w:p>
    <w:p w14:paraId="0B8796BA"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20, 2023, the Consumer Financial Protection Bureau (CFPB) issued a </w:t>
      </w:r>
      <w:hyperlink r:id="rId523" w:tgtFrame="_blank" w:history="1">
        <w:r w:rsidRPr="00DD7BD1">
          <w:rPr>
            <w:rStyle w:val="Hyperlink"/>
            <w:rFonts w:ascii="Calibri" w:hAnsi="Calibri" w:cs="Calibri"/>
            <w:sz w:val="22"/>
            <w:szCs w:val="22"/>
          </w:rPr>
          <w:t>final rule</w:t>
        </w:r>
      </w:hyperlink>
      <w:r w:rsidRPr="00DD7BD1">
        <w:rPr>
          <w:rFonts w:ascii="Calibri" w:hAnsi="Calibri" w:cs="Calibri"/>
          <w:color w:val="282828"/>
          <w:sz w:val="22"/>
          <w:szCs w:val="22"/>
        </w:rPr>
        <w:t> </w:t>
      </w:r>
      <w:r w:rsidRPr="00DD7BD1">
        <w:rPr>
          <w:rFonts w:ascii="Calibri" w:hAnsi="Calibri" w:cs="Calibri"/>
          <w:sz w:val="22"/>
          <w:szCs w:val="22"/>
        </w:rPr>
        <w:t>which, among other things, updates their </w:t>
      </w:r>
      <w:hyperlink r:id="rId524" w:tgtFrame="_blank" w:history="1">
        <w:r w:rsidRPr="00DD7BD1">
          <w:rPr>
            <w:rStyle w:val="Hyperlink"/>
            <w:rFonts w:ascii="Calibri" w:hAnsi="Calibri" w:cs="Calibri"/>
            <w:sz w:val="22"/>
            <w:szCs w:val="22"/>
          </w:rPr>
          <w:t>Summary of Your Rights Under the Fair Credit Reporting Act</w:t>
        </w:r>
      </w:hyperlink>
      <w:r w:rsidRPr="00DD7BD1">
        <w:rPr>
          <w:rFonts w:ascii="Calibri" w:hAnsi="Calibri" w:cs="Calibri"/>
          <w:color w:val="282828"/>
          <w:sz w:val="22"/>
          <w:szCs w:val="22"/>
        </w:rPr>
        <w:t> </w:t>
      </w:r>
      <w:r w:rsidRPr="00DD7BD1">
        <w:rPr>
          <w:rFonts w:ascii="Calibri" w:hAnsi="Calibri" w:cs="Calibri"/>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D7BD1">
        <w:rPr>
          <w:rFonts w:ascii="Calibri" w:hAnsi="Calibri" w:cs="Calibri"/>
          <w:b/>
          <w:bCs/>
          <w:sz w:val="22"/>
          <w:szCs w:val="22"/>
        </w:rPr>
        <w:t>March 20, 2024</w:t>
      </w:r>
      <w:r w:rsidRPr="00DD7BD1">
        <w:rPr>
          <w:rFonts w:ascii="Calibri" w:hAnsi="Calibri" w:cs="Calibri"/>
          <w:sz w:val="22"/>
          <w:szCs w:val="22"/>
        </w:rPr>
        <w:t>. </w:t>
      </w:r>
    </w:p>
    <w:p w14:paraId="6BAE2221"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sz w:val="16"/>
          <w:szCs w:val="16"/>
        </w:rPr>
      </w:pPr>
    </w:p>
    <w:p w14:paraId="12602D8C" w14:textId="3D9E24DE" w:rsidR="00145775" w:rsidRPr="00DD7BD1" w:rsidRDefault="00145775" w:rsidP="00145775">
      <w:pPr>
        <w:pStyle w:val="BList1"/>
        <w:numPr>
          <w:ilvl w:val="0"/>
          <w:numId w:val="0"/>
        </w:numPr>
        <w:spacing w:before="0" w:after="0" w:line="240" w:lineRule="auto"/>
        <w:contextualSpacing w:val="0"/>
        <w:jc w:val="center"/>
        <w:rPr>
          <w:rFonts w:ascii="Calibri" w:hAnsi="Calibri" w:cs="Calibri"/>
          <w:b/>
          <w:bCs/>
          <w:color w:val="C00000"/>
          <w:sz w:val="28"/>
          <w:szCs w:val="28"/>
        </w:rPr>
      </w:pPr>
      <w:r w:rsidRPr="00DD7BD1">
        <w:rPr>
          <w:rFonts w:ascii="Calibri" w:hAnsi="Calibri" w:cs="Calibri"/>
          <w:b/>
          <w:bCs/>
          <w:sz w:val="28"/>
          <w:szCs w:val="28"/>
        </w:rPr>
        <w:t>IRS Limit Updates Annual Benefit Maximums for Health Flexible Spending Accounts &amp; More</w:t>
      </w:r>
    </w:p>
    <w:p w14:paraId="0EC01A85"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Ensure limits are updated and reflective in your Payroll System</w:t>
      </w:r>
    </w:p>
    <w:p w14:paraId="7AC61ECE" w14:textId="77777777" w:rsidR="00145775" w:rsidRPr="00DD7BD1" w:rsidRDefault="00145775" w:rsidP="00D66B68">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Each year in the fall, the IRS announces new limits for several types of benefits that have maximums subject to annual indexing. You can find the full list of the latest released amounts for 2024 in </w:t>
      </w:r>
      <w:hyperlink r:id="rId525" w:tgtFrame="_blank" w:history="1">
        <w:r w:rsidRPr="00DD7BD1">
          <w:rPr>
            <w:rStyle w:val="Hyperlink"/>
            <w:rFonts w:ascii="Calibri" w:hAnsi="Calibri" w:cs="Calibri"/>
            <w:sz w:val="22"/>
            <w:szCs w:val="22"/>
          </w:rPr>
          <w:t>IRS Revenue Procedure 2023-34</w:t>
        </w:r>
      </w:hyperlink>
      <w:r w:rsidRPr="00DD7BD1">
        <w:rPr>
          <w:rStyle w:val="Hyperlink"/>
          <w:rFonts w:ascii="Calibri" w:hAnsi="Calibri" w:cs="Calibri"/>
          <w:sz w:val="22"/>
          <w:szCs w:val="22"/>
        </w:rPr>
        <w:t>,</w:t>
      </w:r>
      <w:r w:rsidRPr="00DD7BD1">
        <w:rPr>
          <w:rFonts w:ascii="Calibri" w:hAnsi="Calibri" w:cs="Calibri"/>
          <w:color w:val="282828"/>
          <w:sz w:val="22"/>
          <w:szCs w:val="22"/>
        </w:rPr>
        <w:t xml:space="preserve"> </w:t>
      </w:r>
      <w:r w:rsidRPr="00DD7BD1">
        <w:rPr>
          <w:rFonts w:ascii="Calibri" w:hAnsi="Calibri" w:cs="Calibri"/>
          <w:sz w:val="22"/>
          <w:szCs w:val="22"/>
        </w:rPr>
        <w:t>but we’ve outlined the most common items employers ask us about.</w:t>
      </w:r>
    </w:p>
    <w:p w14:paraId="24D92A38" w14:textId="77777777" w:rsidR="00D66B68" w:rsidRPr="00DD7BD1" w:rsidRDefault="00D66B68" w:rsidP="00D66B68">
      <w:pPr>
        <w:pStyle w:val="Heading1"/>
        <w:shd w:val="clear" w:color="auto" w:fill="FFFFFF"/>
        <w:spacing w:before="0" w:beforeAutospacing="0" w:after="0" w:afterAutospacing="0"/>
        <w:jc w:val="both"/>
        <w:rPr>
          <w:rFonts w:ascii="Calibri" w:hAnsi="Calibri" w:cs="Calibri"/>
          <w:sz w:val="12"/>
          <w:szCs w:val="12"/>
        </w:rPr>
      </w:pPr>
    </w:p>
    <w:p w14:paraId="1D98B169" w14:textId="01AEAAC0" w:rsidR="00145775" w:rsidRPr="00DD7BD1" w:rsidRDefault="00145775" w:rsidP="00D66B68">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Health Flexible Spending Account (HFSA): </w:t>
      </w:r>
      <w:r w:rsidRPr="00DD7BD1">
        <w:rPr>
          <w:rFonts w:ascii="Calibri" w:hAnsi="Calibri" w:cs="Calibri"/>
          <w:b w:val="0"/>
          <w:bCs w:val="0"/>
          <w:sz w:val="22"/>
          <w:szCs w:val="22"/>
        </w:rPr>
        <w:t>For plan years beginning in 2024, the maximum HFSA contribution limit is $3,200. For HFSAs that include a carryover feature, the maximum carryover is $640.</w:t>
      </w:r>
    </w:p>
    <w:p w14:paraId="2EF4113D"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05DAC444" w14:textId="3A356F1A"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w:t>
      </w:r>
      <w:r w:rsidRPr="00DD7BD1">
        <w:rPr>
          <w:rFonts w:ascii="Calibri" w:eastAsia="Times New Roman" w:hAnsi="Calibri" w:cs="Calibri"/>
          <w:b/>
          <w:bCs/>
        </w:rPr>
        <w:t>dependent care FSA</w:t>
      </w:r>
      <w:r w:rsidRPr="00DD7BD1">
        <w:rPr>
          <w:rFonts w:ascii="Calibri" w:eastAsia="Times New Roman" w:hAnsi="Calibri" w:cs="Calibri"/>
        </w:rPr>
        <w:t xml:space="preserve"> contribution maximum is not subject to annual indexing and remains $5,000 (or $2,500 each if the employee and spouse file separate income tax returns) for calendar year 2024.</w:t>
      </w:r>
    </w:p>
    <w:p w14:paraId="6E9402B8"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34A8243E" w14:textId="64460E00"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limits for</w:t>
      </w:r>
      <w:r w:rsidRPr="00DD7BD1">
        <w:rPr>
          <w:rFonts w:ascii="Calibri" w:eastAsia="Times New Roman" w:hAnsi="Calibri" w:cs="Calibri"/>
          <w:b/>
          <w:bCs/>
        </w:rPr>
        <w:t xml:space="preserve"> health savings accounts (HSAs) and </w:t>
      </w:r>
      <w:proofErr w:type="gramStart"/>
      <w:r w:rsidRPr="00DD7BD1">
        <w:rPr>
          <w:rFonts w:ascii="Calibri" w:eastAsia="Times New Roman" w:hAnsi="Calibri" w:cs="Calibri"/>
          <w:b/>
          <w:bCs/>
        </w:rPr>
        <w:t>high deductible</w:t>
      </w:r>
      <w:proofErr w:type="gramEnd"/>
      <w:r w:rsidRPr="00DD7BD1">
        <w:rPr>
          <w:rFonts w:ascii="Calibri" w:eastAsia="Times New Roman" w:hAnsi="Calibri" w:cs="Calibri"/>
          <w:b/>
          <w:bCs/>
        </w:rPr>
        <w:t xml:space="preserve"> health plans (HDHPs) </w:t>
      </w:r>
      <w:r w:rsidRPr="00DD7BD1">
        <w:rPr>
          <w:rFonts w:ascii="Calibri" w:eastAsia="Times New Roman" w:hAnsi="Calibri" w:cs="Calibri"/>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D7BD1"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Self-only: $4,150   Family: $8,300</w:t>
            </w:r>
          </w:p>
          <w:p w14:paraId="59421525"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Catch-up: $1,000 (age 55 or older)</w:t>
            </w:r>
          </w:p>
        </w:tc>
      </w:tr>
      <w:tr w:rsidR="00145775" w:rsidRPr="00DD7BD1"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$1,600   Family: $3,200</w:t>
            </w:r>
          </w:p>
        </w:tc>
      </w:tr>
      <w:tr w:rsidR="00145775" w:rsidRPr="00DD7BD1"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$8,050   Family: $16,100</w:t>
            </w:r>
          </w:p>
        </w:tc>
      </w:tr>
    </w:tbl>
    <w:p w14:paraId="27FDDC24" w14:textId="77777777" w:rsidR="00145775" w:rsidRPr="00DD7BD1" w:rsidRDefault="00145775" w:rsidP="00022BF0">
      <w:pPr>
        <w:pStyle w:val="Heading1"/>
        <w:shd w:val="clear" w:color="auto" w:fill="FFFFFF"/>
        <w:spacing w:before="0" w:beforeAutospacing="0" w:after="0" w:afterAutospacing="0" w:line="264" w:lineRule="atLeast"/>
        <w:jc w:val="center"/>
        <w:rPr>
          <w:rFonts w:ascii="Calibri" w:hAnsi="Calibri" w:cs="Calibri"/>
          <w:color w:val="000000"/>
          <w:sz w:val="20"/>
          <w:szCs w:val="20"/>
        </w:rPr>
      </w:pPr>
    </w:p>
    <w:p w14:paraId="4BBE3424" w14:textId="711E06F5"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 xml:space="preserve">DOL </w:t>
      </w:r>
      <w:r w:rsidRPr="00DD7BD1">
        <w:rPr>
          <w:rFonts w:ascii="Calibri" w:hAnsi="Calibri" w:cs="Calibri"/>
          <w:color w:val="000000"/>
          <w:sz w:val="28"/>
          <w:szCs w:val="28"/>
          <w:u w:val="single"/>
        </w:rPr>
        <w:t>Proposed</w:t>
      </w:r>
      <w:r w:rsidRPr="00DD7BD1">
        <w:rPr>
          <w:rFonts w:ascii="Calibri" w:hAnsi="Calibri" w:cs="Calibri"/>
          <w:color w:val="000000"/>
          <w:sz w:val="28"/>
          <w:szCs w:val="28"/>
        </w:rPr>
        <w:t xml:space="preserve"> Rule - Raising Salary Threshold for Exempt Employees</w:t>
      </w:r>
    </w:p>
    <w:p w14:paraId="5AE33785" w14:textId="77777777"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lastRenderedPageBreak/>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Once the proposed rule is officially published in the Federal Register, there will be a time for input and comments concerning the proposed changes before the DOL issues a final rule.</w:t>
      </w:r>
    </w:p>
    <w:p w14:paraId="26083590" w14:textId="5CEF155A" w:rsidR="00022BF0" w:rsidRPr="00DD7BD1" w:rsidRDefault="00022BF0" w:rsidP="00D66B68">
      <w:pPr>
        <w:pStyle w:val="Heading1"/>
        <w:shd w:val="clear" w:color="auto" w:fill="FFFFFF"/>
        <w:spacing w:before="0" w:beforeAutospacing="0" w:after="0" w:afterAutospacing="0"/>
        <w:jc w:val="both"/>
        <w:rPr>
          <w:rFonts w:ascii="Calibri" w:hAnsi="Calibri" w:cs="Calibri"/>
          <w:b w:val="0"/>
          <w:bCs w:val="0"/>
          <w:spacing w:val="3"/>
          <w:sz w:val="22"/>
          <w:szCs w:val="22"/>
          <w:shd w:val="clear" w:color="auto" w:fill="FFFFFF"/>
        </w:rPr>
      </w:pPr>
      <w:r w:rsidRPr="00DD7BD1">
        <w:rPr>
          <w:rFonts w:ascii="Calibri" w:hAnsi="Calibri" w:cs="Calibri"/>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00D66B68" w:rsidRPr="00DD7BD1">
        <w:rPr>
          <w:rFonts w:ascii="Calibri" w:hAnsi="Calibri" w:cs="Calibri"/>
          <w:b w:val="0"/>
          <w:bCs w:val="0"/>
          <w:spacing w:val="3"/>
          <w:sz w:val="22"/>
          <w:szCs w:val="22"/>
          <w:shd w:val="clear" w:color="auto" w:fill="FFFFFF"/>
        </w:rPr>
        <w:t xml:space="preserve"> </w:t>
      </w:r>
      <w:r w:rsidRPr="00DD7BD1">
        <w:rPr>
          <w:rFonts w:ascii="Calibri" w:hAnsi="Calibri" w:cs="Calibri"/>
          <w:b w:val="0"/>
          <w:bCs w:val="0"/>
          <w:spacing w:val="3"/>
          <w:sz w:val="23"/>
          <w:szCs w:val="23"/>
          <w:u w:val="single"/>
          <w:shd w:val="clear" w:color="auto" w:fill="FFFFFF"/>
        </w:rPr>
        <w:t>ETC will continue to monitor and provide updates regarding the proposed changes become effective</w:t>
      </w:r>
    </w:p>
    <w:p w14:paraId="1542AB78" w14:textId="77777777" w:rsidR="00022BF0" w:rsidRPr="00DD7BD1" w:rsidRDefault="00022BF0" w:rsidP="00022BF0">
      <w:pPr>
        <w:pStyle w:val="Heading1"/>
        <w:shd w:val="clear" w:color="auto" w:fill="FFFFFF"/>
        <w:spacing w:before="0" w:beforeAutospacing="0" w:after="0" w:afterAutospacing="0"/>
        <w:jc w:val="both"/>
        <w:rPr>
          <w:rFonts w:ascii="Calibri" w:hAnsi="Calibri" w:cs="Calibri"/>
          <w:b w:val="0"/>
          <w:bCs w:val="0"/>
          <w:spacing w:val="3"/>
          <w:sz w:val="16"/>
          <w:szCs w:val="16"/>
          <w:shd w:val="clear" w:color="auto" w:fill="FFFFFF"/>
        </w:rPr>
      </w:pPr>
    </w:p>
    <w:p w14:paraId="39B8E333" w14:textId="76F93E2C" w:rsidR="00022BF0" w:rsidRPr="00DD7BD1" w:rsidRDefault="00022BF0" w:rsidP="00022BF0">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IRS Announces 2024 Standard Mileage Rates Effective Jan 1, 2024</w:t>
      </w:r>
    </w:p>
    <w:p w14:paraId="04F0F5BF"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 xml:space="preserve">On Dec. 14, 2023, the IRS </w:t>
      </w:r>
      <w:hyperlink r:id="rId526" w:history="1">
        <w:r w:rsidRPr="00DD7BD1">
          <w:rPr>
            <w:rStyle w:val="Hyperlink"/>
            <w:rFonts w:eastAsia="Calibri" w:cs="Calibri"/>
            <w:szCs w:val="22"/>
          </w:rPr>
          <w:t>announced</w:t>
        </w:r>
      </w:hyperlink>
      <w:r w:rsidRPr="00DD7BD1">
        <w:rPr>
          <w:rFonts w:cs="Calibri"/>
          <w:szCs w:val="22"/>
        </w:rPr>
        <w:t xml:space="preserve"> </w:t>
      </w:r>
      <w:r w:rsidRPr="00DD7BD1">
        <w:rPr>
          <w:rFonts w:cs="Calibri"/>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The 2024 standard mileage rates for the use of a car (also vans, pickups or panel trucks) will be:</w:t>
      </w:r>
    </w:p>
    <w:p w14:paraId="2AADAB22"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67 cents per mile driven for business use, up 1 ½ cents from the rate for 2023;</w:t>
      </w:r>
    </w:p>
    <w:p w14:paraId="638B0773"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 xml:space="preserve">21 cents per mile driven for medical purposes or for moving purposes for qualified </w:t>
      </w:r>
      <w:proofErr w:type="gramStart"/>
      <w:r w:rsidRPr="00DD7BD1">
        <w:rPr>
          <w:rFonts w:cs="Calibri"/>
          <w:color w:val="auto"/>
          <w:szCs w:val="22"/>
        </w:rPr>
        <w:t>active duty</w:t>
      </w:r>
      <w:proofErr w:type="gramEnd"/>
      <w:r w:rsidRPr="00DD7BD1">
        <w:rPr>
          <w:rFonts w:cs="Calibri"/>
          <w:color w:val="auto"/>
          <w:szCs w:val="22"/>
        </w:rPr>
        <w:t xml:space="preserve"> members of the Armed Forces, down one cent from the rate for 2023; and</w:t>
      </w:r>
    </w:p>
    <w:p w14:paraId="67A9A748"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14 cents per mile driven in service of charitable organizations. The rate is set by statute and remains unchanged from 2023.</w:t>
      </w:r>
    </w:p>
    <w:p w14:paraId="7283738F" w14:textId="77777777" w:rsidR="00022BF0" w:rsidRPr="00DD7BD1" w:rsidRDefault="00022BF0" w:rsidP="00022BF0">
      <w:pPr>
        <w:pStyle w:val="Xbox"/>
        <w:numPr>
          <w:ilvl w:val="0"/>
          <w:numId w:val="0"/>
        </w:numPr>
        <w:spacing w:after="0" w:line="240" w:lineRule="auto"/>
        <w:ind w:left="540"/>
        <w:rPr>
          <w:rFonts w:cs="Calibri"/>
          <w:color w:val="auto"/>
          <w:sz w:val="12"/>
          <w:szCs w:val="12"/>
        </w:rPr>
      </w:pPr>
    </w:p>
    <w:p w14:paraId="37F51F33" w14:textId="77777777" w:rsidR="00022BF0" w:rsidRPr="00DD7BD1" w:rsidRDefault="00022BF0" w:rsidP="00022BF0">
      <w:pPr>
        <w:pStyle w:val="BodyText"/>
        <w:spacing w:after="0" w:line="240" w:lineRule="auto"/>
        <w:rPr>
          <w:rFonts w:cs="Calibri"/>
          <w:b/>
          <w:color w:val="auto"/>
          <w:szCs w:val="22"/>
        </w:rPr>
      </w:pPr>
      <w:r w:rsidRPr="00DD7BD1">
        <w:rPr>
          <w:rFonts w:cs="Calibri"/>
          <w:color w:val="auto"/>
          <w:szCs w:val="22"/>
        </w:rPr>
        <w:t xml:space="preserve">Under the Tax Cuts and Jobs Act, taxpayers </w:t>
      </w:r>
      <w:r w:rsidRPr="00DD7BD1">
        <w:rPr>
          <w:rFonts w:cs="Calibri"/>
          <w:b/>
          <w:color w:val="auto"/>
          <w:szCs w:val="22"/>
        </w:rPr>
        <w:t>cannot</w:t>
      </w:r>
      <w:r w:rsidRPr="00DD7BD1">
        <w:rPr>
          <w:rFonts w:cs="Calibri"/>
          <w:color w:val="auto"/>
          <w:szCs w:val="22"/>
        </w:rPr>
        <w:t xml:space="preserve"> claim a miscellaneous itemized deduction for unreimbursed employee travel expenses. Taxpayers also </w:t>
      </w:r>
      <w:r w:rsidRPr="00DD7BD1">
        <w:rPr>
          <w:rFonts w:cs="Calibri"/>
          <w:b/>
          <w:color w:val="auto"/>
          <w:szCs w:val="22"/>
        </w:rPr>
        <w:t xml:space="preserve">cannot </w:t>
      </w:r>
      <w:r w:rsidRPr="00DD7BD1">
        <w:rPr>
          <w:rFonts w:cs="Calibri"/>
          <w:color w:val="auto"/>
          <w:szCs w:val="22"/>
        </w:rPr>
        <w:t xml:space="preserve">claim a deduction for moving expenses, unless they are members of the Armed Forces on </w:t>
      </w:r>
      <w:proofErr w:type="gramStart"/>
      <w:r w:rsidRPr="00DD7BD1">
        <w:rPr>
          <w:rFonts w:cs="Calibri"/>
          <w:color w:val="auto"/>
          <w:szCs w:val="22"/>
        </w:rPr>
        <w:t>active duty</w:t>
      </w:r>
      <w:proofErr w:type="gramEnd"/>
      <w:r w:rsidRPr="00DD7BD1">
        <w:rPr>
          <w:rFonts w:cs="Calibri"/>
          <w:color w:val="auto"/>
          <w:szCs w:val="22"/>
        </w:rPr>
        <w:t xml:space="preserve"> moving under orders to a permanent change of station. </w:t>
      </w:r>
    </w:p>
    <w:p w14:paraId="51BAB0E2"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Taxpayers always have the option of calculating the actual costs of using their vehicle rather than using the standard mileage rates.</w:t>
      </w:r>
    </w:p>
    <w:p w14:paraId="16039334" w14:textId="77777777" w:rsidR="00B06DBE" w:rsidRPr="00DD7BD1" w:rsidRDefault="00B06DBE" w:rsidP="00022BF0">
      <w:pPr>
        <w:pStyle w:val="BodyText"/>
        <w:spacing w:after="0" w:line="240" w:lineRule="auto"/>
        <w:rPr>
          <w:rFonts w:cs="Calibri"/>
          <w:color w:val="auto"/>
          <w:sz w:val="12"/>
          <w:szCs w:val="12"/>
        </w:rPr>
      </w:pPr>
    </w:p>
    <w:p w14:paraId="729EA80D" w14:textId="52D322E8" w:rsidR="00BC08A5" w:rsidRPr="00DD7BD1" w:rsidRDefault="00022BF0" w:rsidP="00145775">
      <w:pPr>
        <w:pStyle w:val="BodyText"/>
        <w:spacing w:after="0" w:line="240" w:lineRule="auto"/>
        <w:rPr>
          <w:rFonts w:cs="Calibri"/>
          <w:color w:val="auto"/>
          <w:szCs w:val="22"/>
        </w:rPr>
      </w:pPr>
      <w:r w:rsidRPr="00DD7BD1">
        <w:rPr>
          <w:rFonts w:cs="Calibri"/>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DD7BD1" w:rsidRDefault="00B06DBE" w:rsidP="00E818D9">
      <w:pPr>
        <w:pStyle w:val="Heading1"/>
        <w:shd w:val="clear" w:color="auto" w:fill="FFFFFF"/>
        <w:tabs>
          <w:tab w:val="left" w:pos="1080"/>
        </w:tabs>
        <w:spacing w:before="0" w:beforeAutospacing="0" w:after="0" w:afterAutospacing="0"/>
        <w:rPr>
          <w:rFonts w:ascii="Calibri" w:eastAsiaTheme="minorHAnsi" w:hAnsi="Calibri" w:cs="Calibri"/>
          <w:kern w:val="0"/>
          <w:sz w:val="12"/>
          <w:szCs w:val="12"/>
        </w:rPr>
      </w:pPr>
    </w:p>
    <w:p w14:paraId="670B98B8" w14:textId="08EF011E" w:rsidR="00F465F8" w:rsidRPr="00DD7BD1" w:rsidRDefault="00F465F8" w:rsidP="00F465F8">
      <w:pPr>
        <w:pStyle w:val="Heading1"/>
        <w:shd w:val="clear" w:color="auto" w:fill="FFFFFF"/>
        <w:tabs>
          <w:tab w:val="left" w:pos="1080"/>
        </w:tabs>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Exchange Notice Updated</w:t>
      </w:r>
    </w:p>
    <w:p w14:paraId="70E1EAEC" w14:textId="5AFFFA1C" w:rsidR="002006C2" w:rsidRPr="00DD7BD1" w:rsidRDefault="00F465F8" w:rsidP="00427CA7">
      <w:pPr>
        <w:pStyle w:val="NormalWeb"/>
        <w:shd w:val="clear" w:color="auto" w:fill="FFFFFF"/>
        <w:spacing w:before="0" w:beforeAutospacing="0"/>
        <w:jc w:val="both"/>
        <w:rPr>
          <w:rFonts w:ascii="Calibri" w:hAnsi="Calibri" w:cs="Calibri"/>
          <w:sz w:val="22"/>
          <w:szCs w:val="22"/>
        </w:rPr>
      </w:pPr>
      <w:r w:rsidRPr="00DD7BD1">
        <w:rPr>
          <w:rFonts w:ascii="Calibri" w:hAnsi="Calibri" w:cs="Calibri"/>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527" w:tgtFrame="_blank" w:history="1">
        <w:r w:rsidRPr="00DD7BD1">
          <w:rPr>
            <w:rStyle w:val="Hyperlink"/>
            <w:rFonts w:ascii="Calibri" w:eastAsia="Calibri" w:hAnsi="Calibri" w:cs="Calibri"/>
            <w:sz w:val="22"/>
            <w:szCs w:val="22"/>
          </w:rPr>
          <w:t>website</w:t>
        </w:r>
      </w:hyperlink>
      <w:r w:rsidRPr="00DD7BD1">
        <w:rPr>
          <w:rStyle w:val="Hyperlink"/>
          <w:rFonts w:ascii="Calibri" w:eastAsia="Calibri" w:hAnsi="Calibri" w:cs="Calibri"/>
          <w:sz w:val="22"/>
          <w:szCs w:val="22"/>
        </w:rPr>
        <w:t> </w:t>
      </w:r>
      <w:r w:rsidRPr="00DD7BD1">
        <w:rPr>
          <w:rFonts w:ascii="Calibri" w:hAnsi="Calibri" w:cs="Calibri"/>
          <w:sz w:val="22"/>
          <w:szCs w:val="22"/>
        </w:rPr>
        <w:t>in English and Spanish. The model notices have an expiration date of December 31, 2026. The previous versions expired on July 31, 2023, August 31, 2023, September 30, 2023, October 31, 2023, and November 30, 2023</w:t>
      </w:r>
      <w:r w:rsidR="00427CA7" w:rsidRPr="00DD7BD1">
        <w:rPr>
          <w:rFonts w:ascii="Calibri" w:hAnsi="Calibri" w:cs="Calibri"/>
          <w:sz w:val="22"/>
          <w:szCs w:val="22"/>
        </w:rPr>
        <w:t>.</w:t>
      </w:r>
    </w:p>
    <w:p w14:paraId="2FE9B764" w14:textId="77777777" w:rsidR="002006C2" w:rsidRPr="00DD7BD1" w:rsidRDefault="002006C2" w:rsidP="00427CA7">
      <w:pPr>
        <w:pStyle w:val="NormalWeb"/>
        <w:shd w:val="clear" w:color="auto" w:fill="FFFFFF"/>
        <w:spacing w:before="0" w:beforeAutospacing="0"/>
        <w:jc w:val="both"/>
        <w:rPr>
          <w:rFonts w:ascii="Calibri" w:hAnsi="Calibri" w:cs="Calibri"/>
          <w:sz w:val="22"/>
          <w:szCs w:val="22"/>
        </w:rPr>
      </w:pPr>
    </w:p>
    <w:p w14:paraId="17EB55AE" w14:textId="77777777" w:rsidR="00D11F7B" w:rsidRPr="00DD7BD1" w:rsidRDefault="00D11F7B">
      <w:pP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br w:type="page"/>
      </w:r>
    </w:p>
    <w:p w14:paraId="170271C0" w14:textId="77777777" w:rsidR="006C775B" w:rsidRPr="00DD7BD1" w:rsidRDefault="006C775B"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36946860" w14:textId="18EA7FCE" w:rsidR="006C775B" w:rsidRPr="00DD7BD1" w:rsidRDefault="00EC23F8" w:rsidP="00EC23F8">
      <w:pPr>
        <w:shd w:val="clear" w:color="auto" w:fill="FFFFFF"/>
        <w:jc w:val="center"/>
        <w:rPr>
          <w:rFonts w:ascii="Calibri" w:hAnsi="Calibri" w:cs="Calibri"/>
          <w:b/>
          <w:bCs/>
          <w:color w:val="0070C0"/>
          <w:sz w:val="32"/>
          <w:szCs w:val="32"/>
          <w:lang w:val="en"/>
        </w:rPr>
      </w:pPr>
      <w:bookmarkStart w:id="49" w:name="_Hlk139469249"/>
      <w:r w:rsidRPr="00EC23F8">
        <w:rPr>
          <w:rFonts w:ascii="Calibri" w:hAnsi="Calibri" w:cs="Calibri"/>
          <w:b/>
          <w:bCs/>
          <w:color w:val="C00000"/>
          <w:sz w:val="32"/>
          <w:szCs w:val="32"/>
          <w:lang w:val="en"/>
        </w:rPr>
        <w:t xml:space="preserve">State/City </w:t>
      </w:r>
      <w:r w:rsidR="006C775B" w:rsidRPr="00DD7BD1">
        <w:rPr>
          <w:rFonts w:ascii="Calibri" w:hAnsi="Calibri" w:cs="Calibri"/>
          <w:b/>
          <w:bCs/>
          <w:color w:val="C00000"/>
          <w:sz w:val="32"/>
          <w:szCs w:val="32"/>
          <w:lang w:val="en"/>
        </w:rPr>
        <w:t xml:space="preserve">New Regulatory </w:t>
      </w:r>
      <w:r>
        <w:rPr>
          <w:rFonts w:ascii="Calibri" w:hAnsi="Calibri" w:cs="Calibri"/>
          <w:b/>
          <w:bCs/>
          <w:color w:val="C00000"/>
          <w:sz w:val="32"/>
          <w:szCs w:val="32"/>
          <w:lang w:val="en"/>
        </w:rPr>
        <w:t xml:space="preserve">Compliance </w:t>
      </w:r>
      <w:r w:rsidR="006C775B" w:rsidRPr="00DD7BD1">
        <w:rPr>
          <w:rFonts w:ascii="Calibri" w:hAnsi="Calibri" w:cs="Calibri"/>
          <w:b/>
          <w:bCs/>
          <w:color w:val="C00000"/>
          <w:sz w:val="32"/>
          <w:szCs w:val="32"/>
          <w:lang w:val="en"/>
        </w:rPr>
        <w:t>Announcements &amp; Reminders</w:t>
      </w:r>
      <w:bookmarkEnd w:id="49"/>
    </w:p>
    <w:p w14:paraId="20173BB0" w14:textId="77777777" w:rsidR="00460375" w:rsidRPr="0095799A" w:rsidRDefault="00460375" w:rsidP="00460375">
      <w:pPr>
        <w:spacing w:after="0" w:line="240" w:lineRule="auto"/>
        <w:rPr>
          <w:b/>
          <w:bCs/>
          <w:caps/>
          <w:color w:val="0070C0"/>
          <w:sz w:val="28"/>
          <w:szCs w:val="28"/>
        </w:rPr>
      </w:pPr>
      <w:r w:rsidRPr="0095799A">
        <w:rPr>
          <w:b/>
          <w:bCs/>
          <w:caps/>
          <w:color w:val="0070C0"/>
          <w:sz w:val="28"/>
          <w:szCs w:val="28"/>
        </w:rPr>
        <w:t>Alaska</w:t>
      </w:r>
    </w:p>
    <w:p w14:paraId="36599585" w14:textId="77777777" w:rsidR="00460375" w:rsidRPr="001578A1" w:rsidRDefault="00460375" w:rsidP="00460375">
      <w:pPr>
        <w:spacing w:after="0" w:line="240" w:lineRule="auto"/>
        <w:rPr>
          <w:b/>
          <w:bCs/>
          <w:caps/>
          <w:color w:val="0070C0"/>
          <w:sz w:val="26"/>
          <w:szCs w:val="26"/>
        </w:rPr>
      </w:pPr>
      <w:r w:rsidRPr="001578A1">
        <w:rPr>
          <w:b/>
          <w:bCs/>
          <w:caps/>
          <w:color w:val="0070C0"/>
          <w:sz w:val="26"/>
          <w:szCs w:val="26"/>
        </w:rPr>
        <w:t xml:space="preserve">New! </w:t>
      </w:r>
      <w:r w:rsidRPr="001578A1">
        <w:rPr>
          <w:b/>
          <w:bCs/>
          <w:caps/>
          <w:noProof/>
          <w:color w:val="0E425C"/>
          <w:sz w:val="26"/>
          <w:szCs w:val="26"/>
        </w:rPr>
        <w:t>State Allows Wage Payments Through Payroll Card Accounts</w:t>
      </w:r>
    </w:p>
    <w:p w14:paraId="25C9ED34" w14:textId="77777777" w:rsidR="00460375" w:rsidRPr="00AC734D" w:rsidRDefault="00460375" w:rsidP="00460375">
      <w:pPr>
        <w:spacing w:after="0" w:line="240" w:lineRule="auto"/>
        <w:rPr>
          <w:rFonts w:eastAsia="Times New Roman"/>
        </w:rPr>
      </w:pPr>
      <w:r w:rsidRPr="00AC734D">
        <w:rPr>
          <w:rFonts w:eastAsia="Times New Roman"/>
        </w:rPr>
        <w:t xml:space="preserve">Starting July 1, 2026, Alaska employers of all sizes will be permitted to pay employees through a payroll card account if an employee authorizes the arrangement or doesn’t participate in direct deposit.  </w:t>
      </w:r>
    </w:p>
    <w:p w14:paraId="4E9DAE38" w14:textId="77777777" w:rsidR="00460375" w:rsidRPr="00AC734D" w:rsidRDefault="00460375" w:rsidP="00460375">
      <w:pPr>
        <w:spacing w:after="0" w:line="240" w:lineRule="auto"/>
        <w:rPr>
          <w:rFonts w:eastAsia="Times New Roman"/>
        </w:rPr>
      </w:pPr>
      <w:r w:rsidRPr="00AC734D">
        <w:rPr>
          <w:rFonts w:eastAsia="Times New Roman"/>
        </w:rPr>
        <w:t>Payroll card accounts will need to provide employees with access to at least one cost-free withdrawal each week or pay period, whichever is longer, for up to the amount of the employee’s net wages and unlimited and cost-free access to their account balance through an automated telephone system </w:t>
      </w:r>
      <w:r w:rsidRPr="00AC734D">
        <w:rPr>
          <w:rFonts w:eastAsia="Times New Roman"/>
          <w:i/>
          <w:iCs/>
        </w:rPr>
        <w:t>and</w:t>
      </w:r>
      <w:r w:rsidRPr="00AC734D">
        <w:rPr>
          <w:rFonts w:eastAsia="Times New Roman"/>
        </w:rPr>
        <w:t> an electronic method. Employer payroll card accounts can’t charge fees for:</w:t>
      </w:r>
    </w:p>
    <w:p w14:paraId="12317B61" w14:textId="77777777" w:rsidR="00460375" w:rsidRPr="00AC734D" w:rsidRDefault="00460375">
      <w:pPr>
        <w:numPr>
          <w:ilvl w:val="0"/>
          <w:numId w:val="366"/>
        </w:numPr>
        <w:spacing w:after="0" w:line="240" w:lineRule="auto"/>
        <w:rPr>
          <w:rFonts w:eastAsia="Times New Roman"/>
        </w:rPr>
      </w:pPr>
      <w:r w:rsidRPr="00AC734D">
        <w:rPr>
          <w:rFonts w:eastAsia="Times New Roman"/>
        </w:rPr>
        <w:t>Employee enrollment or participation</w:t>
      </w:r>
    </w:p>
    <w:p w14:paraId="0F56F456" w14:textId="77777777" w:rsidR="00460375" w:rsidRPr="00AC734D" w:rsidRDefault="00460375">
      <w:pPr>
        <w:numPr>
          <w:ilvl w:val="0"/>
          <w:numId w:val="366"/>
        </w:numPr>
        <w:spacing w:after="0" w:line="240" w:lineRule="auto"/>
        <w:rPr>
          <w:rFonts w:eastAsia="Times New Roman"/>
        </w:rPr>
      </w:pPr>
      <w:r w:rsidRPr="00AC734D">
        <w:rPr>
          <w:rFonts w:eastAsia="Times New Roman"/>
        </w:rPr>
        <w:t>Issuance of an employee’s initial payroll card and one replacement card per calendar year</w:t>
      </w:r>
    </w:p>
    <w:p w14:paraId="15E82E48" w14:textId="77777777" w:rsidR="00460375" w:rsidRPr="00AC734D" w:rsidRDefault="00460375">
      <w:pPr>
        <w:numPr>
          <w:ilvl w:val="0"/>
          <w:numId w:val="366"/>
        </w:numPr>
        <w:spacing w:after="0" w:line="240" w:lineRule="auto"/>
        <w:rPr>
          <w:rFonts w:eastAsia="Times New Roman"/>
        </w:rPr>
      </w:pPr>
      <w:r w:rsidRPr="00AC734D">
        <w:rPr>
          <w:rFonts w:eastAsia="Times New Roman"/>
        </w:rPr>
        <w:t>Transfers of employees’ pay from the employer to the payroll card account</w:t>
      </w:r>
    </w:p>
    <w:p w14:paraId="07444BFD" w14:textId="77777777" w:rsidR="00460375" w:rsidRPr="00AC734D" w:rsidRDefault="00460375">
      <w:pPr>
        <w:numPr>
          <w:ilvl w:val="0"/>
          <w:numId w:val="366"/>
        </w:numPr>
        <w:spacing w:after="0" w:line="240" w:lineRule="auto"/>
        <w:rPr>
          <w:rFonts w:eastAsia="Times New Roman"/>
        </w:rPr>
      </w:pPr>
      <w:r w:rsidRPr="00AC734D">
        <w:rPr>
          <w:rFonts w:eastAsia="Times New Roman"/>
        </w:rPr>
        <w:t>Point-of-sale purchases</w:t>
      </w:r>
    </w:p>
    <w:p w14:paraId="6223D57E" w14:textId="77777777" w:rsidR="00460375" w:rsidRPr="00AC734D" w:rsidRDefault="00460375" w:rsidP="00460375">
      <w:pPr>
        <w:spacing w:after="0" w:line="240" w:lineRule="auto"/>
        <w:rPr>
          <w:rFonts w:eastAsia="Times New Roman"/>
        </w:rPr>
      </w:pPr>
      <w:r w:rsidRPr="00AC734D">
        <w:rPr>
          <w:rFonts w:eastAsia="Times New Roman"/>
        </w:rPr>
        <w:t>Payroll card account deposits also need to be insured—insurance can be provided by any entity that insures bank deposits.</w:t>
      </w:r>
    </w:p>
    <w:p w14:paraId="13C21F8A" w14:textId="77777777" w:rsidR="00460375" w:rsidRPr="00AC734D" w:rsidRDefault="00460375" w:rsidP="00460375">
      <w:pPr>
        <w:spacing w:after="0" w:line="240" w:lineRule="auto"/>
        <w:rPr>
          <w:rFonts w:eastAsia="Times New Roman"/>
        </w:rPr>
      </w:pPr>
      <w:r w:rsidRPr="00AC734D">
        <w:rPr>
          <w:rFonts w:eastAsia="Times New Roman"/>
          <w:b/>
          <w:bCs/>
        </w:rPr>
        <w:t>Notice Requirements</w:t>
      </w:r>
      <w:r w:rsidRPr="00AC734D">
        <w:rPr>
          <w:rFonts w:eastAsia="Times New Roman"/>
        </w:rPr>
        <w:br/>
        <w:t>Employers paying wages through payroll card accounts will be required to notify employees of the following:</w:t>
      </w:r>
    </w:p>
    <w:p w14:paraId="19409FAA" w14:textId="77777777" w:rsidR="00460375" w:rsidRPr="00AC734D" w:rsidRDefault="00460375">
      <w:pPr>
        <w:numPr>
          <w:ilvl w:val="0"/>
          <w:numId w:val="367"/>
        </w:numPr>
        <w:spacing w:after="0" w:line="240" w:lineRule="auto"/>
        <w:rPr>
          <w:rFonts w:eastAsia="Times New Roman"/>
        </w:rPr>
      </w:pPr>
      <w:r w:rsidRPr="00AC734D">
        <w:rPr>
          <w:rFonts w:eastAsia="Times New Roman"/>
        </w:rPr>
        <w:t>Their wage payment options</w:t>
      </w:r>
    </w:p>
    <w:p w14:paraId="5F3A0EE1" w14:textId="77777777" w:rsidR="00460375" w:rsidRPr="00AC734D" w:rsidRDefault="00460375">
      <w:pPr>
        <w:numPr>
          <w:ilvl w:val="0"/>
          <w:numId w:val="367"/>
        </w:numPr>
        <w:spacing w:after="0" w:line="240" w:lineRule="auto"/>
        <w:rPr>
          <w:rFonts w:eastAsia="Times New Roman"/>
        </w:rPr>
      </w:pPr>
      <w:r w:rsidRPr="00AC734D">
        <w:rPr>
          <w:rFonts w:eastAsia="Times New Roman"/>
        </w:rPr>
        <w:t>Payroll card terms and conditions</w:t>
      </w:r>
    </w:p>
    <w:p w14:paraId="5159AA93" w14:textId="77777777" w:rsidR="00460375" w:rsidRPr="00AC734D" w:rsidRDefault="00460375">
      <w:pPr>
        <w:numPr>
          <w:ilvl w:val="0"/>
          <w:numId w:val="367"/>
        </w:numPr>
        <w:spacing w:after="0" w:line="240" w:lineRule="auto"/>
        <w:rPr>
          <w:rFonts w:eastAsia="Times New Roman"/>
        </w:rPr>
      </w:pPr>
      <w:r w:rsidRPr="00AC734D">
        <w:rPr>
          <w:rFonts w:eastAsia="Times New Roman"/>
        </w:rPr>
        <w:t>Fees assessed by the payroll card issuer and that additional fees may apply</w:t>
      </w:r>
    </w:p>
    <w:p w14:paraId="402BA0DE" w14:textId="69449C86" w:rsidR="00460375" w:rsidRPr="00460375" w:rsidRDefault="00460375">
      <w:pPr>
        <w:numPr>
          <w:ilvl w:val="0"/>
          <w:numId w:val="367"/>
        </w:numPr>
        <w:spacing w:after="0" w:line="240" w:lineRule="auto"/>
        <w:rPr>
          <w:rFonts w:eastAsia="Times New Roman"/>
        </w:rPr>
      </w:pPr>
      <w:r w:rsidRPr="00AC734D">
        <w:rPr>
          <w:rFonts w:eastAsia="Times New Roman"/>
        </w:rPr>
        <w:t>How they can access their account balances and wages for free</w:t>
      </w:r>
    </w:p>
    <w:p w14:paraId="48734D14" w14:textId="77777777" w:rsidR="00460375" w:rsidRDefault="00460375"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3402AFD2" w14:textId="64C72F6D" w:rsidR="00022BF0" w:rsidRPr="00DD7BD1" w:rsidRDefault="00022BF0" w:rsidP="00022BF0">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Alabama</w:t>
      </w:r>
    </w:p>
    <w:p w14:paraId="37E8020E" w14:textId="3D6F25E7"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5AA39698" w14:textId="77777777" w:rsidR="008C6649" w:rsidRPr="00DD7BD1" w:rsidRDefault="008C6649" w:rsidP="008C664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DD7BD1" w:rsidRDefault="008C6649" w:rsidP="00022BF0">
      <w:pPr>
        <w:pStyle w:val="Heading1"/>
        <w:shd w:val="clear" w:color="auto" w:fill="FFFFFF"/>
        <w:spacing w:before="0" w:beforeAutospacing="0" w:after="0" w:afterAutospacing="0" w:line="264" w:lineRule="atLeast"/>
        <w:jc w:val="center"/>
        <w:rPr>
          <w:rStyle w:val="Strong"/>
          <w:rFonts w:ascii="Calibri" w:hAnsi="Calibri" w:cs="Calibri"/>
          <w:b/>
          <w:bCs/>
          <w:kern w:val="0"/>
          <w:sz w:val="20"/>
          <w:szCs w:val="20"/>
        </w:rPr>
      </w:pPr>
    </w:p>
    <w:p w14:paraId="661FD89D" w14:textId="5448C5B2"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282828"/>
          <w:kern w:val="0"/>
          <w:sz w:val="28"/>
          <w:szCs w:val="28"/>
        </w:rPr>
      </w:pPr>
      <w:r w:rsidRPr="00DD7BD1">
        <w:rPr>
          <w:rStyle w:val="Strong"/>
          <w:rFonts w:ascii="Calibri" w:hAnsi="Calibri" w:cs="Calibri"/>
          <w:b/>
          <w:bCs/>
          <w:kern w:val="0"/>
          <w:sz w:val="28"/>
          <w:szCs w:val="28"/>
        </w:rPr>
        <w:t>AL Employer Reporting Obligations Coming in January 2024</w:t>
      </w:r>
    </w:p>
    <w:p w14:paraId="6EC5EA41" w14:textId="77777777" w:rsidR="00022BF0" w:rsidRPr="00DD7BD1" w:rsidRDefault="00022BF0" w:rsidP="00022BF0">
      <w:pPr>
        <w:spacing w:after="0" w:line="240" w:lineRule="auto"/>
        <w:jc w:val="both"/>
        <w:rPr>
          <w:rFonts w:ascii="Calibri" w:hAnsi="Calibri" w:cs="Calibri"/>
          <w:color w:val="292929"/>
          <w:spacing w:val="3"/>
          <w:shd w:val="clear" w:color="auto" w:fill="FFFFFF"/>
        </w:rPr>
      </w:pPr>
      <w:r w:rsidRPr="00DD7BD1">
        <w:rPr>
          <w:rFonts w:ascii="Calibri" w:hAnsi="Calibri" w:cs="Calibri"/>
          <w:spacing w:val="3"/>
          <w:shd w:val="clear" w:color="auto" w:fill="FFFFFF"/>
        </w:rPr>
        <w:t xml:space="preserve">The new state tax law places mandatory reporting requirements on Alabama employers. Employers are required to report for the tax year beginning January 1, 2023, the total amount received by full-time hourly wage-paid employees as compensation for work performed </w:t>
      </w:r>
      <w:proofErr w:type="gramStart"/>
      <w:r w:rsidRPr="00DD7BD1">
        <w:rPr>
          <w:rFonts w:ascii="Calibri" w:hAnsi="Calibri" w:cs="Calibri"/>
          <w:spacing w:val="3"/>
          <w:shd w:val="clear" w:color="auto" w:fill="FFFFFF"/>
        </w:rPr>
        <w:t>in excess of</w:t>
      </w:r>
      <w:proofErr w:type="gramEnd"/>
      <w:r w:rsidRPr="00DD7BD1">
        <w:rPr>
          <w:rFonts w:ascii="Calibri" w:hAnsi="Calibri" w:cs="Calibri"/>
          <w:spacing w:val="3"/>
          <w:shd w:val="clear" w:color="auto" w:fill="FFFFFF"/>
        </w:rPr>
        <w:t xml:space="preserve"> 40 hours in a week and the total number of employees for which it was paid. </w:t>
      </w:r>
      <w:r w:rsidRPr="00DD7BD1">
        <w:rPr>
          <w:rStyle w:val="Strong"/>
          <w:rFonts w:ascii="Calibri" w:hAnsi="Calibri" w:cs="Calibri"/>
          <w:spacing w:val="3"/>
          <w:shd w:val="clear" w:color="auto" w:fill="FFFFFF"/>
        </w:rPr>
        <w:t>Employers are required to report this information to the Alabama Department of Revenue by January 31, 2024.</w:t>
      </w:r>
      <w:r w:rsidRPr="00DD7BD1">
        <w:rPr>
          <w:rFonts w:ascii="Calibri" w:hAnsi="Calibri" w:cs="Calibri"/>
          <w:spacing w:val="3"/>
          <w:shd w:val="clear" w:color="auto" w:fill="FFFFFF"/>
        </w:rPr>
        <w:t xml:space="preserve"> Second, starting with the tax year beginning on January 1, 2024, Alabama employers must supplement their initial report on either a </w:t>
      </w:r>
      <w:r w:rsidRPr="00DD7BD1">
        <w:rPr>
          <w:rFonts w:ascii="Calibri" w:hAnsi="Calibri" w:cs="Calibri"/>
          <w:b/>
          <w:bCs/>
          <w:spacing w:val="3"/>
          <w:u w:val="single"/>
          <w:shd w:val="clear" w:color="auto" w:fill="FFFFFF"/>
        </w:rPr>
        <w:t>monthly or quarterly basis.</w:t>
      </w:r>
    </w:p>
    <w:p w14:paraId="11EEFAD8"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02FC3440" w14:textId="77777777" w:rsidR="00E43496" w:rsidRPr="00DD7BD1" w:rsidRDefault="009D5684" w:rsidP="00E43496">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Alaska</w:t>
      </w:r>
    </w:p>
    <w:p w14:paraId="3F36F93E" w14:textId="0B66D4BE" w:rsidR="00E43496" w:rsidRPr="00DD7BD1" w:rsidRDefault="00E43496" w:rsidP="00E43496">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Paid Sick Leave in Effect – </w:t>
      </w:r>
      <w:r w:rsidRPr="00DD7BD1">
        <w:rPr>
          <w:rFonts w:ascii="Calibri" w:hAnsi="Calibri" w:cs="Calibri"/>
          <w:b/>
          <w:color w:val="C00000"/>
          <w:spacing w:val="-4"/>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Sept</w:t>
      </w:r>
      <w:r w:rsidRPr="00DD7BD1">
        <w:rPr>
          <w:rFonts w:ascii="Calibri" w:hAnsi="Calibri" w:cs="Calibri"/>
          <w:b/>
          <w:color w:val="C00000"/>
          <w:spacing w:val="-9"/>
          <w:sz w:val="28"/>
        </w:rPr>
        <w:t xml:space="preserve"> </w:t>
      </w:r>
      <w:r w:rsidRPr="00DD7BD1">
        <w:rPr>
          <w:rFonts w:ascii="Calibri" w:hAnsi="Calibri" w:cs="Calibri"/>
          <w:b/>
          <w:color w:val="C00000"/>
          <w:spacing w:val="-4"/>
          <w:sz w:val="28"/>
        </w:rPr>
        <w:t>25,</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2025</w:t>
      </w:r>
    </w:p>
    <w:p w14:paraId="458DF90A" w14:textId="77777777" w:rsidR="00A85628" w:rsidRPr="00DD7BD1" w:rsidRDefault="00A85628" w:rsidP="00E43496">
      <w:pPr>
        <w:pStyle w:val="BodyText"/>
        <w:spacing w:after="0" w:line="240" w:lineRule="auto"/>
        <w:ind w:right="-180"/>
        <w:rPr>
          <w:rFonts w:cs="Calibri"/>
          <w:color w:val="auto"/>
          <w:w w:val="110"/>
          <w:szCs w:val="22"/>
        </w:rPr>
      </w:pPr>
      <w:r w:rsidRPr="00DD7BD1">
        <w:rPr>
          <w:rFonts w:cs="Calibri"/>
          <w:color w:val="auto"/>
          <w:w w:val="110"/>
          <w:szCs w:val="22"/>
        </w:rPr>
        <w:t>PSL law went into effect on July 1, 2025, with the regulations taking effect as of September 25, 2025.</w:t>
      </w:r>
    </w:p>
    <w:p w14:paraId="37601A48" w14:textId="77777777" w:rsidR="00E43496" w:rsidRPr="00DD7BD1" w:rsidRDefault="00E43496" w:rsidP="00E43496">
      <w:pPr>
        <w:pStyle w:val="BodyText"/>
        <w:spacing w:after="0" w:line="240" w:lineRule="auto"/>
        <w:ind w:right="-180"/>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5"/>
          <w:w w:val="110"/>
          <w:szCs w:val="22"/>
        </w:rPr>
        <w:t xml:space="preserve"> </w:t>
      </w:r>
      <w:r w:rsidRPr="00DD7BD1">
        <w:rPr>
          <w:rFonts w:cs="Calibri"/>
          <w:color w:val="auto"/>
          <w:w w:val="110"/>
          <w:szCs w:val="22"/>
        </w:rPr>
        <w:t>apply</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u w:val="single"/>
        </w:rPr>
        <w:t>all</w:t>
      </w:r>
      <w:r w:rsidRPr="00DD7BD1">
        <w:rPr>
          <w:rFonts w:cs="Calibri"/>
          <w:color w:val="auto"/>
          <w:spacing w:val="-10"/>
          <w:w w:val="110"/>
          <w:szCs w:val="22"/>
          <w:u w:val="single"/>
        </w:rPr>
        <w:t xml:space="preserve"> </w:t>
      </w:r>
      <w:r w:rsidRPr="00DD7BD1">
        <w:rPr>
          <w:rFonts w:cs="Calibri"/>
          <w:color w:val="auto"/>
          <w:w w:val="110"/>
          <w:szCs w:val="22"/>
          <w:u w:val="single"/>
        </w:rPr>
        <w:t>sizes</w:t>
      </w:r>
      <w:r w:rsidRPr="00DD7BD1">
        <w:rPr>
          <w:rFonts w:cs="Calibri"/>
          <w:color w:val="auto"/>
          <w:spacing w:val="-8"/>
          <w:w w:val="110"/>
          <w:szCs w:val="22"/>
          <w:u w:val="single"/>
        </w:rPr>
        <w:t xml:space="preserve"> </w:t>
      </w:r>
      <w:r w:rsidRPr="00DD7BD1">
        <w:rPr>
          <w:rFonts w:cs="Calibri"/>
          <w:color w:val="auto"/>
          <w:w w:val="110"/>
          <w:szCs w:val="22"/>
          <w:u w:val="single"/>
        </w:rPr>
        <w:t>in</w:t>
      </w:r>
      <w:r w:rsidRPr="00DD7BD1">
        <w:rPr>
          <w:rFonts w:cs="Calibri"/>
          <w:color w:val="auto"/>
          <w:spacing w:val="-11"/>
          <w:w w:val="110"/>
          <w:szCs w:val="22"/>
          <w:u w:val="single"/>
        </w:rPr>
        <w:t xml:space="preserve"> </w:t>
      </w:r>
      <w:r w:rsidRPr="00DD7BD1">
        <w:rPr>
          <w:rFonts w:cs="Calibri"/>
          <w:color w:val="auto"/>
          <w:w w:val="110"/>
          <w:szCs w:val="22"/>
          <w:u w:val="single"/>
        </w:rPr>
        <w:t>Alaska</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regulations</w:t>
      </w:r>
      <w:r w:rsidRPr="00DD7BD1">
        <w:rPr>
          <w:rFonts w:cs="Calibri"/>
          <w:color w:val="auto"/>
          <w:spacing w:val="-8"/>
          <w:w w:val="110"/>
          <w:szCs w:val="22"/>
        </w:rPr>
        <w:t xml:space="preserve"> </w:t>
      </w:r>
      <w:r w:rsidRPr="00DD7BD1">
        <w:rPr>
          <w:rFonts w:cs="Calibri"/>
          <w:color w:val="auto"/>
          <w:w w:val="110"/>
          <w:szCs w:val="22"/>
        </w:rPr>
        <w:t>largely</w:t>
      </w:r>
      <w:r w:rsidRPr="00DD7BD1">
        <w:rPr>
          <w:rFonts w:cs="Calibri"/>
          <w:color w:val="auto"/>
          <w:spacing w:val="-10"/>
          <w:w w:val="110"/>
          <w:szCs w:val="22"/>
        </w:rPr>
        <w:t xml:space="preserve"> </w:t>
      </w:r>
      <w:r w:rsidRPr="00DD7BD1">
        <w:rPr>
          <w:rFonts w:cs="Calibri"/>
          <w:color w:val="auto"/>
          <w:w w:val="110"/>
          <w:szCs w:val="22"/>
        </w:rPr>
        <w:t>clarify,</w:t>
      </w:r>
      <w:r w:rsidRPr="00DD7BD1">
        <w:rPr>
          <w:rFonts w:cs="Calibri"/>
          <w:color w:val="auto"/>
          <w:spacing w:val="-12"/>
          <w:w w:val="110"/>
          <w:szCs w:val="22"/>
        </w:rPr>
        <w:t xml:space="preserve"> </w:t>
      </w:r>
      <w:r w:rsidRPr="00DD7BD1">
        <w:rPr>
          <w:rFonts w:cs="Calibri"/>
          <w:color w:val="auto"/>
          <w:w w:val="110"/>
          <w:szCs w:val="22"/>
        </w:rPr>
        <w:t>verify,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expand</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spacing w:val="-5"/>
          <w:w w:val="110"/>
          <w:szCs w:val="22"/>
        </w:rPr>
        <w:t>the</w:t>
      </w:r>
      <w:r w:rsidRPr="00DD7BD1">
        <w:rPr>
          <w:rFonts w:cs="Calibri"/>
          <w:color w:val="auto"/>
          <w:szCs w:val="22"/>
        </w:rPr>
        <w:t xml:space="preserve"> </w:t>
      </w:r>
      <w:r w:rsidRPr="00DD7BD1">
        <w:rPr>
          <w:rFonts w:cs="Calibri"/>
          <w:color w:val="auto"/>
          <w:w w:val="110"/>
          <w:szCs w:val="22"/>
        </w:rPr>
        <w:t>state’s</w:t>
      </w:r>
      <w:r w:rsidRPr="00DD7BD1">
        <w:rPr>
          <w:rFonts w:cs="Calibri"/>
          <w:color w:val="auto"/>
          <w:spacing w:val="7"/>
          <w:w w:val="110"/>
          <w:szCs w:val="22"/>
        </w:rPr>
        <w:t xml:space="preserve"> </w:t>
      </w:r>
      <w:r w:rsidRPr="00DD7BD1">
        <w:rPr>
          <w:rFonts w:cs="Calibri"/>
          <w:color w:val="auto"/>
          <w:w w:val="110"/>
          <w:szCs w:val="22"/>
        </w:rPr>
        <w:t>existing</w:t>
      </w:r>
      <w:r w:rsidRPr="00DD7BD1">
        <w:rPr>
          <w:rFonts w:cs="Calibri"/>
          <w:color w:val="auto"/>
          <w:spacing w:val="10"/>
          <w:w w:val="110"/>
          <w:szCs w:val="22"/>
        </w:rPr>
        <w:t xml:space="preserve"> </w:t>
      </w:r>
      <w:hyperlink r:id="rId528">
        <w:r w:rsidRPr="00DD7BD1">
          <w:rPr>
            <w:rFonts w:cs="Calibri"/>
            <w:color w:val="006FC0"/>
            <w:spacing w:val="-2"/>
            <w:w w:val="110"/>
            <w:szCs w:val="22"/>
            <w:u w:val="single" w:color="006FC0"/>
          </w:rPr>
          <w:t>FAQs</w:t>
        </w:r>
      </w:hyperlink>
      <w:r w:rsidRPr="00DD7BD1">
        <w:rPr>
          <w:rFonts w:cs="Calibri"/>
          <w:spacing w:val="-2"/>
          <w:w w:val="110"/>
          <w:szCs w:val="22"/>
        </w:rPr>
        <w:t>.</w:t>
      </w:r>
    </w:p>
    <w:p w14:paraId="7CDD0C2D" w14:textId="77777777" w:rsidR="00E43496" w:rsidRPr="00DD7BD1" w:rsidRDefault="00E43496" w:rsidP="00E43496">
      <w:pPr>
        <w:pStyle w:val="BodyText"/>
        <w:spacing w:after="0" w:line="240" w:lineRule="auto"/>
        <w:ind w:left="360"/>
        <w:rPr>
          <w:rFonts w:cs="Calibri"/>
          <w:b/>
          <w:bCs/>
          <w:color w:val="auto"/>
          <w:sz w:val="16"/>
          <w:szCs w:val="16"/>
        </w:rPr>
      </w:pPr>
    </w:p>
    <w:p w14:paraId="47291A40"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Below</w:t>
      </w:r>
      <w:r w:rsidRPr="00DD7BD1">
        <w:rPr>
          <w:rFonts w:cs="Calibri"/>
          <w:b/>
          <w:bCs/>
          <w:color w:val="auto"/>
          <w:spacing w:val="21"/>
          <w:szCs w:val="22"/>
        </w:rPr>
        <w:t xml:space="preserve"> </w:t>
      </w:r>
      <w:r w:rsidRPr="00DD7BD1">
        <w:rPr>
          <w:rFonts w:cs="Calibri"/>
          <w:b/>
          <w:bCs/>
          <w:color w:val="auto"/>
          <w:szCs w:val="22"/>
        </w:rPr>
        <w:t>are</w:t>
      </w:r>
      <w:r w:rsidRPr="00DD7BD1">
        <w:rPr>
          <w:rFonts w:cs="Calibri"/>
          <w:b/>
          <w:bCs/>
          <w:color w:val="auto"/>
          <w:spacing w:val="23"/>
          <w:szCs w:val="22"/>
        </w:rPr>
        <w:t xml:space="preserve"> </w:t>
      </w:r>
      <w:r w:rsidRPr="00DD7BD1">
        <w:rPr>
          <w:rFonts w:cs="Calibri"/>
          <w:b/>
          <w:bCs/>
          <w:color w:val="auto"/>
          <w:spacing w:val="-2"/>
          <w:szCs w:val="22"/>
        </w:rPr>
        <w:t>highlights:</w:t>
      </w:r>
    </w:p>
    <w:p w14:paraId="0EE0E57D"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3"/>
          <w:w w:val="110"/>
        </w:rPr>
        <w:t xml:space="preserve"> </w:t>
      </w:r>
      <w:r w:rsidRPr="00DD7BD1">
        <w:rPr>
          <w:rFonts w:ascii="Calibri" w:hAnsi="Calibri" w:cs="Calibri"/>
          <w:w w:val="110"/>
        </w:rPr>
        <w:t>don’t</w:t>
      </w:r>
      <w:r w:rsidRPr="00DD7BD1">
        <w:rPr>
          <w:rFonts w:ascii="Calibri" w:hAnsi="Calibri" w:cs="Calibri"/>
          <w:spacing w:val="-11"/>
          <w:w w:val="110"/>
        </w:rPr>
        <w:t xml:space="preserve"> </w:t>
      </w:r>
      <w:r w:rsidRPr="00DD7BD1">
        <w:rPr>
          <w:rFonts w:ascii="Calibri" w:hAnsi="Calibri" w:cs="Calibri"/>
          <w:w w:val="110"/>
        </w:rPr>
        <w:t>designate</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fixed</w:t>
      </w:r>
      <w:r w:rsidRPr="00DD7BD1">
        <w:rPr>
          <w:rFonts w:ascii="Calibri" w:hAnsi="Calibri" w:cs="Calibri"/>
          <w:spacing w:val="-12"/>
          <w:w w:val="110"/>
        </w:rPr>
        <w:t xml:space="preserve"> </w:t>
      </w:r>
      <w:r w:rsidRPr="00DD7BD1">
        <w:rPr>
          <w:rFonts w:ascii="Calibri" w:hAnsi="Calibri" w:cs="Calibri"/>
          <w:w w:val="110"/>
        </w:rPr>
        <w:t>52-week</w:t>
      </w:r>
      <w:r w:rsidRPr="00DD7BD1">
        <w:rPr>
          <w:rFonts w:ascii="Calibri" w:hAnsi="Calibri" w:cs="Calibri"/>
          <w:spacing w:val="-12"/>
          <w:w w:val="110"/>
        </w:rPr>
        <w:t xml:space="preserve"> </w:t>
      </w:r>
      <w:r w:rsidRPr="00DD7BD1">
        <w:rPr>
          <w:rFonts w:ascii="Calibri" w:hAnsi="Calibri" w:cs="Calibri"/>
          <w:w w:val="110"/>
        </w:rPr>
        <w:t>benefit</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3"/>
          <w:w w:val="110"/>
        </w:rPr>
        <w:t xml:space="preserve"> </w:t>
      </w:r>
      <w:r w:rsidRPr="00DD7BD1">
        <w:rPr>
          <w:rFonts w:ascii="Calibri" w:hAnsi="Calibri" w:cs="Calibri"/>
          <w:w w:val="110"/>
        </w:rPr>
        <w:t>will</w:t>
      </w:r>
      <w:r w:rsidRPr="00DD7BD1">
        <w:rPr>
          <w:rFonts w:ascii="Calibri" w:hAnsi="Calibri" w:cs="Calibri"/>
          <w:spacing w:val="-12"/>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use</w:t>
      </w:r>
      <w:r w:rsidRPr="00DD7BD1">
        <w:rPr>
          <w:rFonts w:ascii="Calibri" w:hAnsi="Calibri" w:cs="Calibri"/>
          <w:spacing w:val="-10"/>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calendar</w:t>
      </w:r>
      <w:r w:rsidRPr="00DD7BD1">
        <w:rPr>
          <w:rFonts w:ascii="Calibri" w:hAnsi="Calibri" w:cs="Calibri"/>
          <w:spacing w:val="-11"/>
          <w:w w:val="110"/>
        </w:rPr>
        <w:t xml:space="preserve"> </w:t>
      </w:r>
      <w:r w:rsidRPr="00DD7BD1">
        <w:rPr>
          <w:rFonts w:ascii="Calibri" w:hAnsi="Calibri" w:cs="Calibri"/>
          <w:w w:val="110"/>
        </w:rPr>
        <w:t>year</w:t>
      </w:r>
      <w:r w:rsidRPr="00DD7BD1">
        <w:rPr>
          <w:rFonts w:ascii="Calibri" w:hAnsi="Calibri" w:cs="Calibri"/>
          <w:spacing w:val="-11"/>
          <w:w w:val="110"/>
        </w:rPr>
        <w:t xml:space="preserve"> </w:t>
      </w:r>
      <w:r w:rsidRPr="00DD7BD1">
        <w:rPr>
          <w:rFonts w:ascii="Calibri" w:hAnsi="Calibri" w:cs="Calibri"/>
          <w:w w:val="110"/>
        </w:rPr>
        <w:t xml:space="preserve">by </w:t>
      </w:r>
      <w:r w:rsidRPr="00DD7BD1">
        <w:rPr>
          <w:rFonts w:ascii="Calibri" w:hAnsi="Calibri" w:cs="Calibri"/>
          <w:spacing w:val="-2"/>
          <w:w w:val="110"/>
        </w:rPr>
        <w:t>default.</w:t>
      </w:r>
    </w:p>
    <w:p w14:paraId="64D0B6E3"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8"/>
          <w:w w:val="110"/>
        </w:rPr>
        <w:t xml:space="preserve"> </w:t>
      </w:r>
      <w:r w:rsidRPr="00DD7BD1">
        <w:rPr>
          <w:rFonts w:ascii="Calibri" w:hAnsi="Calibri" w:cs="Calibri"/>
          <w:w w:val="110"/>
        </w:rPr>
        <w:t>that</w:t>
      </w:r>
      <w:r w:rsidRPr="00DD7BD1">
        <w:rPr>
          <w:rFonts w:ascii="Calibri" w:hAnsi="Calibri" w:cs="Calibri"/>
          <w:spacing w:val="-8"/>
          <w:w w:val="110"/>
        </w:rPr>
        <w:t xml:space="preserve"> </w:t>
      </w:r>
      <w:r w:rsidRPr="00DD7BD1">
        <w:rPr>
          <w:rFonts w:ascii="Calibri" w:hAnsi="Calibri" w:cs="Calibri"/>
          <w:w w:val="110"/>
        </w:rPr>
        <w:t>frontload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0"/>
          <w:w w:val="110"/>
        </w:rPr>
        <w:t xml:space="preserve"> </w:t>
      </w:r>
      <w:r w:rsidRPr="00DD7BD1">
        <w:rPr>
          <w:rFonts w:ascii="Calibri" w:hAnsi="Calibri" w:cs="Calibri"/>
          <w:w w:val="110"/>
        </w:rPr>
        <w:t>full</w:t>
      </w:r>
      <w:r w:rsidRPr="00DD7BD1">
        <w:rPr>
          <w:rFonts w:ascii="Calibri" w:hAnsi="Calibri" w:cs="Calibri"/>
          <w:spacing w:val="-9"/>
          <w:w w:val="110"/>
        </w:rPr>
        <w:t xml:space="preserve"> </w:t>
      </w:r>
      <w:r w:rsidRPr="00DD7BD1">
        <w:rPr>
          <w:rFonts w:ascii="Calibri" w:hAnsi="Calibri" w:cs="Calibri"/>
          <w:w w:val="110"/>
        </w:rPr>
        <w:t>annual</w:t>
      </w:r>
      <w:r w:rsidRPr="00DD7BD1">
        <w:rPr>
          <w:rFonts w:ascii="Calibri" w:hAnsi="Calibri" w:cs="Calibri"/>
          <w:spacing w:val="-9"/>
          <w:w w:val="110"/>
        </w:rPr>
        <w:t xml:space="preserve"> </w:t>
      </w:r>
      <w:r w:rsidRPr="00DD7BD1">
        <w:rPr>
          <w:rFonts w:ascii="Calibri" w:hAnsi="Calibri" w:cs="Calibri"/>
          <w:w w:val="110"/>
        </w:rPr>
        <w:t>PSL</w:t>
      </w:r>
      <w:r w:rsidRPr="00DD7BD1">
        <w:rPr>
          <w:rFonts w:ascii="Calibri" w:hAnsi="Calibri" w:cs="Calibri"/>
          <w:spacing w:val="-7"/>
          <w:w w:val="110"/>
        </w:rPr>
        <w:t xml:space="preserve"> </w:t>
      </w:r>
      <w:r w:rsidRPr="00DD7BD1">
        <w:rPr>
          <w:rFonts w:ascii="Calibri" w:hAnsi="Calibri" w:cs="Calibri"/>
          <w:w w:val="110"/>
        </w:rPr>
        <w:t>allotment</w:t>
      </w:r>
      <w:r w:rsidRPr="00DD7BD1">
        <w:rPr>
          <w:rFonts w:ascii="Calibri" w:hAnsi="Calibri" w:cs="Calibri"/>
          <w:spacing w:val="-12"/>
          <w:w w:val="110"/>
        </w:rPr>
        <w:t xml:space="preserve"> </w:t>
      </w:r>
      <w:r w:rsidRPr="00DD7BD1">
        <w:rPr>
          <w:rFonts w:ascii="Calibri" w:hAnsi="Calibri" w:cs="Calibri"/>
          <w:w w:val="110"/>
        </w:rPr>
        <w:t>at</w:t>
      </w:r>
      <w:r w:rsidRPr="00DD7BD1">
        <w:rPr>
          <w:rFonts w:ascii="Calibri" w:hAnsi="Calibri" w:cs="Calibri"/>
          <w:spacing w:val="-8"/>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beginning</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each</w:t>
      </w:r>
      <w:r w:rsidRPr="00DD7BD1">
        <w:rPr>
          <w:rFonts w:ascii="Calibri" w:hAnsi="Calibri" w:cs="Calibri"/>
          <w:spacing w:val="-10"/>
          <w:w w:val="110"/>
        </w:rPr>
        <w:t xml:space="preserve"> </w:t>
      </w:r>
      <w:r w:rsidRPr="00DD7BD1">
        <w:rPr>
          <w:rFonts w:ascii="Calibri" w:hAnsi="Calibri" w:cs="Calibri"/>
          <w:w w:val="110"/>
        </w:rPr>
        <w:t>benefit</w:t>
      </w:r>
      <w:r w:rsidRPr="00DD7BD1">
        <w:rPr>
          <w:rFonts w:ascii="Calibri" w:hAnsi="Calibri" w:cs="Calibri"/>
          <w:spacing w:val="-10"/>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don’t</w:t>
      </w:r>
      <w:r w:rsidRPr="00DD7BD1">
        <w:rPr>
          <w:rFonts w:ascii="Calibri" w:hAnsi="Calibri" w:cs="Calibri"/>
          <w:spacing w:val="-9"/>
          <w:w w:val="110"/>
        </w:rPr>
        <w:t xml:space="preserve"> </w:t>
      </w:r>
      <w:r w:rsidRPr="00DD7BD1">
        <w:rPr>
          <w:rFonts w:ascii="Calibri" w:hAnsi="Calibri" w:cs="Calibri"/>
          <w:w w:val="110"/>
        </w:rPr>
        <w:t>have</w:t>
      </w:r>
      <w:r w:rsidRPr="00DD7BD1">
        <w:rPr>
          <w:rFonts w:ascii="Calibri" w:hAnsi="Calibri" w:cs="Calibri"/>
          <w:spacing w:val="-7"/>
          <w:w w:val="110"/>
        </w:rPr>
        <w:t xml:space="preserve"> </w:t>
      </w:r>
      <w:r w:rsidRPr="00DD7BD1">
        <w:rPr>
          <w:rFonts w:ascii="Calibri" w:hAnsi="Calibri" w:cs="Calibri"/>
          <w:spacing w:val="-5"/>
          <w:w w:val="110"/>
        </w:rPr>
        <w:t xml:space="preserve">to </w:t>
      </w:r>
      <w:r w:rsidRPr="00DD7BD1">
        <w:rPr>
          <w:rFonts w:ascii="Calibri" w:hAnsi="Calibri" w:cs="Calibri"/>
          <w:w w:val="110"/>
        </w:rPr>
        <w:t>allow</w:t>
      </w:r>
      <w:r w:rsidRPr="00DD7BD1">
        <w:rPr>
          <w:rFonts w:ascii="Calibri" w:hAnsi="Calibri" w:cs="Calibri"/>
          <w:spacing w:val="-16"/>
          <w:w w:val="110"/>
        </w:rPr>
        <w:t xml:space="preserve"> </w:t>
      </w:r>
      <w:r w:rsidRPr="00DD7BD1">
        <w:rPr>
          <w:rFonts w:ascii="Calibri" w:hAnsi="Calibri" w:cs="Calibri"/>
          <w:spacing w:val="-2"/>
          <w:w w:val="110"/>
        </w:rPr>
        <w:t>carryover.</w:t>
      </w:r>
    </w:p>
    <w:p w14:paraId="3605116F"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Frontloaded</w:t>
      </w:r>
      <w:r w:rsidRPr="00DD7BD1">
        <w:rPr>
          <w:rFonts w:ascii="Calibri" w:hAnsi="Calibri" w:cs="Calibri"/>
          <w:spacing w:val="-7"/>
          <w:w w:val="110"/>
        </w:rPr>
        <w:t xml:space="preserve"> </w:t>
      </w:r>
      <w:r w:rsidRPr="00DD7BD1">
        <w:rPr>
          <w:rFonts w:ascii="Calibri" w:hAnsi="Calibri" w:cs="Calibri"/>
          <w:spacing w:val="-2"/>
          <w:w w:val="110"/>
        </w:rPr>
        <w:t>PSL</w:t>
      </w:r>
      <w:r w:rsidRPr="00DD7BD1">
        <w:rPr>
          <w:rFonts w:ascii="Calibri" w:hAnsi="Calibri" w:cs="Calibri"/>
          <w:spacing w:val="-6"/>
          <w:w w:val="110"/>
        </w:rPr>
        <w:t xml:space="preserve"> </w:t>
      </w:r>
      <w:r w:rsidRPr="00DD7BD1">
        <w:rPr>
          <w:rFonts w:ascii="Calibri" w:hAnsi="Calibri" w:cs="Calibri"/>
          <w:spacing w:val="-2"/>
          <w:w w:val="110"/>
        </w:rPr>
        <w:t>hours</w:t>
      </w:r>
      <w:r w:rsidRPr="00DD7BD1">
        <w:rPr>
          <w:rFonts w:ascii="Calibri" w:hAnsi="Calibri" w:cs="Calibri"/>
          <w:spacing w:val="-7"/>
          <w:w w:val="110"/>
        </w:rPr>
        <w:t xml:space="preserve"> </w:t>
      </w:r>
      <w:r w:rsidRPr="00DD7BD1">
        <w:rPr>
          <w:rFonts w:ascii="Calibri" w:hAnsi="Calibri" w:cs="Calibri"/>
          <w:spacing w:val="-2"/>
          <w:w w:val="110"/>
        </w:rPr>
        <w:t>can</w:t>
      </w:r>
      <w:r w:rsidRPr="00DD7BD1">
        <w:rPr>
          <w:rFonts w:ascii="Calibri" w:hAnsi="Calibri" w:cs="Calibri"/>
          <w:spacing w:val="-6"/>
          <w:w w:val="110"/>
        </w:rPr>
        <w:t xml:space="preserve"> </w:t>
      </w:r>
      <w:r w:rsidRPr="00DD7BD1">
        <w:rPr>
          <w:rFonts w:ascii="Calibri" w:hAnsi="Calibri" w:cs="Calibri"/>
          <w:spacing w:val="-2"/>
          <w:w w:val="110"/>
        </w:rPr>
        <w:t>be</w:t>
      </w:r>
      <w:r w:rsidRPr="00DD7BD1">
        <w:rPr>
          <w:rFonts w:ascii="Calibri" w:hAnsi="Calibri" w:cs="Calibri"/>
          <w:spacing w:val="-7"/>
          <w:w w:val="110"/>
        </w:rPr>
        <w:t xml:space="preserve"> </w:t>
      </w:r>
      <w:r w:rsidRPr="00DD7BD1">
        <w:rPr>
          <w:rFonts w:ascii="Calibri" w:hAnsi="Calibri" w:cs="Calibri"/>
          <w:spacing w:val="-2"/>
          <w:w w:val="110"/>
        </w:rPr>
        <w:t>prorated</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10"/>
          <w:w w:val="110"/>
        </w:rPr>
        <w:t xml:space="preserve"> </w:t>
      </w:r>
      <w:r w:rsidRPr="00DD7BD1">
        <w:rPr>
          <w:rFonts w:ascii="Calibri" w:hAnsi="Calibri" w:cs="Calibri"/>
          <w:spacing w:val="-2"/>
          <w:w w:val="110"/>
        </w:rPr>
        <w:t>part-time</w:t>
      </w:r>
      <w:r w:rsidRPr="00DD7BD1">
        <w:rPr>
          <w:rFonts w:ascii="Calibri" w:hAnsi="Calibri" w:cs="Calibri"/>
          <w:spacing w:val="-8"/>
          <w:w w:val="110"/>
        </w:rPr>
        <w:t xml:space="preserve"> </w:t>
      </w: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and</w:t>
      </w:r>
      <w:r w:rsidRPr="00DD7BD1">
        <w:rPr>
          <w:rFonts w:ascii="Calibri" w:hAnsi="Calibri" w:cs="Calibri"/>
          <w:spacing w:val="-10"/>
          <w:w w:val="110"/>
        </w:rPr>
        <w:t xml:space="preserve"> </w:t>
      </w:r>
      <w:r w:rsidRPr="00DD7BD1">
        <w:rPr>
          <w:rFonts w:ascii="Calibri" w:hAnsi="Calibri" w:cs="Calibri"/>
          <w:spacing w:val="-2"/>
          <w:w w:val="110"/>
        </w:rPr>
        <w:t>those</w:t>
      </w:r>
      <w:r w:rsidRPr="00DD7BD1">
        <w:rPr>
          <w:rFonts w:ascii="Calibri" w:hAnsi="Calibri" w:cs="Calibri"/>
          <w:spacing w:val="-9"/>
          <w:w w:val="110"/>
        </w:rPr>
        <w:t xml:space="preserve"> </w:t>
      </w:r>
      <w:r w:rsidRPr="00DD7BD1">
        <w:rPr>
          <w:rFonts w:ascii="Calibri" w:hAnsi="Calibri" w:cs="Calibri"/>
          <w:spacing w:val="-2"/>
          <w:w w:val="110"/>
        </w:rPr>
        <w:t>hired</w:t>
      </w:r>
      <w:r w:rsidRPr="00DD7BD1">
        <w:rPr>
          <w:rFonts w:ascii="Calibri" w:hAnsi="Calibri" w:cs="Calibri"/>
          <w:spacing w:val="-9"/>
          <w:w w:val="110"/>
        </w:rPr>
        <w:t xml:space="preserve"> </w:t>
      </w:r>
      <w:r w:rsidRPr="00DD7BD1">
        <w:rPr>
          <w:rFonts w:ascii="Calibri" w:hAnsi="Calibri" w:cs="Calibri"/>
          <w:spacing w:val="-2"/>
          <w:w w:val="110"/>
        </w:rPr>
        <w:t>mid-benefit</w:t>
      </w:r>
      <w:r w:rsidRPr="00DD7BD1">
        <w:rPr>
          <w:rFonts w:ascii="Calibri" w:hAnsi="Calibri" w:cs="Calibri"/>
          <w:spacing w:val="-10"/>
          <w:w w:val="110"/>
        </w:rPr>
        <w:t xml:space="preserve"> </w:t>
      </w:r>
      <w:r w:rsidRPr="00DD7BD1">
        <w:rPr>
          <w:rFonts w:ascii="Calibri" w:hAnsi="Calibri" w:cs="Calibri"/>
          <w:spacing w:val="-4"/>
          <w:w w:val="110"/>
        </w:rPr>
        <w:t>year.</w:t>
      </w:r>
    </w:p>
    <w:p w14:paraId="7B7AA98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lastRenderedPageBreak/>
        <w:t>Employers</w:t>
      </w:r>
      <w:r w:rsidRPr="00DD7BD1">
        <w:rPr>
          <w:rFonts w:ascii="Calibri" w:hAnsi="Calibri" w:cs="Calibri"/>
          <w:spacing w:val="-4"/>
          <w:w w:val="110"/>
        </w:rPr>
        <w:t xml:space="preserve"> </w:t>
      </w:r>
      <w:r w:rsidRPr="00DD7BD1">
        <w:rPr>
          <w:rFonts w:ascii="Calibri" w:hAnsi="Calibri" w:cs="Calibri"/>
          <w:spacing w:val="-2"/>
          <w:w w:val="110"/>
        </w:rPr>
        <w:t>can’t</w:t>
      </w:r>
      <w:r w:rsidRPr="00DD7BD1">
        <w:rPr>
          <w:rFonts w:ascii="Calibri" w:hAnsi="Calibri" w:cs="Calibri"/>
          <w:spacing w:val="-5"/>
          <w:w w:val="110"/>
        </w:rPr>
        <w:t xml:space="preserve"> </w:t>
      </w:r>
      <w:r w:rsidRPr="00DD7BD1">
        <w:rPr>
          <w:rFonts w:ascii="Calibri" w:hAnsi="Calibri" w:cs="Calibri"/>
          <w:spacing w:val="-2"/>
          <w:w w:val="110"/>
        </w:rPr>
        <w:t>require</w:t>
      </w:r>
      <w:r w:rsidRPr="00DD7BD1">
        <w:rPr>
          <w:rFonts w:ascii="Calibri" w:hAnsi="Calibri" w:cs="Calibri"/>
          <w:spacing w:val="-8"/>
          <w:w w:val="110"/>
        </w:rPr>
        <w:t xml:space="preserve"> </w:t>
      </w:r>
      <w:r w:rsidRPr="00DD7BD1">
        <w:rPr>
          <w:rFonts w:ascii="Calibri" w:hAnsi="Calibri" w:cs="Calibri"/>
          <w:spacing w:val="-2"/>
          <w:w w:val="110"/>
        </w:rPr>
        <w:t>that</w:t>
      </w:r>
      <w:r w:rsidRPr="00DD7BD1">
        <w:rPr>
          <w:rFonts w:ascii="Calibri" w:hAnsi="Calibri" w:cs="Calibri"/>
          <w:spacing w:val="-5"/>
          <w:w w:val="110"/>
        </w:rPr>
        <w:t xml:space="preserve"> </w:t>
      </w: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more</w:t>
      </w:r>
      <w:r w:rsidRPr="00DD7BD1">
        <w:rPr>
          <w:rFonts w:ascii="Calibri" w:hAnsi="Calibri" w:cs="Calibri"/>
          <w:spacing w:val="-4"/>
          <w:w w:val="110"/>
        </w:rPr>
        <w:t xml:space="preserve"> </w:t>
      </w:r>
      <w:r w:rsidRPr="00DD7BD1">
        <w:rPr>
          <w:rFonts w:ascii="Calibri" w:hAnsi="Calibri" w:cs="Calibri"/>
          <w:spacing w:val="-2"/>
          <w:w w:val="110"/>
        </w:rPr>
        <w:t>than</w:t>
      </w:r>
      <w:r w:rsidRPr="00DD7BD1">
        <w:rPr>
          <w:rFonts w:ascii="Calibri" w:hAnsi="Calibri" w:cs="Calibri"/>
          <w:spacing w:val="-7"/>
          <w:w w:val="110"/>
        </w:rPr>
        <w:t xml:space="preserve"> </w:t>
      </w:r>
      <w:r w:rsidRPr="00DD7BD1">
        <w:rPr>
          <w:rFonts w:ascii="Calibri" w:hAnsi="Calibri" w:cs="Calibri"/>
          <w:spacing w:val="-2"/>
          <w:w w:val="110"/>
        </w:rPr>
        <w:t>10</w:t>
      </w:r>
      <w:r w:rsidRPr="00DD7BD1">
        <w:rPr>
          <w:rFonts w:ascii="Calibri" w:hAnsi="Calibri" w:cs="Calibri"/>
          <w:spacing w:val="-3"/>
          <w:w w:val="110"/>
        </w:rPr>
        <w:t xml:space="preserve"> </w:t>
      </w:r>
      <w:r w:rsidRPr="00DD7BD1">
        <w:rPr>
          <w:rFonts w:ascii="Calibri" w:hAnsi="Calibri" w:cs="Calibri"/>
          <w:spacing w:val="-2"/>
          <w:w w:val="110"/>
        </w:rPr>
        <w:t>calendar</w:t>
      </w:r>
      <w:r w:rsidRPr="00DD7BD1">
        <w:rPr>
          <w:rFonts w:ascii="Calibri" w:hAnsi="Calibri" w:cs="Calibri"/>
          <w:spacing w:val="-8"/>
          <w:w w:val="110"/>
        </w:rPr>
        <w:t xml:space="preserve"> </w:t>
      </w:r>
      <w:r w:rsidRPr="00DD7BD1">
        <w:rPr>
          <w:rFonts w:ascii="Calibri" w:hAnsi="Calibri" w:cs="Calibri"/>
          <w:spacing w:val="-2"/>
          <w:w w:val="110"/>
        </w:rPr>
        <w:t>days’</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4"/>
          <w:w w:val="110"/>
        </w:rPr>
        <w:t xml:space="preserve"> </w:t>
      </w:r>
      <w:r w:rsidRPr="00DD7BD1">
        <w:rPr>
          <w:rFonts w:ascii="Calibri" w:hAnsi="Calibri" w:cs="Calibri"/>
          <w:spacing w:val="-2"/>
          <w:w w:val="110"/>
        </w:rPr>
        <w:t>for</w:t>
      </w:r>
      <w:r w:rsidRPr="00DD7BD1">
        <w:rPr>
          <w:rFonts w:ascii="Calibri" w:hAnsi="Calibri" w:cs="Calibri"/>
          <w:spacing w:val="-5"/>
          <w:w w:val="110"/>
        </w:rPr>
        <w:t xml:space="preserve"> </w:t>
      </w:r>
      <w:r w:rsidRPr="00DD7BD1">
        <w:rPr>
          <w:rFonts w:ascii="Calibri" w:hAnsi="Calibri" w:cs="Calibri"/>
          <w:spacing w:val="-2"/>
          <w:w w:val="110"/>
        </w:rPr>
        <w:t>foreseeable</w:t>
      </w:r>
      <w:r w:rsidRPr="00DD7BD1">
        <w:rPr>
          <w:rFonts w:ascii="Calibri" w:hAnsi="Calibri" w:cs="Calibri"/>
          <w:spacing w:val="-4"/>
          <w:w w:val="110"/>
        </w:rPr>
        <w:t xml:space="preserve"> </w:t>
      </w:r>
      <w:r w:rsidRPr="00DD7BD1">
        <w:rPr>
          <w:rFonts w:ascii="Calibri" w:hAnsi="Calibri" w:cs="Calibri"/>
          <w:spacing w:val="-2"/>
          <w:w w:val="110"/>
        </w:rPr>
        <w:t>leave.</w:t>
      </w:r>
    </w:p>
    <w:p w14:paraId="2BC6E14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9"/>
          <w:w w:val="110"/>
        </w:rPr>
        <w:t xml:space="preserve"> </w:t>
      </w:r>
      <w:r w:rsidRPr="00DD7BD1">
        <w:rPr>
          <w:rFonts w:ascii="Calibri" w:hAnsi="Calibri" w:cs="Calibri"/>
          <w:w w:val="110"/>
        </w:rPr>
        <w:t>can</w:t>
      </w:r>
      <w:r w:rsidRPr="00DD7BD1">
        <w:rPr>
          <w:rFonts w:ascii="Calibri" w:hAnsi="Calibri" w:cs="Calibri"/>
          <w:spacing w:val="-11"/>
          <w:w w:val="110"/>
        </w:rPr>
        <w:t xml:space="preserve"> </w:t>
      </w:r>
      <w:r w:rsidRPr="00DD7BD1">
        <w:rPr>
          <w:rFonts w:ascii="Calibri" w:hAnsi="Calibri" w:cs="Calibri"/>
          <w:w w:val="110"/>
        </w:rPr>
        <w:t>have</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policy</w:t>
      </w:r>
      <w:r w:rsidRPr="00DD7BD1">
        <w:rPr>
          <w:rFonts w:ascii="Calibri" w:hAnsi="Calibri" w:cs="Calibri"/>
          <w:spacing w:val="-8"/>
          <w:w w:val="110"/>
        </w:rPr>
        <w:t xml:space="preserve"> </w:t>
      </w:r>
      <w:r w:rsidRPr="00DD7BD1">
        <w:rPr>
          <w:rFonts w:ascii="Calibri" w:hAnsi="Calibri" w:cs="Calibri"/>
          <w:w w:val="110"/>
        </w:rPr>
        <w:t>allowing</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cash</w:t>
      </w:r>
      <w:r w:rsidRPr="00DD7BD1">
        <w:rPr>
          <w:rFonts w:ascii="Calibri" w:hAnsi="Calibri" w:cs="Calibri"/>
          <w:spacing w:val="-12"/>
          <w:w w:val="110"/>
        </w:rPr>
        <w:t xml:space="preserve"> </w:t>
      </w:r>
      <w:r w:rsidRPr="00DD7BD1">
        <w:rPr>
          <w:rFonts w:ascii="Calibri" w:hAnsi="Calibri" w:cs="Calibri"/>
          <w:w w:val="110"/>
        </w:rPr>
        <w:t>out</w:t>
      </w:r>
      <w:r w:rsidRPr="00DD7BD1">
        <w:rPr>
          <w:rFonts w:ascii="Calibri" w:hAnsi="Calibri" w:cs="Calibri"/>
          <w:spacing w:val="-9"/>
          <w:w w:val="110"/>
        </w:rPr>
        <w:t xml:space="preserve"> </w:t>
      </w:r>
      <w:r w:rsidRPr="00DD7BD1">
        <w:rPr>
          <w:rFonts w:ascii="Calibri" w:hAnsi="Calibri" w:cs="Calibri"/>
          <w:w w:val="110"/>
        </w:rPr>
        <w:t>their</w:t>
      </w:r>
      <w:r w:rsidRPr="00DD7BD1">
        <w:rPr>
          <w:rFonts w:ascii="Calibri" w:hAnsi="Calibri" w:cs="Calibri"/>
          <w:spacing w:val="-10"/>
          <w:w w:val="110"/>
        </w:rPr>
        <w:t xml:space="preserve"> </w:t>
      </w:r>
      <w:r w:rsidRPr="00DD7BD1">
        <w:rPr>
          <w:rFonts w:ascii="Calibri" w:hAnsi="Calibri" w:cs="Calibri"/>
          <w:w w:val="110"/>
        </w:rPr>
        <w:t>PSL,</w:t>
      </w:r>
      <w:r w:rsidRPr="00DD7BD1">
        <w:rPr>
          <w:rFonts w:ascii="Calibri" w:hAnsi="Calibri" w:cs="Calibri"/>
          <w:spacing w:val="-11"/>
          <w:w w:val="110"/>
        </w:rPr>
        <w:t xml:space="preserve"> </w:t>
      </w:r>
      <w:r w:rsidRPr="00DD7BD1">
        <w:rPr>
          <w:rFonts w:ascii="Calibri" w:hAnsi="Calibri" w:cs="Calibri"/>
          <w:w w:val="110"/>
        </w:rPr>
        <w:t>upon</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11"/>
          <w:w w:val="110"/>
        </w:rPr>
        <w:t xml:space="preserve"> </w:t>
      </w:r>
      <w:r w:rsidRPr="00DD7BD1">
        <w:rPr>
          <w:rFonts w:ascii="Calibri" w:hAnsi="Calibri" w:cs="Calibri"/>
          <w:spacing w:val="-2"/>
          <w:w w:val="110"/>
        </w:rPr>
        <w:t>written request.</w:t>
      </w:r>
    </w:p>
    <w:p w14:paraId="07BD7262" w14:textId="77777777" w:rsidR="00E43496" w:rsidRPr="00DD7BD1" w:rsidRDefault="00E43496" w:rsidP="00E43496">
      <w:pPr>
        <w:pStyle w:val="BodyText"/>
        <w:spacing w:after="0" w:line="240" w:lineRule="auto"/>
        <w:rPr>
          <w:rFonts w:cs="Calibri"/>
          <w:b/>
          <w:bCs/>
          <w:color w:val="auto"/>
          <w:sz w:val="16"/>
          <w:szCs w:val="16"/>
        </w:rPr>
      </w:pPr>
    </w:p>
    <w:p w14:paraId="09D9CA4F"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Employer Notice</w:t>
      </w:r>
    </w:p>
    <w:p w14:paraId="0332EEBA" w14:textId="77777777" w:rsidR="00E43496" w:rsidRPr="00DD7BD1" w:rsidRDefault="00E43496" w:rsidP="00E43496">
      <w:pPr>
        <w:pStyle w:val="BodyText"/>
        <w:spacing w:after="0" w:line="240" w:lineRule="auto"/>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3"/>
          <w:w w:val="110"/>
          <w:szCs w:val="22"/>
        </w:rPr>
        <w:t xml:space="preserve"> </w:t>
      </w:r>
      <w:r w:rsidRPr="00DD7BD1">
        <w:rPr>
          <w:rFonts w:cs="Calibri"/>
          <w:color w:val="auto"/>
          <w:w w:val="110"/>
          <w:szCs w:val="22"/>
        </w:rPr>
        <w:t>also</w:t>
      </w:r>
      <w:r w:rsidRPr="00DD7BD1">
        <w:rPr>
          <w:rFonts w:cs="Calibri"/>
          <w:color w:val="auto"/>
          <w:spacing w:val="-13"/>
          <w:w w:val="110"/>
          <w:szCs w:val="22"/>
        </w:rPr>
        <w:t xml:space="preserve"> </w:t>
      </w:r>
      <w:r w:rsidRPr="00DD7BD1">
        <w:rPr>
          <w:rFonts w:cs="Calibri"/>
          <w:color w:val="auto"/>
          <w:w w:val="110"/>
          <w:szCs w:val="22"/>
        </w:rPr>
        <w:t>add</w:t>
      </w:r>
      <w:r w:rsidRPr="00DD7BD1">
        <w:rPr>
          <w:rFonts w:cs="Calibri"/>
          <w:color w:val="auto"/>
          <w:spacing w:val="-14"/>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5"/>
          <w:w w:val="110"/>
          <w:szCs w:val="22"/>
        </w:rPr>
        <w:t xml:space="preserve"> </w:t>
      </w:r>
      <w:r w:rsidRPr="00DD7BD1">
        <w:rPr>
          <w:rFonts w:cs="Calibri"/>
          <w:color w:val="auto"/>
          <w:w w:val="110"/>
          <w:szCs w:val="22"/>
        </w:rPr>
        <w:t>requirements</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writing</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given</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spacing w:val="-2"/>
          <w:w w:val="110"/>
          <w:szCs w:val="22"/>
        </w:rPr>
        <w:t>employees.</w:t>
      </w:r>
    </w:p>
    <w:p w14:paraId="53FD079F"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Calibri" w:hAnsi="Calibri" w:cs="Calibri"/>
        </w:rPr>
      </w:pPr>
      <w:r w:rsidRPr="00DD7BD1">
        <w:rPr>
          <w:rFonts w:ascii="Calibri" w:hAnsi="Calibri" w:cs="Calibri"/>
          <w:spacing w:val="-2"/>
          <w:w w:val="105"/>
        </w:rPr>
        <w:t>First,</w:t>
      </w:r>
      <w:r w:rsidRPr="00DD7BD1">
        <w:rPr>
          <w:rFonts w:ascii="Calibri" w:hAnsi="Calibri" w:cs="Calibri"/>
          <w:spacing w:val="-9"/>
          <w:w w:val="105"/>
        </w:rPr>
        <w:t xml:space="preserve"> </w:t>
      </w:r>
      <w:r w:rsidRPr="00DD7BD1">
        <w:rPr>
          <w:rFonts w:ascii="Calibri" w:hAnsi="Calibri" w:cs="Calibri"/>
          <w:spacing w:val="-2"/>
          <w:w w:val="105"/>
        </w:rPr>
        <w:t>employers</w:t>
      </w:r>
      <w:r w:rsidRPr="00DD7BD1">
        <w:rPr>
          <w:rFonts w:ascii="Calibri" w:hAnsi="Calibri" w:cs="Calibri"/>
          <w:spacing w:val="-10"/>
          <w:w w:val="105"/>
        </w:rPr>
        <w:t xml:space="preserve"> </w:t>
      </w:r>
      <w:r w:rsidRPr="00DD7BD1">
        <w:rPr>
          <w:rFonts w:ascii="Calibri" w:hAnsi="Calibri" w:cs="Calibri"/>
          <w:spacing w:val="-2"/>
          <w:w w:val="105"/>
        </w:rPr>
        <w:t>must</w:t>
      </w:r>
      <w:r w:rsidRPr="00DD7BD1">
        <w:rPr>
          <w:rFonts w:ascii="Calibri" w:hAnsi="Calibri" w:cs="Calibri"/>
          <w:spacing w:val="-12"/>
          <w:w w:val="105"/>
        </w:rPr>
        <w:t xml:space="preserve"> </w:t>
      </w:r>
      <w:r w:rsidRPr="00DD7BD1">
        <w:rPr>
          <w:rFonts w:ascii="Calibri" w:hAnsi="Calibri" w:cs="Calibri"/>
          <w:spacing w:val="-2"/>
          <w:w w:val="105"/>
        </w:rPr>
        <w:t>inform</w:t>
      </w:r>
      <w:r w:rsidRPr="00DD7BD1">
        <w:rPr>
          <w:rFonts w:ascii="Calibri" w:hAnsi="Calibri" w:cs="Calibri"/>
          <w:spacing w:val="-11"/>
          <w:w w:val="105"/>
        </w:rPr>
        <w:t xml:space="preserve"> </w:t>
      </w:r>
      <w:r w:rsidRPr="00DD7BD1">
        <w:rPr>
          <w:rFonts w:ascii="Calibri" w:hAnsi="Calibri" w:cs="Calibri"/>
          <w:spacing w:val="-2"/>
          <w:w w:val="105"/>
        </w:rPr>
        <w:t>employees</w:t>
      </w:r>
      <w:r w:rsidRPr="00DD7BD1">
        <w:rPr>
          <w:rFonts w:ascii="Calibri" w:hAnsi="Calibri" w:cs="Calibri"/>
          <w:spacing w:val="-4"/>
          <w:w w:val="105"/>
        </w:rPr>
        <w:t xml:space="preserve"> </w:t>
      </w:r>
      <w:r w:rsidRPr="00DD7BD1">
        <w:rPr>
          <w:rFonts w:ascii="Calibri" w:hAnsi="Calibri" w:cs="Calibri"/>
          <w:b/>
          <w:spacing w:val="-2"/>
          <w:w w:val="105"/>
        </w:rPr>
        <w:t>if</w:t>
      </w:r>
      <w:r w:rsidRPr="00DD7BD1">
        <w:rPr>
          <w:rFonts w:ascii="Calibri" w:hAnsi="Calibri" w:cs="Calibri"/>
          <w:b/>
          <w:spacing w:val="-9"/>
          <w:w w:val="105"/>
        </w:rPr>
        <w:t xml:space="preserve"> </w:t>
      </w:r>
      <w:r w:rsidRPr="00DD7BD1">
        <w:rPr>
          <w:rFonts w:ascii="Calibri" w:hAnsi="Calibri" w:cs="Calibri"/>
          <w:b/>
          <w:spacing w:val="-2"/>
          <w:w w:val="105"/>
        </w:rPr>
        <w:t>an</w:t>
      </w:r>
      <w:r w:rsidRPr="00DD7BD1">
        <w:rPr>
          <w:rFonts w:ascii="Calibri" w:hAnsi="Calibri" w:cs="Calibri"/>
          <w:b/>
          <w:spacing w:val="-8"/>
          <w:w w:val="105"/>
        </w:rPr>
        <w:t xml:space="preserve"> </w:t>
      </w:r>
      <w:r w:rsidRPr="00DD7BD1">
        <w:rPr>
          <w:rFonts w:ascii="Calibri" w:hAnsi="Calibri" w:cs="Calibri"/>
          <w:b/>
          <w:spacing w:val="-2"/>
          <w:w w:val="105"/>
        </w:rPr>
        <w:t>existing</w:t>
      </w:r>
      <w:r w:rsidRPr="00DD7BD1">
        <w:rPr>
          <w:rFonts w:ascii="Calibri" w:hAnsi="Calibri" w:cs="Calibri"/>
          <w:b/>
          <w:spacing w:val="-10"/>
          <w:w w:val="105"/>
        </w:rPr>
        <w:t xml:space="preserve"> </w:t>
      </w:r>
      <w:r w:rsidRPr="00DD7BD1">
        <w:rPr>
          <w:rFonts w:ascii="Calibri" w:hAnsi="Calibri" w:cs="Calibri"/>
          <w:b/>
          <w:spacing w:val="-2"/>
          <w:w w:val="105"/>
        </w:rPr>
        <w:t>paid</w:t>
      </w:r>
      <w:r w:rsidRPr="00DD7BD1">
        <w:rPr>
          <w:rFonts w:ascii="Calibri" w:hAnsi="Calibri" w:cs="Calibri"/>
          <w:b/>
          <w:spacing w:val="-8"/>
          <w:w w:val="105"/>
        </w:rPr>
        <w:t xml:space="preserve"> </w:t>
      </w:r>
      <w:r w:rsidRPr="00DD7BD1">
        <w:rPr>
          <w:rFonts w:ascii="Calibri" w:hAnsi="Calibri" w:cs="Calibri"/>
          <w:b/>
          <w:spacing w:val="-2"/>
          <w:w w:val="105"/>
        </w:rPr>
        <w:t>leave</w:t>
      </w:r>
      <w:r w:rsidRPr="00DD7BD1">
        <w:rPr>
          <w:rFonts w:ascii="Calibri" w:hAnsi="Calibri" w:cs="Calibri"/>
          <w:b/>
          <w:spacing w:val="-10"/>
          <w:w w:val="105"/>
        </w:rPr>
        <w:t xml:space="preserve"> </w:t>
      </w:r>
      <w:r w:rsidRPr="00DD7BD1">
        <w:rPr>
          <w:rFonts w:ascii="Calibri" w:hAnsi="Calibri" w:cs="Calibri"/>
          <w:b/>
          <w:spacing w:val="-2"/>
          <w:w w:val="105"/>
        </w:rPr>
        <w:t>policy</w:t>
      </w:r>
      <w:r w:rsidRPr="00DD7BD1">
        <w:rPr>
          <w:rFonts w:ascii="Calibri" w:hAnsi="Calibri" w:cs="Calibri"/>
          <w:b/>
          <w:spacing w:val="-9"/>
          <w:w w:val="105"/>
        </w:rPr>
        <w:t xml:space="preserve"> </w:t>
      </w:r>
      <w:r w:rsidRPr="00DD7BD1">
        <w:rPr>
          <w:rFonts w:ascii="Calibri" w:hAnsi="Calibri" w:cs="Calibri"/>
          <w:b/>
          <w:spacing w:val="-2"/>
          <w:w w:val="105"/>
        </w:rPr>
        <w:t>will</w:t>
      </w:r>
      <w:r w:rsidRPr="00DD7BD1">
        <w:rPr>
          <w:rFonts w:ascii="Calibri" w:hAnsi="Calibri" w:cs="Calibri"/>
          <w:b/>
          <w:spacing w:val="-9"/>
          <w:w w:val="105"/>
        </w:rPr>
        <w:t xml:space="preserve"> </w:t>
      </w:r>
      <w:r w:rsidRPr="00DD7BD1">
        <w:rPr>
          <w:rFonts w:ascii="Calibri" w:hAnsi="Calibri" w:cs="Calibri"/>
          <w:b/>
          <w:spacing w:val="-2"/>
          <w:w w:val="105"/>
        </w:rPr>
        <w:t>be</w:t>
      </w:r>
      <w:r w:rsidRPr="00DD7BD1">
        <w:rPr>
          <w:rFonts w:ascii="Calibri" w:hAnsi="Calibri" w:cs="Calibri"/>
          <w:b/>
          <w:spacing w:val="-10"/>
          <w:w w:val="105"/>
        </w:rPr>
        <w:t xml:space="preserve"> </w:t>
      </w:r>
      <w:r w:rsidRPr="00DD7BD1">
        <w:rPr>
          <w:rFonts w:ascii="Calibri" w:hAnsi="Calibri" w:cs="Calibri"/>
          <w:b/>
          <w:spacing w:val="-2"/>
          <w:w w:val="105"/>
        </w:rPr>
        <w:t>used</w:t>
      </w:r>
      <w:r w:rsidRPr="00DD7BD1">
        <w:rPr>
          <w:rFonts w:ascii="Calibri" w:hAnsi="Calibri" w:cs="Calibri"/>
          <w:b/>
          <w:spacing w:val="-8"/>
          <w:w w:val="105"/>
        </w:rPr>
        <w:t xml:space="preserve"> </w:t>
      </w:r>
      <w:r w:rsidRPr="00DD7BD1">
        <w:rPr>
          <w:rFonts w:ascii="Calibri" w:hAnsi="Calibri" w:cs="Calibri"/>
          <w:b/>
          <w:spacing w:val="-2"/>
          <w:w w:val="105"/>
        </w:rPr>
        <w:t>to</w:t>
      </w:r>
      <w:r w:rsidRPr="00DD7BD1">
        <w:rPr>
          <w:rFonts w:ascii="Calibri" w:hAnsi="Calibri" w:cs="Calibri"/>
          <w:b/>
          <w:spacing w:val="-9"/>
          <w:w w:val="105"/>
        </w:rPr>
        <w:t xml:space="preserve"> </w:t>
      </w:r>
      <w:r w:rsidRPr="00DD7BD1">
        <w:rPr>
          <w:rFonts w:ascii="Calibri" w:hAnsi="Calibri" w:cs="Calibri"/>
          <w:b/>
          <w:spacing w:val="-2"/>
          <w:w w:val="105"/>
        </w:rPr>
        <w:t>satisfy</w:t>
      </w:r>
      <w:r w:rsidRPr="00DD7BD1">
        <w:rPr>
          <w:rFonts w:ascii="Calibri" w:hAnsi="Calibri" w:cs="Calibri"/>
          <w:b/>
          <w:spacing w:val="-9"/>
          <w:w w:val="105"/>
        </w:rPr>
        <w:t xml:space="preserve"> </w:t>
      </w:r>
      <w:r w:rsidRPr="00DD7BD1">
        <w:rPr>
          <w:rFonts w:ascii="Calibri" w:hAnsi="Calibri" w:cs="Calibri"/>
          <w:b/>
          <w:spacing w:val="-2"/>
          <w:w w:val="105"/>
        </w:rPr>
        <w:t>PSL obligations</w:t>
      </w:r>
      <w:r w:rsidRPr="00DD7BD1">
        <w:rPr>
          <w:rFonts w:ascii="Calibri" w:hAnsi="Calibri" w:cs="Calibri"/>
          <w:spacing w:val="-2"/>
          <w:w w:val="105"/>
        </w:rPr>
        <w:t>.</w:t>
      </w:r>
    </w:p>
    <w:p w14:paraId="2D1A457E"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Second,</w:t>
      </w:r>
      <w:r w:rsidRPr="00DD7BD1">
        <w:rPr>
          <w:rFonts w:ascii="Calibri" w:hAnsi="Calibri" w:cs="Calibri"/>
          <w:spacing w:val="-13"/>
          <w:w w:val="105"/>
        </w:rPr>
        <w:t xml:space="preserve"> </w:t>
      </w:r>
      <w:r w:rsidRPr="00DD7BD1">
        <w:rPr>
          <w:rFonts w:ascii="Calibri" w:hAnsi="Calibri" w:cs="Calibri"/>
          <w:w w:val="105"/>
        </w:rPr>
        <w:t>employers</w:t>
      </w:r>
      <w:r w:rsidRPr="00DD7BD1">
        <w:rPr>
          <w:rFonts w:ascii="Calibri" w:hAnsi="Calibri" w:cs="Calibri"/>
          <w:spacing w:val="-12"/>
          <w:w w:val="105"/>
        </w:rPr>
        <w:t xml:space="preserve"> </w:t>
      </w:r>
      <w:r w:rsidRPr="00DD7BD1">
        <w:rPr>
          <w:rFonts w:ascii="Calibri" w:hAnsi="Calibri" w:cs="Calibri"/>
          <w:w w:val="105"/>
        </w:rPr>
        <w:t>must</w:t>
      </w:r>
      <w:r w:rsidRPr="00DD7BD1">
        <w:rPr>
          <w:rFonts w:ascii="Calibri" w:hAnsi="Calibri" w:cs="Calibri"/>
          <w:spacing w:val="-14"/>
          <w:w w:val="105"/>
        </w:rPr>
        <w:t xml:space="preserve"> </w:t>
      </w:r>
      <w:r w:rsidRPr="00DD7BD1">
        <w:rPr>
          <w:rFonts w:ascii="Calibri" w:hAnsi="Calibri" w:cs="Calibri"/>
          <w:w w:val="105"/>
        </w:rPr>
        <w:t>inform</w:t>
      </w:r>
      <w:r w:rsidRPr="00DD7BD1">
        <w:rPr>
          <w:rFonts w:ascii="Calibri" w:hAnsi="Calibri" w:cs="Calibri"/>
          <w:spacing w:val="-9"/>
          <w:w w:val="105"/>
        </w:rPr>
        <w:t xml:space="preserve"> </w:t>
      </w:r>
      <w:r w:rsidRPr="00DD7BD1">
        <w:rPr>
          <w:rFonts w:ascii="Calibri" w:hAnsi="Calibri" w:cs="Calibri"/>
          <w:w w:val="105"/>
        </w:rPr>
        <w:t>employees</w:t>
      </w:r>
      <w:r w:rsidRPr="00DD7BD1">
        <w:rPr>
          <w:rFonts w:ascii="Calibri" w:hAnsi="Calibri" w:cs="Calibri"/>
          <w:spacing w:val="-12"/>
          <w:w w:val="105"/>
        </w:rPr>
        <w:t xml:space="preserve"> </w:t>
      </w:r>
      <w:r w:rsidRPr="00DD7BD1">
        <w:rPr>
          <w:rFonts w:ascii="Calibri" w:hAnsi="Calibri" w:cs="Calibri"/>
          <w:w w:val="105"/>
        </w:rPr>
        <w:t>of</w:t>
      </w:r>
      <w:r w:rsidRPr="00DD7BD1">
        <w:rPr>
          <w:rFonts w:ascii="Calibri" w:hAnsi="Calibri" w:cs="Calibri"/>
          <w:spacing w:val="-5"/>
          <w:w w:val="105"/>
        </w:rPr>
        <w:t xml:space="preserve"> </w:t>
      </w:r>
      <w:r w:rsidRPr="00DD7BD1">
        <w:rPr>
          <w:rFonts w:ascii="Calibri" w:hAnsi="Calibri" w:cs="Calibri"/>
          <w:b/>
          <w:w w:val="105"/>
        </w:rPr>
        <w:t>any</w:t>
      </w:r>
      <w:r w:rsidRPr="00DD7BD1">
        <w:rPr>
          <w:rFonts w:ascii="Calibri" w:hAnsi="Calibri" w:cs="Calibri"/>
          <w:b/>
          <w:spacing w:val="-10"/>
          <w:w w:val="105"/>
        </w:rPr>
        <w:t xml:space="preserve"> </w:t>
      </w:r>
      <w:r w:rsidRPr="00DD7BD1">
        <w:rPr>
          <w:rFonts w:ascii="Calibri" w:hAnsi="Calibri" w:cs="Calibri"/>
          <w:b/>
          <w:w w:val="105"/>
        </w:rPr>
        <w:t>notice</w:t>
      </w:r>
      <w:r w:rsidRPr="00DD7BD1">
        <w:rPr>
          <w:rFonts w:ascii="Calibri" w:hAnsi="Calibri" w:cs="Calibri"/>
          <w:b/>
          <w:spacing w:val="-12"/>
          <w:w w:val="105"/>
        </w:rPr>
        <w:t xml:space="preserve"> </w:t>
      </w:r>
      <w:r w:rsidRPr="00DD7BD1">
        <w:rPr>
          <w:rFonts w:ascii="Calibri" w:hAnsi="Calibri" w:cs="Calibri"/>
          <w:b/>
          <w:w w:val="105"/>
        </w:rPr>
        <w:t>or</w:t>
      </w:r>
      <w:r w:rsidRPr="00DD7BD1">
        <w:rPr>
          <w:rFonts w:ascii="Calibri" w:hAnsi="Calibri" w:cs="Calibri"/>
          <w:b/>
          <w:spacing w:val="-12"/>
          <w:w w:val="105"/>
        </w:rPr>
        <w:t xml:space="preserve"> </w:t>
      </w:r>
      <w:r w:rsidRPr="00DD7BD1">
        <w:rPr>
          <w:rFonts w:ascii="Calibri" w:hAnsi="Calibri" w:cs="Calibri"/>
          <w:b/>
          <w:w w:val="105"/>
        </w:rPr>
        <w:t>verification</w:t>
      </w:r>
      <w:r w:rsidRPr="00DD7BD1">
        <w:rPr>
          <w:rFonts w:ascii="Calibri" w:hAnsi="Calibri" w:cs="Calibri"/>
          <w:b/>
          <w:spacing w:val="-12"/>
          <w:w w:val="105"/>
        </w:rPr>
        <w:t xml:space="preserve"> </w:t>
      </w:r>
      <w:r w:rsidRPr="00DD7BD1">
        <w:rPr>
          <w:rFonts w:ascii="Calibri" w:hAnsi="Calibri" w:cs="Calibri"/>
          <w:b/>
          <w:spacing w:val="-2"/>
          <w:w w:val="105"/>
        </w:rPr>
        <w:t>requirements</w:t>
      </w:r>
      <w:r w:rsidRPr="00DD7BD1">
        <w:rPr>
          <w:rFonts w:ascii="Calibri" w:hAnsi="Calibri" w:cs="Calibri"/>
          <w:spacing w:val="-2"/>
          <w:w w:val="105"/>
        </w:rPr>
        <w:t>.</w:t>
      </w:r>
    </w:p>
    <w:p w14:paraId="63E8BE60" w14:textId="77777777" w:rsidR="00E43496" w:rsidRPr="00DD7BD1" w:rsidRDefault="00E43496" w:rsidP="00E43496">
      <w:pPr>
        <w:pStyle w:val="BodyText"/>
        <w:spacing w:after="0" w:line="240" w:lineRule="auto"/>
        <w:ind w:right="729"/>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4"/>
          <w:w w:val="110"/>
          <w:szCs w:val="22"/>
        </w:rPr>
        <w:t xml:space="preserve"> </w:t>
      </w:r>
      <w:r w:rsidRPr="00DD7BD1">
        <w:rPr>
          <w:rFonts w:cs="Calibri"/>
          <w:color w:val="auto"/>
          <w:w w:val="110"/>
          <w:szCs w:val="22"/>
        </w:rPr>
        <w:t>expand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methods</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notice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employees. Acceptable methods will now include:</w:t>
      </w:r>
    </w:p>
    <w:p w14:paraId="72DC4D47"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A</w:t>
      </w:r>
      <w:r w:rsidRPr="00DD7BD1">
        <w:rPr>
          <w:rFonts w:ascii="Calibri" w:hAnsi="Calibri" w:cs="Calibri"/>
          <w:spacing w:val="3"/>
          <w:w w:val="105"/>
        </w:rPr>
        <w:t xml:space="preserve"> </w:t>
      </w:r>
      <w:r w:rsidRPr="00DD7BD1">
        <w:rPr>
          <w:rFonts w:ascii="Calibri" w:hAnsi="Calibri" w:cs="Calibri"/>
          <w:w w:val="105"/>
        </w:rPr>
        <w:t>written</w:t>
      </w:r>
      <w:r w:rsidRPr="00DD7BD1">
        <w:rPr>
          <w:rFonts w:ascii="Calibri" w:hAnsi="Calibri" w:cs="Calibri"/>
          <w:spacing w:val="2"/>
          <w:w w:val="105"/>
        </w:rPr>
        <w:t xml:space="preserve"> </w:t>
      </w:r>
      <w:r w:rsidRPr="00DD7BD1">
        <w:rPr>
          <w:rFonts w:ascii="Calibri" w:hAnsi="Calibri" w:cs="Calibri"/>
          <w:w w:val="105"/>
        </w:rPr>
        <w:t>notice</w:t>
      </w:r>
      <w:r w:rsidRPr="00DD7BD1">
        <w:rPr>
          <w:rFonts w:ascii="Calibri" w:hAnsi="Calibri" w:cs="Calibri"/>
          <w:spacing w:val="1"/>
          <w:w w:val="105"/>
        </w:rPr>
        <w:t xml:space="preserve"> </w:t>
      </w:r>
      <w:r w:rsidRPr="00DD7BD1">
        <w:rPr>
          <w:rFonts w:ascii="Calibri" w:hAnsi="Calibri" w:cs="Calibri"/>
          <w:w w:val="105"/>
        </w:rPr>
        <w:t>given</w:t>
      </w:r>
      <w:r w:rsidRPr="00DD7BD1">
        <w:rPr>
          <w:rFonts w:ascii="Calibri" w:hAnsi="Calibri" w:cs="Calibri"/>
          <w:spacing w:val="3"/>
          <w:w w:val="105"/>
        </w:rPr>
        <w:t xml:space="preserve"> </w:t>
      </w:r>
      <w:r w:rsidRPr="00DD7BD1">
        <w:rPr>
          <w:rFonts w:ascii="Calibri" w:hAnsi="Calibri" w:cs="Calibri"/>
          <w:w w:val="105"/>
        </w:rPr>
        <w:t>to</w:t>
      </w:r>
      <w:r w:rsidRPr="00DD7BD1">
        <w:rPr>
          <w:rFonts w:ascii="Calibri" w:hAnsi="Calibri" w:cs="Calibri"/>
          <w:spacing w:val="-1"/>
          <w:w w:val="105"/>
        </w:rPr>
        <w:t xml:space="preserve"> </w:t>
      </w:r>
      <w:r w:rsidRPr="00DD7BD1">
        <w:rPr>
          <w:rFonts w:ascii="Calibri" w:hAnsi="Calibri" w:cs="Calibri"/>
          <w:w w:val="105"/>
        </w:rPr>
        <w:t>each</w:t>
      </w:r>
      <w:r w:rsidRPr="00DD7BD1">
        <w:rPr>
          <w:rFonts w:ascii="Calibri" w:hAnsi="Calibri" w:cs="Calibri"/>
          <w:spacing w:val="3"/>
          <w:w w:val="105"/>
        </w:rPr>
        <w:t xml:space="preserve"> </w:t>
      </w:r>
      <w:r w:rsidRPr="00DD7BD1">
        <w:rPr>
          <w:rFonts w:ascii="Calibri" w:hAnsi="Calibri" w:cs="Calibri"/>
          <w:w w:val="105"/>
        </w:rPr>
        <w:t>employee</w:t>
      </w:r>
      <w:r w:rsidRPr="00DD7BD1">
        <w:rPr>
          <w:rFonts w:ascii="Calibri" w:hAnsi="Calibri" w:cs="Calibri"/>
          <w:spacing w:val="4"/>
          <w:w w:val="105"/>
        </w:rPr>
        <w:t xml:space="preserve"> </w:t>
      </w:r>
      <w:r w:rsidRPr="00DD7BD1">
        <w:rPr>
          <w:rFonts w:ascii="Calibri" w:hAnsi="Calibri" w:cs="Calibri"/>
          <w:w w:val="105"/>
        </w:rPr>
        <w:t>by</w:t>
      </w:r>
      <w:r w:rsidRPr="00DD7BD1">
        <w:rPr>
          <w:rFonts w:ascii="Calibri" w:hAnsi="Calibri" w:cs="Calibri"/>
          <w:spacing w:val="3"/>
          <w:w w:val="105"/>
        </w:rPr>
        <w:t xml:space="preserve"> </w:t>
      </w:r>
      <w:r w:rsidRPr="00DD7BD1">
        <w:rPr>
          <w:rFonts w:ascii="Calibri" w:hAnsi="Calibri" w:cs="Calibri"/>
          <w:w w:val="105"/>
        </w:rPr>
        <w:t>mail,</w:t>
      </w:r>
      <w:r w:rsidRPr="00DD7BD1">
        <w:rPr>
          <w:rFonts w:ascii="Calibri" w:hAnsi="Calibri" w:cs="Calibri"/>
          <w:spacing w:val="3"/>
          <w:w w:val="105"/>
        </w:rPr>
        <w:t xml:space="preserve"> </w:t>
      </w:r>
      <w:r w:rsidRPr="00DD7BD1">
        <w:rPr>
          <w:rFonts w:ascii="Calibri" w:hAnsi="Calibri" w:cs="Calibri"/>
          <w:w w:val="105"/>
        </w:rPr>
        <w:t>email,</w:t>
      </w:r>
      <w:r w:rsidRPr="00DD7BD1">
        <w:rPr>
          <w:rFonts w:ascii="Calibri" w:hAnsi="Calibri" w:cs="Calibri"/>
          <w:spacing w:val="4"/>
          <w:w w:val="105"/>
        </w:rPr>
        <w:t xml:space="preserve"> </w:t>
      </w:r>
      <w:r w:rsidRPr="00DD7BD1">
        <w:rPr>
          <w:rFonts w:ascii="Calibri" w:hAnsi="Calibri" w:cs="Calibri"/>
          <w:w w:val="105"/>
        </w:rPr>
        <w:t>or</w:t>
      </w:r>
      <w:r w:rsidRPr="00DD7BD1">
        <w:rPr>
          <w:rFonts w:ascii="Calibri" w:hAnsi="Calibri" w:cs="Calibri"/>
          <w:spacing w:val="3"/>
          <w:w w:val="105"/>
        </w:rPr>
        <w:t xml:space="preserve"> </w:t>
      </w:r>
      <w:r w:rsidRPr="00DD7BD1">
        <w:rPr>
          <w:rFonts w:ascii="Calibri" w:hAnsi="Calibri" w:cs="Calibri"/>
          <w:w w:val="105"/>
        </w:rPr>
        <w:t>attached</w:t>
      </w:r>
      <w:r w:rsidRPr="00DD7BD1">
        <w:rPr>
          <w:rFonts w:ascii="Calibri" w:hAnsi="Calibri" w:cs="Calibri"/>
          <w:spacing w:val="5"/>
          <w:w w:val="105"/>
        </w:rPr>
        <w:t xml:space="preserve"> </w:t>
      </w:r>
      <w:r w:rsidRPr="00DD7BD1">
        <w:rPr>
          <w:rFonts w:ascii="Calibri" w:hAnsi="Calibri" w:cs="Calibri"/>
          <w:w w:val="105"/>
        </w:rPr>
        <w:t>to</w:t>
      </w:r>
      <w:r w:rsidRPr="00DD7BD1">
        <w:rPr>
          <w:rFonts w:ascii="Calibri" w:hAnsi="Calibri" w:cs="Calibri"/>
          <w:spacing w:val="5"/>
          <w:w w:val="105"/>
        </w:rPr>
        <w:t xml:space="preserve"> </w:t>
      </w:r>
      <w:r w:rsidRPr="00DD7BD1">
        <w:rPr>
          <w:rFonts w:ascii="Calibri" w:hAnsi="Calibri" w:cs="Calibri"/>
          <w:w w:val="105"/>
        </w:rPr>
        <w:t>their</w:t>
      </w:r>
      <w:r w:rsidRPr="00DD7BD1">
        <w:rPr>
          <w:rFonts w:ascii="Calibri" w:hAnsi="Calibri" w:cs="Calibri"/>
          <w:spacing w:val="1"/>
          <w:w w:val="105"/>
        </w:rPr>
        <w:t xml:space="preserve"> </w:t>
      </w:r>
      <w:r w:rsidRPr="00DD7BD1">
        <w:rPr>
          <w:rFonts w:ascii="Calibri" w:hAnsi="Calibri" w:cs="Calibri"/>
          <w:spacing w:val="-2"/>
          <w:w w:val="105"/>
        </w:rPr>
        <w:t>paycheck</w:t>
      </w:r>
    </w:p>
    <w:p w14:paraId="646CDBBE" w14:textId="6FF07109"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spacing w:val="-2"/>
          <w:w w:val="110"/>
        </w:rPr>
        <w:t>A</w:t>
      </w:r>
      <w:r w:rsidRPr="00DD7BD1">
        <w:rPr>
          <w:rFonts w:ascii="Calibri" w:hAnsi="Calibri" w:cs="Calibri"/>
          <w:spacing w:val="-8"/>
          <w:w w:val="110"/>
        </w:rPr>
        <w:t xml:space="preserve"> </w:t>
      </w:r>
      <w:r w:rsidRPr="00DD7BD1">
        <w:rPr>
          <w:rFonts w:ascii="Calibri" w:hAnsi="Calibri" w:cs="Calibri"/>
          <w:spacing w:val="-2"/>
          <w:w w:val="110"/>
        </w:rPr>
        <w:t>posting</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7"/>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written</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6"/>
          <w:w w:val="110"/>
        </w:rPr>
        <w:t xml:space="preserve"> </w:t>
      </w:r>
      <w:r w:rsidRPr="00DD7BD1">
        <w:rPr>
          <w:rFonts w:ascii="Calibri" w:hAnsi="Calibri" w:cs="Calibri"/>
          <w:spacing w:val="-2"/>
          <w:w w:val="110"/>
        </w:rPr>
        <w:t>in</w:t>
      </w:r>
      <w:r w:rsidRPr="00DD7BD1">
        <w:rPr>
          <w:rFonts w:ascii="Calibri" w:hAnsi="Calibri" w:cs="Calibri"/>
          <w:spacing w:val="-6"/>
          <w:w w:val="110"/>
        </w:rPr>
        <w:t xml:space="preserve"> </w:t>
      </w:r>
      <w:r w:rsidRPr="00DD7BD1">
        <w:rPr>
          <w:rFonts w:ascii="Calibri" w:hAnsi="Calibri" w:cs="Calibri"/>
          <w:spacing w:val="-2"/>
          <w:w w:val="110"/>
        </w:rPr>
        <w:t>a</w:t>
      </w:r>
      <w:r w:rsidRPr="00DD7BD1">
        <w:rPr>
          <w:rFonts w:ascii="Calibri" w:hAnsi="Calibri" w:cs="Calibri"/>
          <w:spacing w:val="-7"/>
          <w:w w:val="110"/>
        </w:rPr>
        <w:t xml:space="preserve"> </w:t>
      </w:r>
      <w:r w:rsidRPr="00DD7BD1">
        <w:rPr>
          <w:rFonts w:ascii="Calibri" w:hAnsi="Calibri" w:cs="Calibri"/>
          <w:spacing w:val="-2"/>
          <w:w w:val="110"/>
        </w:rPr>
        <w:t>conspicuous</w:t>
      </w:r>
      <w:r w:rsidRPr="00DD7BD1">
        <w:rPr>
          <w:rFonts w:ascii="Calibri" w:hAnsi="Calibri" w:cs="Calibri"/>
          <w:spacing w:val="-9"/>
          <w:w w:val="110"/>
        </w:rPr>
        <w:t xml:space="preserve"> </w:t>
      </w:r>
      <w:r w:rsidRPr="00DD7BD1">
        <w:rPr>
          <w:rFonts w:ascii="Calibri" w:hAnsi="Calibri" w:cs="Calibri"/>
          <w:spacing w:val="-2"/>
          <w:w w:val="110"/>
        </w:rPr>
        <w:t>workplace</w:t>
      </w:r>
      <w:r w:rsidRPr="00DD7BD1">
        <w:rPr>
          <w:rFonts w:ascii="Calibri" w:hAnsi="Calibri" w:cs="Calibri"/>
          <w:spacing w:val="-7"/>
          <w:w w:val="110"/>
        </w:rPr>
        <w:t xml:space="preserve"> </w:t>
      </w:r>
      <w:r w:rsidRPr="00DD7BD1">
        <w:rPr>
          <w:rFonts w:ascii="Calibri" w:hAnsi="Calibri" w:cs="Calibri"/>
          <w:spacing w:val="-2"/>
          <w:w w:val="110"/>
        </w:rPr>
        <w:t>location</w:t>
      </w:r>
    </w:p>
    <w:p w14:paraId="42C1AFBE" w14:textId="77777777" w:rsidR="00E43496" w:rsidRPr="00DD7BD1" w:rsidRDefault="00E43496" w:rsidP="00E43496">
      <w:pPr>
        <w:pStyle w:val="ListParagraph"/>
        <w:widowControl w:val="0"/>
        <w:tabs>
          <w:tab w:val="left" w:pos="1079"/>
        </w:tabs>
        <w:autoSpaceDE w:val="0"/>
        <w:autoSpaceDN w:val="0"/>
        <w:spacing w:after="0" w:line="240" w:lineRule="auto"/>
        <w:ind w:left="1079"/>
        <w:contextualSpacing w:val="0"/>
        <w:rPr>
          <w:rFonts w:ascii="Calibri" w:hAnsi="Calibri" w:cs="Calibri"/>
        </w:rPr>
      </w:pPr>
    </w:p>
    <w:p w14:paraId="5573B96A" w14:textId="7F867614" w:rsidR="008631FB" w:rsidRPr="00DD7BD1" w:rsidRDefault="008631FB" w:rsidP="008631F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Captive Audience Ban – </w:t>
      </w:r>
      <w:r w:rsidRPr="00DD7BD1">
        <w:rPr>
          <w:rFonts w:ascii="Calibri" w:hAnsi="Calibri" w:cs="Calibri"/>
          <w:b/>
          <w:bCs/>
          <w:color w:val="C00000"/>
          <w:sz w:val="28"/>
          <w:szCs w:val="28"/>
          <w:shd w:val="clear" w:color="auto" w:fill="FFFFFF"/>
          <w:lang w:val="en"/>
        </w:rPr>
        <w:t>Eff July 1, 2025</w:t>
      </w:r>
    </w:p>
    <w:p w14:paraId="48288664" w14:textId="63614FA0"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Employers will be prohibited from taking—or threatening to take—adverse action against an employee for not attending an employer-sponsored meeting if its primary purpose is to share the employer’s opinion on </w:t>
      </w:r>
      <w:r w:rsidRPr="00DD7BD1">
        <w:rPr>
          <w:rFonts w:ascii="Calibri" w:hAnsi="Calibri" w:cs="Calibri"/>
          <w:i/>
          <w:iCs/>
          <w:shd w:val="clear" w:color="auto" w:fill="FFFFFF"/>
        </w:rPr>
        <w:t>religious</w:t>
      </w:r>
      <w:r w:rsidRPr="00DD7BD1">
        <w:rPr>
          <w:rFonts w:ascii="Calibri" w:hAnsi="Calibri" w:cs="Calibri"/>
          <w:shd w:val="clear" w:color="auto" w:fill="FFFFFF"/>
        </w:rPr>
        <w:t> or </w:t>
      </w:r>
      <w:r w:rsidRPr="00DD7BD1">
        <w:rPr>
          <w:rFonts w:ascii="Calibri" w:hAnsi="Calibri" w:cs="Calibri"/>
          <w:i/>
          <w:iCs/>
          <w:shd w:val="clear" w:color="auto" w:fill="FFFFFF"/>
        </w:rPr>
        <w:t>political matters</w:t>
      </w:r>
      <w:r w:rsidRPr="00DD7BD1">
        <w:rPr>
          <w:rFonts w:ascii="Calibri" w:hAnsi="Calibri" w:cs="Calibri"/>
          <w:shd w:val="clear" w:color="auto" w:fill="FFFFFF"/>
        </w:rPr>
        <w:t xml:space="preserve">. The same applies to listening to employer communications for this purpose. </w:t>
      </w:r>
    </w:p>
    <w:p w14:paraId="55B87E66" w14:textId="77777777"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defines matters as </w:t>
      </w:r>
      <w:r w:rsidRPr="00DD7BD1">
        <w:rPr>
          <w:rFonts w:ascii="Calibri" w:hAnsi="Calibri" w:cs="Calibri"/>
          <w:b/>
          <w:bCs/>
          <w:i/>
          <w:iCs/>
          <w:shd w:val="clear" w:color="auto" w:fill="FFFFFF"/>
        </w:rPr>
        <w:t>religious </w:t>
      </w:r>
      <w:r w:rsidRPr="00DD7BD1">
        <w:rPr>
          <w:rFonts w:ascii="Calibri" w:hAnsi="Calibri" w:cs="Calibri"/>
          <w:shd w:val="clear" w:color="auto" w:fill="FFFFFF"/>
        </w:rPr>
        <w:t>if they relate to religious affiliation and practice and the decision to join or support any religious organization or institution. Matters are considered </w:t>
      </w:r>
      <w:r w:rsidRPr="00DD7BD1">
        <w:rPr>
          <w:rFonts w:ascii="Calibri" w:hAnsi="Calibri" w:cs="Calibri"/>
          <w:b/>
          <w:bCs/>
          <w:i/>
          <w:iCs/>
          <w:shd w:val="clear" w:color="auto" w:fill="FFFFFF"/>
        </w:rPr>
        <w:t>political</w:t>
      </w:r>
      <w:r w:rsidRPr="00DD7BD1">
        <w:rPr>
          <w:rFonts w:ascii="Calibri" w:hAnsi="Calibri" w:cs="Calibri"/>
          <w:b/>
          <w:bCs/>
          <w:shd w:val="clear" w:color="auto" w:fill="FFFFFF"/>
        </w:rPr>
        <w:t> </w:t>
      </w:r>
      <w:r w:rsidRPr="00DD7BD1">
        <w:rPr>
          <w:rFonts w:ascii="Calibri" w:hAnsi="Calibri" w:cs="Calibri"/>
          <w:shd w:val="clear" w:color="auto" w:fill="FFFFFF"/>
        </w:rPr>
        <w:t>if they relate to any of the following:</w:t>
      </w:r>
    </w:p>
    <w:p w14:paraId="21D5E141"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Elections for political office, parties, and candidates</w:t>
      </w:r>
    </w:p>
    <w:p w14:paraId="252F380E"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Proposed legislation or regulations</w:t>
      </w:r>
    </w:p>
    <w:p w14:paraId="7DA4BB63" w14:textId="39AE00CB"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The decision to join or support any political party or political, civic, community, fraternal, or labor organization</w:t>
      </w:r>
    </w:p>
    <w:p w14:paraId="5F5414A0" w14:textId="647F907A"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DD7BD1" w:rsidRDefault="008631FB" w:rsidP="008631FB">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Allow employees to opt out of any meeting or communication covered by this law and make sure supervisors understand the prohibition.</w:t>
      </w:r>
    </w:p>
    <w:p w14:paraId="0AD1A6EB" w14:textId="18F52163" w:rsidR="00B87E5E" w:rsidRPr="00DD7BD1" w:rsidRDefault="00B87E5E" w:rsidP="00B87E5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&amp; Exempt Salary Threshold </w:t>
      </w:r>
      <w:r w:rsidRPr="00DD7BD1">
        <w:rPr>
          <w:rFonts w:ascii="Calibri" w:hAnsi="Calibri" w:cs="Calibri"/>
          <w:b/>
          <w:bCs/>
          <w:color w:val="C00000"/>
          <w:sz w:val="28"/>
          <w:szCs w:val="28"/>
          <w:shd w:val="clear" w:color="auto" w:fill="FFFFFF"/>
          <w:lang w:val="en"/>
        </w:rPr>
        <w:t>– Eff July 1, 2025</w:t>
      </w:r>
    </w:p>
    <w:p w14:paraId="27FD4B95" w14:textId="77777777"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The updated minimum wage and minimum salary for exempt executive, administrative, and professional (EAP) employees will increase as follows:</w:t>
      </w:r>
    </w:p>
    <w:p w14:paraId="3B494E2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2025: $13 per hour and $1,040 per week for EAP employees</w:t>
      </w:r>
    </w:p>
    <w:p w14:paraId="0648CCE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2026: $14 per hour and $1,120 per week for EAP employees</w:t>
      </w:r>
    </w:p>
    <w:p w14:paraId="31EA3288"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2027: $15 per hour and $1,200 per week for EAP employees</w:t>
      </w:r>
    </w:p>
    <w:p w14:paraId="00A1591C" w14:textId="77777777" w:rsidR="00B87E5E" w:rsidRPr="00DD7BD1" w:rsidRDefault="00B87E5E" w:rsidP="00B87E5E">
      <w:pPr>
        <w:rPr>
          <w:rFonts w:ascii="Calibri" w:hAnsi="Calibri" w:cs="Calibri"/>
          <w:sz w:val="16"/>
          <w:szCs w:val="16"/>
          <w:shd w:val="clear" w:color="auto" w:fill="FFFFFF"/>
        </w:rPr>
      </w:pPr>
    </w:p>
    <w:p w14:paraId="12E58951" w14:textId="2EA5D7EE"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Starting on January 1, 2028, the minimum wage and minimum salary for exempt EAP employees will be adjusted annually based on inflation.</w:t>
      </w:r>
    </w:p>
    <w:p w14:paraId="24E2B8FD" w14:textId="2B5994A9" w:rsidR="00BB4530" w:rsidRPr="00DD7BD1" w:rsidRDefault="00BB4530" w:rsidP="00B87E5E">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Paick Sick Leave &amp; More Details – </w:t>
      </w:r>
      <w:r w:rsidRPr="00DD7BD1">
        <w:rPr>
          <w:rFonts w:ascii="Calibri" w:hAnsi="Calibri" w:cs="Calibri"/>
          <w:b/>
          <w:bCs/>
          <w:color w:val="C00000"/>
          <w:sz w:val="28"/>
          <w:szCs w:val="28"/>
          <w:shd w:val="clear" w:color="auto" w:fill="FFFFFF"/>
          <w:lang w:val="en"/>
        </w:rPr>
        <w:t>Eff July 1, 2025</w:t>
      </w:r>
    </w:p>
    <w:p w14:paraId="28DF7E0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In November 2024, Alaska voters approved a </w:t>
      </w:r>
      <w:hyperlink r:id="rId529" w:history="1">
        <w:r w:rsidRPr="00DD7BD1">
          <w:rPr>
            <w:rStyle w:val="Hyperlink"/>
            <w:rFonts w:ascii="Calibri" w:hAnsi="Calibri" w:cs="Calibri"/>
            <w:shd w:val="clear" w:color="auto" w:fill="FFFFFF"/>
          </w:rPr>
          <w:t>ballot measure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requiring employers to provide paid sick leave to their workers, effective July 1, 2025. The Alaska Department of Labor and Workforce Development has published </w:t>
      </w:r>
      <w:hyperlink r:id="rId530"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about the law, and it expects to issue regulations in the Spring of 2025.</w:t>
      </w:r>
    </w:p>
    <w:p w14:paraId="20F1B9C4" w14:textId="77777777" w:rsidR="00BB4530" w:rsidRPr="00DD7BD1" w:rsidRDefault="00BB4530" w:rsidP="00BB4530">
      <w:pPr>
        <w:spacing w:after="0" w:line="240" w:lineRule="auto"/>
        <w:rPr>
          <w:rFonts w:ascii="Calibri" w:hAnsi="Calibri" w:cs="Calibri"/>
          <w:b/>
          <w:bCs/>
          <w:shd w:val="clear" w:color="auto" w:fill="FFFFFF"/>
        </w:rPr>
      </w:pPr>
    </w:p>
    <w:p w14:paraId="74706007"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Overview</w:t>
      </w:r>
    </w:p>
    <w:p w14:paraId="1620E5DB" w14:textId="77777777" w:rsidR="00BB4530" w:rsidRPr="00DD7BD1" w:rsidRDefault="00BB4530" w:rsidP="00BB4530">
      <w:pPr>
        <w:spacing w:after="0" w:line="240" w:lineRule="auto"/>
        <w:rPr>
          <w:rFonts w:ascii="Calibri" w:hAnsi="Calibri" w:cs="Calibri"/>
          <w:b/>
          <w:bCs/>
          <w:color w:val="2E74B5" w:themeColor="accent5" w:themeShade="BF"/>
          <w:shd w:val="clear" w:color="auto" w:fill="FFFFFF"/>
        </w:rPr>
      </w:pPr>
      <w:r w:rsidRPr="00DD7BD1">
        <w:rPr>
          <w:rFonts w:ascii="Calibri" w:hAnsi="Calibri" w:cs="Calibri"/>
          <w:b/>
          <w:bCs/>
          <w:color w:val="2E74B5" w:themeColor="accent5" w:themeShade="BF"/>
          <w:shd w:val="clear" w:color="auto" w:fill="FFFFFF"/>
        </w:rPr>
        <w:t xml:space="preserve">Highlights of the Alaska paid sick leave law include the following: </w:t>
      </w:r>
    </w:p>
    <w:p w14:paraId="071EB909"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Employers must allow workers to accrue and use 40-56 hours of paid sick leave per year, depending on the employer’s size;</w:t>
      </w:r>
    </w:p>
    <w:p w14:paraId="40AD43C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Unused, accrued paid sick leave carries over to the following year;</w:t>
      </w:r>
    </w:p>
    <w:p w14:paraId="726631CD"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provide employees with written notice of the law;</w:t>
      </w:r>
    </w:p>
    <w:p w14:paraId="55918BAB"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require advance notice of leave and documentation supporting leave taken;</w:t>
      </w:r>
    </w:p>
    <w:p w14:paraId="4BA8053F"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existing leave policies may meet the requirements of the law;</w:t>
      </w:r>
    </w:p>
    <w:p w14:paraId="07DE31D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not retaliate against employees for taking leave, including counting paid sick leave as an absence under an absence control policy; and</w:t>
      </w:r>
    </w:p>
    <w:p w14:paraId="722A7A17"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who violate the law may be liable for back wages and damages.</w:t>
      </w:r>
    </w:p>
    <w:p w14:paraId="629AA9A8"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626B820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b/>
          <w:bCs/>
          <w:shd w:val="clear" w:color="auto" w:fill="FFFFFF"/>
        </w:rPr>
        <w:t>Covered Employers</w:t>
      </w:r>
    </w:p>
    <w:p w14:paraId="5168F567"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All employers in Alaska are required to provide paid sick leave.</w:t>
      </w:r>
    </w:p>
    <w:p w14:paraId="429B519A" w14:textId="77777777" w:rsidR="00BB4530" w:rsidRPr="00DD7BD1" w:rsidRDefault="00BB4530" w:rsidP="00BB4530">
      <w:pPr>
        <w:spacing w:after="0" w:line="240" w:lineRule="auto"/>
        <w:rPr>
          <w:rFonts w:ascii="Calibri" w:hAnsi="Calibri" w:cs="Calibri"/>
          <w:b/>
          <w:bCs/>
          <w:shd w:val="clear" w:color="auto" w:fill="FFFFFF"/>
        </w:rPr>
      </w:pPr>
    </w:p>
    <w:p w14:paraId="5B964AF9"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2FC71DF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Minors under 18 who work less than 30 hours per week. (If the minor works more than 30 </w:t>
            </w:r>
            <w:proofErr w:type="gramStart"/>
            <w:r w:rsidRPr="00DD7BD1">
              <w:rPr>
                <w:rFonts w:ascii="Calibri" w:hAnsi="Calibri" w:cs="Calibri"/>
                <w:sz w:val="20"/>
                <w:szCs w:val="20"/>
                <w:shd w:val="clear" w:color="auto" w:fill="FFFFFF"/>
              </w:rPr>
              <w:t>hours in</w:t>
            </w:r>
            <w:proofErr w:type="gramEnd"/>
            <w:r w:rsidRPr="00DD7BD1">
              <w:rPr>
                <w:rFonts w:ascii="Calibri" w:hAnsi="Calibri" w:cs="Calibri"/>
                <w:sz w:val="20"/>
                <w:szCs w:val="20"/>
                <w:shd w:val="clear" w:color="auto" w:fill="FFFFFF"/>
              </w:rPr>
              <w:t xml:space="preserve"> a week, they must earn sick leave for all hours worked that week);</w:t>
            </w:r>
          </w:p>
        </w:tc>
      </w:tr>
    </w:tbl>
    <w:p w14:paraId="03A9C8F1" w14:textId="77777777" w:rsidR="00BB4530" w:rsidRPr="00DD7BD1" w:rsidRDefault="00BB4530" w:rsidP="00BB4530">
      <w:pPr>
        <w:spacing w:after="0" w:line="240" w:lineRule="auto"/>
        <w:rPr>
          <w:rFonts w:ascii="Calibri" w:hAnsi="Calibri" w:cs="Calibri"/>
          <w:sz w:val="20"/>
          <w:szCs w:val="20"/>
          <w:shd w:val="clear" w:color="auto" w:fill="FFFFFF"/>
          <w:lang w:val="en"/>
        </w:rPr>
      </w:pPr>
    </w:p>
    <w:p w14:paraId="238E77D4" w14:textId="77777777" w:rsidR="00BB4530" w:rsidRPr="00DD7BD1" w:rsidRDefault="00BB4530" w:rsidP="00BB4530">
      <w:pPr>
        <w:spacing w:after="0" w:line="240" w:lineRule="auto"/>
        <w:rPr>
          <w:rFonts w:ascii="Calibri" w:hAnsi="Calibri" w:cs="Calibri"/>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Apprentices with a minimum wage exemption from the department;</w:t>
            </w:r>
          </w:p>
        </w:tc>
      </w:tr>
      <w:tr w:rsidR="00BB4530" w:rsidRPr="00DD7BD1"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Student learners on a plan approved by the department;</w:t>
            </w:r>
          </w:p>
        </w:tc>
      </w:tr>
      <w:tr w:rsidR="00BB4530" w:rsidRPr="00DD7BD1"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Seasonal employees of a nonprofit residential summer camp;</w:t>
            </w:r>
          </w:p>
        </w:tc>
      </w:tr>
      <w:tr w:rsidR="00BB4530" w:rsidRPr="00DD7BD1"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Work therapy patients at a residential drug abuse or alcoholism treatment program;</w:t>
            </w:r>
          </w:p>
        </w:tc>
      </w:tr>
      <w:tr w:rsidR="00BB4530" w:rsidRPr="00DD7BD1"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Employed prisoners;</w:t>
            </w:r>
          </w:p>
        </w:tc>
      </w:tr>
      <w:tr w:rsidR="00BB4530" w:rsidRPr="00DD7BD1"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Employees covered by a collective bargaining agreement (CBA) that expressly waives the right to sick leave in clear and unambiguous terms;</w:t>
            </w:r>
          </w:p>
        </w:tc>
      </w:tr>
      <w:tr w:rsidR="00BB4530" w:rsidRPr="00DD7BD1"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DD7BD1"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Federal and state government employees; </w:t>
            </w:r>
          </w:p>
        </w:tc>
      </w:tr>
      <w:tr w:rsidR="00BB4530" w:rsidRPr="00DD7BD1"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Railroad workers subject to the federal Railroad Unemployment Insurance Act; and</w:t>
            </w:r>
          </w:p>
        </w:tc>
      </w:tr>
      <w:tr w:rsidR="00BB4530" w:rsidRPr="00DD7BD1"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Certain employees of motor vehicle dealers.</w:t>
            </w:r>
          </w:p>
        </w:tc>
      </w:tr>
    </w:tbl>
    <w:p w14:paraId="3ED6CDC0"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1A02447"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79C965B"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D40DD6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C798E2E"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E50608A"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2C946234"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92D5F0A" w14:textId="77777777" w:rsidR="00402F96" w:rsidRPr="00DD7BD1" w:rsidRDefault="00402F96" w:rsidP="00BB4530">
      <w:pPr>
        <w:spacing w:after="0" w:line="240" w:lineRule="auto"/>
        <w:rPr>
          <w:rFonts w:ascii="Calibri" w:hAnsi="Calibri" w:cs="Calibri"/>
          <w:b/>
          <w:bCs/>
          <w:shd w:val="clear" w:color="auto" w:fill="FFFFFF"/>
        </w:rPr>
      </w:pPr>
    </w:p>
    <w:p w14:paraId="1F8E21D9" w14:textId="77777777" w:rsidR="00402F96" w:rsidRPr="00DD7BD1" w:rsidRDefault="00402F96" w:rsidP="00BB4530">
      <w:pPr>
        <w:spacing w:after="0" w:line="240" w:lineRule="auto"/>
        <w:rPr>
          <w:rFonts w:ascii="Calibri" w:hAnsi="Calibri" w:cs="Calibri"/>
          <w:b/>
          <w:bCs/>
          <w:shd w:val="clear" w:color="auto" w:fill="FFFFFF"/>
        </w:rPr>
      </w:pPr>
    </w:p>
    <w:p w14:paraId="04B9AA27" w14:textId="77777777" w:rsidR="00402F96" w:rsidRPr="00DD7BD1" w:rsidRDefault="00402F96" w:rsidP="00BB4530">
      <w:pPr>
        <w:spacing w:after="0" w:line="240" w:lineRule="auto"/>
        <w:rPr>
          <w:rFonts w:ascii="Calibri" w:hAnsi="Calibri" w:cs="Calibri"/>
          <w:b/>
          <w:bCs/>
          <w:shd w:val="clear" w:color="auto" w:fill="FFFFFF"/>
        </w:rPr>
      </w:pPr>
    </w:p>
    <w:p w14:paraId="4DB01CED" w14:textId="77777777" w:rsidR="00402F96" w:rsidRPr="00DD7BD1" w:rsidRDefault="00402F96" w:rsidP="00BB4530">
      <w:pPr>
        <w:spacing w:after="0" w:line="240" w:lineRule="auto"/>
        <w:rPr>
          <w:rFonts w:ascii="Calibri" w:hAnsi="Calibri" w:cs="Calibri"/>
          <w:b/>
          <w:bCs/>
          <w:shd w:val="clear" w:color="auto" w:fill="FFFFFF"/>
        </w:rPr>
      </w:pPr>
    </w:p>
    <w:p w14:paraId="1290C1B5" w14:textId="77777777" w:rsidR="00402F96" w:rsidRPr="00DD7BD1" w:rsidRDefault="00402F96" w:rsidP="00BB4530">
      <w:pPr>
        <w:spacing w:after="0" w:line="240" w:lineRule="auto"/>
        <w:rPr>
          <w:rFonts w:ascii="Calibri" w:hAnsi="Calibri" w:cs="Calibri"/>
          <w:b/>
          <w:bCs/>
          <w:shd w:val="clear" w:color="auto" w:fill="FFFFFF"/>
        </w:rPr>
      </w:pPr>
    </w:p>
    <w:p w14:paraId="5262E059" w14:textId="77777777" w:rsidR="00402F96" w:rsidRPr="00DD7BD1" w:rsidRDefault="00402F96" w:rsidP="00BB4530">
      <w:pPr>
        <w:spacing w:after="0" w:line="240" w:lineRule="auto"/>
        <w:rPr>
          <w:rFonts w:ascii="Calibri" w:hAnsi="Calibri" w:cs="Calibri"/>
          <w:b/>
          <w:bCs/>
          <w:shd w:val="clear" w:color="auto" w:fill="FFFFFF"/>
        </w:rPr>
      </w:pPr>
    </w:p>
    <w:p w14:paraId="25BE7966" w14:textId="77777777" w:rsidR="00402F96" w:rsidRPr="00DD7BD1" w:rsidRDefault="00402F96" w:rsidP="00BB4530">
      <w:pPr>
        <w:spacing w:after="0" w:line="240" w:lineRule="auto"/>
        <w:rPr>
          <w:rFonts w:ascii="Calibri" w:hAnsi="Calibri" w:cs="Calibri"/>
          <w:b/>
          <w:bCs/>
          <w:shd w:val="clear" w:color="auto" w:fill="FFFFFF"/>
        </w:rPr>
      </w:pPr>
    </w:p>
    <w:p w14:paraId="20BFE1CF" w14:textId="77777777" w:rsidR="00402F96" w:rsidRPr="00DD7BD1" w:rsidRDefault="00402F96" w:rsidP="00BB4530">
      <w:pPr>
        <w:spacing w:after="0" w:line="240" w:lineRule="auto"/>
        <w:rPr>
          <w:rFonts w:ascii="Calibri" w:hAnsi="Calibri" w:cs="Calibri"/>
          <w:b/>
          <w:bCs/>
          <w:shd w:val="clear" w:color="auto" w:fill="FFFFFF"/>
        </w:rPr>
      </w:pPr>
    </w:p>
    <w:p w14:paraId="398CD7F2" w14:textId="77777777" w:rsidR="00402F96" w:rsidRPr="00DD7BD1" w:rsidRDefault="00402F96" w:rsidP="00BB4530">
      <w:pPr>
        <w:spacing w:after="0" w:line="240" w:lineRule="auto"/>
        <w:rPr>
          <w:rFonts w:ascii="Calibri" w:hAnsi="Calibri" w:cs="Calibri"/>
          <w:b/>
          <w:bCs/>
          <w:shd w:val="clear" w:color="auto" w:fill="FFFFFF"/>
        </w:rPr>
      </w:pPr>
    </w:p>
    <w:p w14:paraId="0F281664" w14:textId="77777777" w:rsidR="00E0077D" w:rsidRPr="00DD7BD1" w:rsidRDefault="00E0077D" w:rsidP="00BB4530">
      <w:pPr>
        <w:spacing w:after="0" w:line="240" w:lineRule="auto"/>
        <w:rPr>
          <w:rFonts w:ascii="Calibri" w:hAnsi="Calibri" w:cs="Calibri"/>
          <w:b/>
          <w:bCs/>
          <w:shd w:val="clear" w:color="auto" w:fill="FFFFFF"/>
        </w:rPr>
      </w:pPr>
    </w:p>
    <w:p w14:paraId="53883716" w14:textId="56DD9EF6"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Accrual and Carryover of Paid Sick Leave</w:t>
      </w:r>
    </w:p>
    <w:p w14:paraId="2BB62ACC"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Salaried employees exempt from the overtime requirements of the federal Fair Labor Standards Act must be credited up to 40 hours of work per week if they normally work at least 40 </w:t>
      </w:r>
      <w:proofErr w:type="gramStart"/>
      <w:r w:rsidRPr="00DD7BD1">
        <w:rPr>
          <w:rFonts w:ascii="Calibri" w:hAnsi="Calibri" w:cs="Calibri"/>
          <w:shd w:val="clear" w:color="auto" w:fill="FFFFFF"/>
        </w:rPr>
        <w:t>hours in</w:t>
      </w:r>
      <w:proofErr w:type="gramEnd"/>
      <w:r w:rsidRPr="00DD7BD1">
        <w:rPr>
          <w:rFonts w:ascii="Calibri" w:hAnsi="Calibri" w:cs="Calibri"/>
          <w:shd w:val="clear" w:color="auto" w:fill="FFFFFF"/>
        </w:rPr>
        <w:t xml:space="preserve"> a week. If a salaried, exempt employee normally works fewer than 40 hours in a week, paid sick leave accrues based on that normal work week.</w:t>
      </w:r>
    </w:p>
    <w:p w14:paraId="10919893"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C96F2B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Paid sick leave is subject to the accrual and usage caps below: </w:t>
      </w:r>
    </w:p>
    <w:p w14:paraId="05EAB3A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DD7BD1"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w:lastRenderedPageBreak/>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40 hours of sick leave per year.</w:t>
            </w:r>
          </w:p>
        </w:tc>
      </w:tr>
      <w:tr w:rsidR="00BB4530" w:rsidRPr="00DD7BD1"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56 hours of sick leave per year.</w:t>
            </w:r>
          </w:p>
        </w:tc>
      </w:tr>
    </w:tbl>
    <w:p w14:paraId="6469703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color w:val="2E74B5" w:themeColor="accent5" w:themeShade="BF"/>
          <w:shd w:val="clear" w:color="auto" w:fill="FFFFFF"/>
        </w:rPr>
        <w:br/>
      </w:r>
    </w:p>
    <w:p w14:paraId="3C02557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Use of Paid Sick Leave</w:t>
      </w:r>
    </w:p>
    <w:p w14:paraId="597C459A"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use paid sick leave as it is accrued—there is no waiting period. Paid sick leave may be taken for the following reasons:</w:t>
      </w:r>
    </w:p>
    <w:p w14:paraId="0F871D49"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DD7BD1"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An employee’s mental or physical illness, injury or health condition; the employee’s need for medical diagnosis, care or treatment; or the employee’s need for preventative medical care</w:t>
            </w:r>
          </w:p>
        </w:tc>
      </w:tr>
      <w:tr w:rsidR="00BB4530" w:rsidRPr="00DD7BD1"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Care or assistance to the employee’s family member relating to the needs described above in Item 1</w:t>
            </w:r>
          </w:p>
        </w:tc>
      </w:tr>
      <w:tr w:rsidR="00BB4530" w:rsidRPr="00DD7BD1"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To obtain the following care or services for the employee or a family member because of domestic violence, sexual assault or stalking: </w:t>
            </w:r>
          </w:p>
          <w:p w14:paraId="37252A50"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Medical or psychological attention; </w:t>
            </w:r>
          </w:p>
          <w:p w14:paraId="27D517C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Services from a victim’s aid organization; </w:t>
            </w:r>
          </w:p>
          <w:p w14:paraId="34FE098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Relocation or steps to secure an existing home; or </w:t>
            </w:r>
          </w:p>
          <w:p w14:paraId="10C070E3"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Legal services, including participation in any investigation or civil or criminal proceeding</w:t>
            </w:r>
          </w:p>
        </w:tc>
      </w:tr>
    </w:tbl>
    <w:p w14:paraId="3745F5C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1F1BB4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“Family member” is defined broadly to include the employee’s:</w:t>
      </w:r>
    </w:p>
    <w:p w14:paraId="01A9E47E"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Domestic partner; </w:t>
      </w:r>
    </w:p>
    <w:p w14:paraId="7BEFDEBB"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child, legal ward or person to whom an employee stands in loco parentis; </w:t>
      </w:r>
    </w:p>
    <w:p w14:paraId="3C40B5E1"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parent, adoptive parent, legal guardian or a person who stood in loco parentis when the employee was a minor child; or </w:t>
      </w:r>
    </w:p>
    <w:p w14:paraId="198E3BA7"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Any other individual related to the employee by blood or whose close association with the employee is the equivalent of a family relationship.</w:t>
      </w:r>
    </w:p>
    <w:p w14:paraId="0093310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use paid sick leave in the </w:t>
      </w:r>
      <w:proofErr w:type="gramStart"/>
      <w:r w:rsidRPr="00DD7BD1">
        <w:rPr>
          <w:rFonts w:ascii="Calibri" w:hAnsi="Calibri" w:cs="Calibri"/>
          <w:shd w:val="clear" w:color="auto" w:fill="FFFFFF"/>
        </w:rPr>
        <w:t>smaller of</w:t>
      </w:r>
      <w:proofErr w:type="gramEnd"/>
      <w:r w:rsidRPr="00DD7BD1">
        <w:rPr>
          <w:rFonts w:ascii="Calibri" w:hAnsi="Calibri" w:cs="Calibri"/>
          <w:shd w:val="clear" w:color="auto" w:fill="FFFFFF"/>
        </w:rPr>
        <w:t xml:space="preserve"> hourly increments or the smallest increment that the employer’s payroll system uses to account for absences or use of other time. </w:t>
      </w:r>
    </w:p>
    <w:p w14:paraId="29CC148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Pr="00DD7BD1" w:rsidRDefault="00BB4530" w:rsidP="00BB4530">
      <w:pPr>
        <w:spacing w:after="0" w:line="240" w:lineRule="auto"/>
        <w:rPr>
          <w:rFonts w:ascii="Calibri" w:hAnsi="Calibri" w:cs="Calibri"/>
          <w:b/>
          <w:bCs/>
          <w:color w:val="2E74B5" w:themeColor="accent5" w:themeShade="BF"/>
          <w:sz w:val="28"/>
          <w:szCs w:val="28"/>
          <w:shd w:val="clear" w:color="auto" w:fill="FFFFFF"/>
          <w:lang w:val="en"/>
        </w:rPr>
      </w:pPr>
    </w:p>
    <w:p w14:paraId="50FDE21D" w14:textId="77777777" w:rsidR="00BB4530" w:rsidRPr="00DD7BD1" w:rsidRDefault="00BB4530" w:rsidP="00BB4530">
      <w:pPr>
        <w:pStyle w:val="Heading1"/>
        <w:spacing w:before="0" w:beforeAutospacing="0" w:after="0" w:afterAutospacing="0"/>
        <w:rPr>
          <w:rFonts w:ascii="Calibri" w:hAnsi="Calibri" w:cs="Calibri"/>
          <w:sz w:val="22"/>
          <w:szCs w:val="22"/>
        </w:rPr>
      </w:pPr>
      <w:r w:rsidRPr="00DD7BD1">
        <w:rPr>
          <w:rFonts w:ascii="Calibri" w:hAnsi="Calibri" w:cs="Calibri"/>
          <w:sz w:val="22"/>
          <w:szCs w:val="22"/>
        </w:rPr>
        <w:t>Employers’ Notice Obligations</w:t>
      </w:r>
    </w:p>
    <w:p w14:paraId="36D85ACC" w14:textId="77777777" w:rsidR="00BB4530" w:rsidRPr="00DD7BD1" w:rsidRDefault="00BB4530" w:rsidP="00BB4530">
      <w:pPr>
        <w:pStyle w:val="Body0"/>
        <w:spacing w:after="0" w:line="240" w:lineRule="auto"/>
        <w:rPr>
          <w:rFonts w:cs="Calibri"/>
          <w:szCs w:val="22"/>
        </w:rPr>
      </w:pPr>
      <w:r w:rsidRPr="00DD7BD1">
        <w:rPr>
          <w:rFonts w:cs="Calibri"/>
          <w:szCs w:val="22"/>
        </w:rPr>
        <w:t xml:space="preserve">Employers must give employees written notice of the following information at the start of employment or within 30 days of July 1, 2025, whichever is later: </w:t>
      </w:r>
    </w:p>
    <w:p w14:paraId="2520279E"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lastRenderedPageBreak/>
        <w:t>That beginning July 1, 2025, employees are entitled to paid sick leave;</w:t>
      </w:r>
    </w:p>
    <w:p w14:paraId="5D9C9444"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amount of paid sick leave employees </w:t>
      </w:r>
      <w:proofErr w:type="gramStart"/>
      <w:r w:rsidRPr="00DD7BD1">
        <w:rPr>
          <w:rFonts w:cs="Calibri"/>
          <w:color w:val="auto"/>
          <w:szCs w:val="22"/>
        </w:rPr>
        <w:t>are</w:t>
      </w:r>
      <w:proofErr w:type="gramEnd"/>
      <w:r w:rsidRPr="00DD7BD1">
        <w:rPr>
          <w:rFonts w:cs="Calibri"/>
          <w:color w:val="auto"/>
          <w:szCs w:val="22"/>
        </w:rPr>
        <w:t xml:space="preserve"> entitled to;</w:t>
      </w:r>
    </w:p>
    <w:p w14:paraId="5AF0D39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terms of paid sick leave use guaranteed under the law; and </w:t>
      </w:r>
    </w:p>
    <w:p w14:paraId="63F1138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retaliation against employees who request or use paid sick leave is prohibited.</w:t>
      </w:r>
    </w:p>
    <w:p w14:paraId="2381511C" w14:textId="2B66C614" w:rsidR="00784E6F" w:rsidRPr="00DD7BD1" w:rsidRDefault="00784E6F" w:rsidP="00784E6F">
      <w:pPr>
        <w:pStyle w:val="BulletList"/>
        <w:numPr>
          <w:ilvl w:val="0"/>
          <w:numId w:val="0"/>
        </w:numPr>
        <w:spacing w:after="0" w:line="240" w:lineRule="auto"/>
        <w:ind w:left="540" w:hanging="360"/>
        <w:contextualSpacing/>
        <w:jc w:val="left"/>
        <w:rPr>
          <w:rFonts w:cs="Calibri"/>
          <w:b/>
          <w:bCs/>
          <w:color w:val="auto"/>
          <w:szCs w:val="22"/>
        </w:rPr>
      </w:pPr>
      <w:r w:rsidRPr="00DD7BD1">
        <w:rPr>
          <w:rFonts w:cs="Calibri"/>
          <w:b/>
          <w:bCs/>
          <w:color w:val="auto"/>
          <w:szCs w:val="22"/>
        </w:rPr>
        <w:t>ETC Published State Handbook Addendum for AK – May 2025</w:t>
      </w:r>
    </w:p>
    <w:p w14:paraId="50D61E61" w14:textId="77777777" w:rsidR="00BB4530" w:rsidRPr="00DD7BD1" w:rsidRDefault="00BB4530" w:rsidP="009D5684">
      <w:pPr>
        <w:spacing w:after="0"/>
        <w:jc w:val="center"/>
        <w:rPr>
          <w:rFonts w:ascii="Calibri" w:hAnsi="Calibri" w:cs="Calibri"/>
          <w:b/>
          <w:bCs/>
          <w:shd w:val="clear" w:color="auto" w:fill="FFFFFF"/>
          <w:lang w:val="en"/>
        </w:rPr>
      </w:pPr>
    </w:p>
    <w:p w14:paraId="47106FAF" w14:textId="7CAB407E" w:rsidR="009D5684" w:rsidRPr="00DD7BD1" w:rsidRDefault="009D5684" w:rsidP="009D5684">
      <w:pPr>
        <w:spacing w:after="0"/>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New Paid Sick Leave Regulations - </w:t>
      </w:r>
      <w:r w:rsidRPr="00DD7BD1">
        <w:rPr>
          <w:rFonts w:ascii="Calibri" w:hAnsi="Calibri" w:cs="Calibri"/>
          <w:b/>
          <w:bCs/>
          <w:color w:val="C00000"/>
          <w:sz w:val="28"/>
          <w:szCs w:val="28"/>
          <w:shd w:val="clear" w:color="auto" w:fill="FFFFFF"/>
          <w:lang w:val="en"/>
        </w:rPr>
        <w:t>July 1, 2025</w:t>
      </w:r>
    </w:p>
    <w:p w14:paraId="5C9974B9" w14:textId="77777777" w:rsidR="009D5684" w:rsidRPr="00DD7BD1" w:rsidRDefault="009D5684" w:rsidP="009D5684">
      <w:pPr>
        <w:spacing w:after="0"/>
        <w:rPr>
          <w:rFonts w:ascii="Calibri" w:hAnsi="Calibri" w:cs="Calibri"/>
          <w:color w:val="C00000"/>
          <w:shd w:val="clear" w:color="auto" w:fill="FFFFFF"/>
        </w:rPr>
      </w:pPr>
      <w:r w:rsidRPr="00DD7BD1">
        <w:rPr>
          <w:rFonts w:ascii="Calibri" w:hAnsi="Calibri" w:cs="Calibri"/>
          <w:shd w:val="clear" w:color="auto" w:fill="FFFFFF"/>
        </w:rPr>
        <w:t xml:space="preserve">Alaska has approved a </w:t>
      </w:r>
      <w:hyperlink r:id="rId531" w:history="1">
        <w:r w:rsidRPr="00DD7BD1">
          <w:rPr>
            <w:rStyle w:val="Hyperlink"/>
            <w:rFonts w:ascii="Calibri" w:hAnsi="Calibri" w:cs="Calibri"/>
            <w:shd w:val="clear" w:color="auto" w:fill="FFFFFF"/>
          </w:rPr>
          <w:t>ballot measure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Employers must begin providing eligible employees with 40-56 hours of paid sick leave per year. The maximum requirement depends on employer size.</w:t>
      </w:r>
    </w:p>
    <w:p w14:paraId="0C813938"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31, 2025 </w:t>
      </w:r>
      <w:r w:rsidRPr="00DD7BD1">
        <w:rPr>
          <w:rFonts w:ascii="Calibri" w:hAnsi="Calibri" w:cs="Calibri"/>
          <w:b/>
          <w:shd w:val="clear" w:color="auto" w:fill="FFFFFF"/>
        </w:rPr>
        <w:t xml:space="preserve">- </w:t>
      </w:r>
      <w:r w:rsidRPr="00DD7BD1">
        <w:rPr>
          <w:rFonts w:ascii="Calibri" w:hAnsi="Calibri" w:cs="Calibri"/>
          <w:shd w:val="clear" w:color="auto" w:fill="FFFFFF"/>
        </w:rPr>
        <w:t xml:space="preserve">Employers must provide employees with notice of their rights under the law. </w:t>
      </w:r>
    </w:p>
    <w:p w14:paraId="547CE266" w14:textId="77777777" w:rsidR="009D5684" w:rsidRPr="00DD7BD1" w:rsidRDefault="009D5684" w:rsidP="009D5684">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560640B7" w14:textId="40B4849F" w:rsidR="009D5684" w:rsidRPr="00DD7BD1" w:rsidRDefault="009D5684" w:rsidP="009D5684">
      <w:pPr>
        <w:spacing w:after="0"/>
        <w:jc w:val="center"/>
        <w:rPr>
          <w:rFonts w:ascii="Calibri" w:hAnsi="Calibri" w:cs="Calibri"/>
          <w:b/>
          <w:sz w:val="28"/>
          <w:szCs w:val="28"/>
          <w:shd w:val="clear" w:color="auto" w:fill="FFFFFF"/>
        </w:rPr>
      </w:pPr>
      <w:r w:rsidRPr="00DD7BD1">
        <w:rPr>
          <w:rFonts w:ascii="Calibri" w:hAnsi="Calibri" w:cs="Calibri"/>
          <w:b/>
          <w:bCs/>
          <w:sz w:val="28"/>
          <w:szCs w:val="28"/>
          <w:shd w:val="clear" w:color="auto" w:fill="FFFFFF"/>
          <w:lang w:val="en"/>
        </w:rPr>
        <w:t>State Votes</w:t>
      </w:r>
      <w:r w:rsidRPr="00DD7BD1">
        <w:rPr>
          <w:rFonts w:ascii="Calibri" w:hAnsi="Calibri" w:cs="Calibri"/>
          <w:b/>
          <w:sz w:val="28"/>
          <w:szCs w:val="28"/>
          <w:shd w:val="clear" w:color="auto" w:fill="FFFFFF"/>
        </w:rPr>
        <w:t xml:space="preserve"> in Favor of Captive Audience Ban – </w:t>
      </w:r>
      <w:r w:rsidRPr="00DD7BD1">
        <w:rPr>
          <w:rFonts w:ascii="Calibri" w:hAnsi="Calibri" w:cs="Calibri"/>
          <w:b/>
          <w:color w:val="C00000"/>
          <w:sz w:val="28"/>
          <w:szCs w:val="28"/>
          <w:shd w:val="clear" w:color="auto" w:fill="FFFFFF"/>
        </w:rPr>
        <w:t>July 1, 2025</w:t>
      </w:r>
    </w:p>
    <w:p w14:paraId="48ED8844" w14:textId="77777777" w:rsidR="009D5684" w:rsidRPr="00DD7BD1" w:rsidRDefault="009D5684" w:rsidP="009D56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Alaska voters passed </w:t>
      </w:r>
      <w:hyperlink r:id="rId532" w:anchor="page=10" w:history="1">
        <w:r w:rsidRPr="00DD7BD1">
          <w:rPr>
            <w:rStyle w:val="Hyperlink"/>
            <w:rFonts w:ascii="Calibri" w:hAnsi="Calibri" w:cs="Calibri"/>
            <w:shd w:val="clear" w:color="auto" w:fill="FFFFFF"/>
          </w:rPr>
          <w:t>Measure No. 1</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DD7BD1" w:rsidRDefault="009D5684" w:rsidP="008561D0">
      <w:pPr>
        <w:spacing w:after="0" w:line="240" w:lineRule="auto"/>
        <w:rPr>
          <w:rFonts w:ascii="Calibri" w:hAnsi="Calibri" w:cs="Calibri"/>
          <w:b/>
          <w:bCs/>
          <w:color w:val="2E74B5" w:themeColor="accent5" w:themeShade="BF"/>
          <w:sz w:val="16"/>
          <w:szCs w:val="16"/>
          <w:shd w:val="clear" w:color="auto" w:fill="FFFFFF"/>
          <w:lang w:val="en"/>
        </w:rPr>
      </w:pPr>
    </w:p>
    <w:p w14:paraId="11D65A8A" w14:textId="675C0F8F" w:rsidR="00375F54" w:rsidRPr="00375F54" w:rsidRDefault="00B46928" w:rsidP="00375F54">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Arizona</w:t>
      </w:r>
    </w:p>
    <w:p w14:paraId="1F045842" w14:textId="036697B3" w:rsidR="00565EB8" w:rsidRDefault="00565EB8" w:rsidP="00565EB8">
      <w:pPr>
        <w:spacing w:after="100" w:line="276" w:lineRule="auto"/>
        <w:jc w:val="center"/>
        <w:rPr>
          <w:b/>
          <w:bCs/>
          <w:caps/>
          <w:color w:val="0070C0"/>
          <w:sz w:val="28"/>
          <w:szCs w:val="28"/>
        </w:rPr>
      </w:pPr>
      <w:r w:rsidRPr="00565EB8">
        <w:rPr>
          <w:b/>
          <w:bCs/>
          <w:caps/>
          <w:noProof/>
          <w:color w:val="0E425C"/>
          <w:sz w:val="28"/>
          <w:szCs w:val="28"/>
        </w:rPr>
        <w:t xml:space="preserve">State Expands Military Leave Effective </w:t>
      </w:r>
      <w:r w:rsidRPr="00565EB8">
        <w:rPr>
          <w:b/>
          <w:bCs/>
          <w:caps/>
          <w:color w:val="0070C0"/>
          <w:sz w:val="28"/>
          <w:szCs w:val="28"/>
        </w:rPr>
        <w:t>September 12, 2026</w:t>
      </w:r>
    </w:p>
    <w:p w14:paraId="45B63E92" w14:textId="4A374BEA" w:rsidR="00565EB8" w:rsidRPr="00565EB8" w:rsidRDefault="00565EB8" w:rsidP="00565EB8">
      <w:pPr>
        <w:rPr>
          <w:b/>
          <w:bCs/>
          <w:caps/>
          <w:color w:val="0070C0"/>
          <w:sz w:val="26"/>
          <w:szCs w:val="26"/>
        </w:rPr>
      </w:pPr>
      <w:r w:rsidRPr="00AA509A">
        <w:rPr>
          <w:rFonts w:eastAsia="Times New Roman"/>
          <w:sz w:val="26"/>
          <w:szCs w:val="26"/>
        </w:rPr>
        <w:t xml:space="preserve">Under </w:t>
      </w:r>
      <w:hyperlink r:id="rId533" w:tgtFrame="_blank" w:history="1">
        <w:r w:rsidRPr="00AA509A">
          <w:rPr>
            <w:rStyle w:val="Hyperlink"/>
            <w:bCs/>
            <w:caps/>
            <w:sz w:val="26"/>
            <w:szCs w:val="26"/>
          </w:rPr>
          <w:t>HB 2663</w:t>
        </w:r>
      </w:hyperlink>
      <w:r w:rsidRPr="00AA509A">
        <w:rPr>
          <w:rFonts w:eastAsia="Times New Roman"/>
          <w:sz w:val="26"/>
          <w:szCs w:val="26"/>
        </w:rPr>
        <w:t>, the state’s military leave law, which applies to employers of all sizes, will be expanded to cover leave for all categories of military training. Currently, the law allows leave to attend common categories of military training—specifically camps, maneuvers, formations, and armory drills—so this change is largely a formality to ensure that all types of training are covered. The law applies to military service in the reserve components of the U.S. Armed Forces and any state’s national guard.  If an employer’s military leave policy only allows for leave for specific training, it will need to be updated.</w:t>
      </w:r>
    </w:p>
    <w:p w14:paraId="018B8A6E" w14:textId="37CCC534" w:rsidR="00B46928" w:rsidRPr="00DD7BD1" w:rsidRDefault="00B46928" w:rsidP="00B4692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2026</w:t>
      </w:r>
    </w:p>
    <w:p w14:paraId="614A576E"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wage rates in Arizona will increase as follows. </w:t>
      </w:r>
    </w:p>
    <w:p w14:paraId="7C08FD03"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rPr>
        <w:t>Statewide. The minimum wage will increase to $15.15 per hour. The minimum base wage for tipped employees will increase to $12.15 per hour.</w:t>
      </w:r>
    </w:p>
    <w:p w14:paraId="7FDF5086" w14:textId="77777777" w:rsidR="00B46928" w:rsidRPr="00DD7BD1" w:rsidRDefault="00B46928" w:rsidP="00B46928">
      <w:pPr>
        <w:spacing w:after="0" w:line="240" w:lineRule="auto"/>
        <w:rPr>
          <w:rFonts w:ascii="Calibri" w:hAnsi="Calibri" w:cs="Calibri"/>
          <w:sz w:val="16"/>
          <w:szCs w:val="16"/>
          <w:shd w:val="clear" w:color="auto" w:fill="FFFFFF"/>
        </w:rPr>
      </w:pPr>
    </w:p>
    <w:p w14:paraId="35212F5F"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Flagstaff: </w:t>
      </w:r>
      <w:r w:rsidRPr="00DD7BD1">
        <w:rPr>
          <w:rFonts w:ascii="Calibri" w:hAnsi="Calibri" w:cs="Calibri"/>
          <w:shd w:val="clear" w:color="auto" w:fill="FFFFFF"/>
        </w:rPr>
        <w:t>The minimum wage in Flagstaff will increase to $18.35 per hour for all employees. The lower base wage for tipped employees will be eliminated, meaning employers will need to pay the entire $18.35 directly.</w:t>
      </w:r>
    </w:p>
    <w:p w14:paraId="552331BE" w14:textId="77777777" w:rsidR="00B46928" w:rsidRPr="00DD7BD1" w:rsidRDefault="00B46928" w:rsidP="00B46928">
      <w:pPr>
        <w:spacing w:after="0" w:line="240" w:lineRule="auto"/>
        <w:rPr>
          <w:rFonts w:ascii="Calibri" w:hAnsi="Calibri" w:cs="Calibri"/>
          <w:b/>
          <w:bCs/>
          <w:sz w:val="16"/>
          <w:szCs w:val="16"/>
          <w:shd w:val="clear" w:color="auto" w:fill="FFFFFF"/>
        </w:rPr>
      </w:pPr>
    </w:p>
    <w:p w14:paraId="423824E2"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Tucson</w:t>
      </w:r>
      <w:r w:rsidRPr="00DD7BD1">
        <w:rPr>
          <w:rFonts w:ascii="Calibri" w:hAnsi="Calibri" w:cs="Calibri"/>
          <w:shd w:val="clear" w:color="auto" w:fill="FFFFFF"/>
        </w:rPr>
        <w:t>: The minimum wage in Tucson will increase to $15.45 per hour. The minimum base wage for tipped employees will be $12.45 per hour. </w:t>
      </w:r>
    </w:p>
    <w:p w14:paraId="1968CE93" w14:textId="77777777" w:rsidR="00A709CE" w:rsidRPr="00DD7BD1" w:rsidRDefault="00A709CE" w:rsidP="008561D0">
      <w:pPr>
        <w:spacing w:after="0" w:line="240" w:lineRule="auto"/>
        <w:rPr>
          <w:rFonts w:ascii="Calibri" w:hAnsi="Calibri" w:cs="Calibri"/>
          <w:b/>
          <w:bCs/>
          <w:color w:val="2E74B5" w:themeColor="accent5" w:themeShade="BF"/>
          <w:sz w:val="28"/>
          <w:szCs w:val="28"/>
          <w:shd w:val="clear" w:color="auto" w:fill="FFFFFF"/>
          <w:lang w:val="en"/>
        </w:rPr>
      </w:pPr>
    </w:p>
    <w:p w14:paraId="7E60BE8A" w14:textId="77777777" w:rsidR="00F1262E" w:rsidRDefault="00022BF0" w:rsidP="008561D0">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California</w:t>
      </w:r>
      <w:r w:rsidR="00BC2995" w:rsidRPr="00DD7BD1">
        <w:rPr>
          <w:rFonts w:ascii="Calibri" w:hAnsi="Calibri" w:cs="Calibri"/>
          <w:b/>
          <w:bCs/>
          <w:color w:val="2E74B5" w:themeColor="accent5" w:themeShade="BF"/>
          <w:sz w:val="28"/>
          <w:szCs w:val="28"/>
          <w:shd w:val="clear" w:color="auto" w:fill="FFFFFF"/>
          <w:lang w:val="en"/>
        </w:rPr>
        <w:t xml:space="preserve"> </w:t>
      </w:r>
    </w:p>
    <w:p w14:paraId="69513676" w14:textId="77777777" w:rsidR="00375F54" w:rsidRDefault="00375F54" w:rsidP="00375F54">
      <w:pPr>
        <w:rPr>
          <w:b/>
          <w:bCs/>
          <w:caps/>
          <w:color w:val="0070C0"/>
          <w:sz w:val="28"/>
          <w:szCs w:val="28"/>
        </w:rPr>
      </w:pPr>
      <w:r w:rsidRPr="007658C3">
        <w:rPr>
          <w:b/>
          <w:bCs/>
          <w:caps/>
          <w:color w:val="0070C0"/>
          <w:sz w:val="28"/>
          <w:szCs w:val="28"/>
        </w:rPr>
        <w:t xml:space="preserve">New! </w:t>
      </w:r>
      <w:r w:rsidRPr="007658C3">
        <w:rPr>
          <w:b/>
          <w:bCs/>
          <w:caps/>
          <w:noProof/>
          <w:color w:val="0E425C"/>
          <w:sz w:val="28"/>
          <w:szCs w:val="28"/>
        </w:rPr>
        <w:t xml:space="preserve">san Francisco Expands Eligibility for Paid ParentAl Leave Effective </w:t>
      </w:r>
      <w:r w:rsidRPr="007658C3">
        <w:rPr>
          <w:b/>
          <w:bCs/>
          <w:caps/>
          <w:color w:val="0070C0"/>
          <w:sz w:val="28"/>
          <w:szCs w:val="28"/>
        </w:rPr>
        <w:t>January 1, 2027 &amp; January 1, 2028</w:t>
      </w:r>
    </w:p>
    <w:p w14:paraId="6BA337A3" w14:textId="77777777" w:rsidR="00375F54" w:rsidRPr="00262445" w:rsidRDefault="00375F54" w:rsidP="00375F54">
      <w:r w:rsidRPr="00262445">
        <w:t>On August 7</w:t>
      </w:r>
      <w:r w:rsidRPr="00262445">
        <w:rPr>
          <w:vertAlign w:val="superscript"/>
        </w:rPr>
        <w:t>th</w:t>
      </w:r>
      <w:r w:rsidRPr="00262445">
        <w:t xml:space="preserve"> new regulatory amendments were signed resulting in San Francisco</w:t>
      </w:r>
      <w:r>
        <w:t xml:space="preserve"> </w:t>
      </w:r>
      <w:hyperlink r:id="rId534" w:history="1">
        <w:r>
          <w:rPr>
            <w:rStyle w:val="Hyperlink"/>
          </w:rPr>
          <w:t>lowering</w:t>
        </w:r>
      </w:hyperlink>
      <w:r w:rsidRPr="00262445">
        <w:t xml:space="preserve"> the eligibility/work length requirements from 180 days to 90 days for employees under the city’s</w:t>
      </w:r>
      <w:r>
        <w:t xml:space="preserve"> </w:t>
      </w:r>
      <w:hyperlink r:id="rId535" w:history="1">
        <w:r>
          <w:rPr>
            <w:rStyle w:val="Hyperlink"/>
          </w:rPr>
          <w:t>Paid Parental Leave Ordinance</w:t>
        </w:r>
      </w:hyperlink>
      <w:r>
        <w:t xml:space="preserve"> </w:t>
      </w:r>
      <w:r w:rsidRPr="00262445">
        <w:t xml:space="preserve">(PPLO). The lower eligibility threshold </w:t>
      </w:r>
      <w:proofErr w:type="gramStart"/>
      <w:r w:rsidRPr="00262445">
        <w:t>takes</w:t>
      </w:r>
      <w:proofErr w:type="gramEnd"/>
      <w:r w:rsidRPr="00262445">
        <w:t xml:space="preserve"> effect:</w:t>
      </w:r>
    </w:p>
    <w:p w14:paraId="6F9A6232" w14:textId="77777777" w:rsidR="00375F54" w:rsidRPr="00262445" w:rsidRDefault="00375F54" w:rsidP="00375F54">
      <w:pPr>
        <w:pStyle w:val="ListParagraph"/>
        <w:numPr>
          <w:ilvl w:val="0"/>
          <w:numId w:val="400"/>
        </w:numPr>
        <w:spacing w:after="100" w:line="276" w:lineRule="auto"/>
      </w:pPr>
      <w:r w:rsidRPr="00262445">
        <w:rPr>
          <w:b/>
          <w:bCs/>
        </w:rPr>
        <w:t xml:space="preserve">January 1, </w:t>
      </w:r>
      <w:proofErr w:type="gramStart"/>
      <w:r w:rsidRPr="00262445">
        <w:rPr>
          <w:b/>
          <w:bCs/>
        </w:rPr>
        <w:t>2027</w:t>
      </w:r>
      <w:proofErr w:type="gramEnd"/>
      <w:r w:rsidRPr="00262445">
        <w:t xml:space="preserve"> for employers with 100 or more employees </w:t>
      </w:r>
    </w:p>
    <w:p w14:paraId="10B60D48" w14:textId="77777777" w:rsidR="00375F54" w:rsidRPr="00262445" w:rsidRDefault="00375F54" w:rsidP="00375F54">
      <w:pPr>
        <w:pStyle w:val="ListParagraph"/>
        <w:numPr>
          <w:ilvl w:val="0"/>
          <w:numId w:val="400"/>
        </w:numPr>
        <w:spacing w:after="100" w:line="276" w:lineRule="auto"/>
      </w:pPr>
      <w:r w:rsidRPr="00262445">
        <w:rPr>
          <w:b/>
          <w:bCs/>
        </w:rPr>
        <w:lastRenderedPageBreak/>
        <w:t xml:space="preserve">January 1, </w:t>
      </w:r>
      <w:proofErr w:type="gramStart"/>
      <w:r w:rsidRPr="00262445">
        <w:rPr>
          <w:b/>
          <w:bCs/>
        </w:rPr>
        <w:t>2028</w:t>
      </w:r>
      <w:proofErr w:type="gramEnd"/>
      <w:r w:rsidRPr="00262445">
        <w:t xml:space="preserve"> for employers with 20 to 99 employees.</w:t>
      </w:r>
    </w:p>
    <w:p w14:paraId="283ABCBC" w14:textId="18F30151" w:rsidR="00375F54" w:rsidRPr="00375F54" w:rsidRDefault="00375F54" w:rsidP="00375F54">
      <w:r w:rsidRPr="00262445">
        <w:t>ETC will provide updated state Handbook Addenda policy to reflect the changes in advance of the effective date of changes.</w:t>
      </w:r>
    </w:p>
    <w:p w14:paraId="70673151" w14:textId="77777777" w:rsidR="00375F54" w:rsidRDefault="00375F54" w:rsidP="00375F54">
      <w:pPr>
        <w:rPr>
          <w:b/>
          <w:bCs/>
          <w:caps/>
          <w:color w:val="0E425C"/>
          <w:sz w:val="26"/>
          <w:szCs w:val="26"/>
        </w:rPr>
      </w:pPr>
      <w:r w:rsidRPr="0019185B">
        <w:rPr>
          <w:b/>
          <w:bCs/>
          <w:caps/>
          <w:color w:val="0070C0"/>
          <w:sz w:val="28"/>
          <w:szCs w:val="28"/>
        </w:rPr>
        <w:t xml:space="preserve">New! </w:t>
      </w:r>
      <w:r w:rsidRPr="0019185B">
        <w:rPr>
          <w:b/>
          <w:bCs/>
          <w:caps/>
          <w:noProof/>
          <w:color w:val="0E425C"/>
          <w:sz w:val="28"/>
          <w:szCs w:val="28"/>
        </w:rPr>
        <w:t xml:space="preserve">san Francisco Fair Chance Ordinance Amendments Effective </w:t>
      </w:r>
      <w:r w:rsidRPr="0019185B">
        <w:rPr>
          <w:b/>
          <w:bCs/>
          <w:caps/>
          <w:color w:val="0070C0"/>
          <w:sz w:val="28"/>
          <w:szCs w:val="28"/>
        </w:rPr>
        <w:t>August 10, 2026</w:t>
      </w:r>
    </w:p>
    <w:p w14:paraId="41DBD308" w14:textId="77777777" w:rsidR="00375F54" w:rsidRPr="0019185B" w:rsidRDefault="00375F54" w:rsidP="00375F54">
      <w:pPr>
        <w:rPr>
          <w:b/>
          <w:bCs/>
          <w:caps/>
          <w:color w:val="0070C0"/>
          <w:sz w:val="26"/>
          <w:szCs w:val="26"/>
        </w:rPr>
      </w:pPr>
      <w:r w:rsidRPr="0019185B">
        <w:rPr>
          <w:sz w:val="26"/>
          <w:szCs w:val="26"/>
        </w:rPr>
        <w:t xml:space="preserve">The newly effective </w:t>
      </w:r>
      <w:hyperlink r:id="rId536" w:history="1">
        <w:r w:rsidRPr="0019185B">
          <w:rPr>
            <w:rStyle w:val="Hyperlink"/>
            <w:sz w:val="26"/>
            <w:szCs w:val="26"/>
          </w:rPr>
          <w:t>amendments to the San Francisco Fair Chance Ordinance</w:t>
        </w:r>
      </w:hyperlink>
      <w:r w:rsidRPr="0019185B">
        <w:rPr>
          <w:sz w:val="26"/>
          <w:szCs w:val="26"/>
        </w:rPr>
        <w:t xml:space="preserve"> expand the city’s restrictions on how covered employers may consider criminal history in hiring, promotion, discharge and other employment decisions. The ordinance applies to</w:t>
      </w:r>
      <w:r w:rsidRPr="0019185B">
        <w:rPr>
          <w:b/>
          <w:bCs/>
          <w:sz w:val="26"/>
          <w:szCs w:val="26"/>
        </w:rPr>
        <w:t xml:space="preserve"> employers with 5 or more employees that are located or doing business in San Francisco and generally covers positions involving at least 8 hours of work per week in the city</w:t>
      </w:r>
      <w:r w:rsidRPr="0019185B">
        <w:rPr>
          <w:sz w:val="26"/>
          <w:szCs w:val="26"/>
        </w:rPr>
        <w:t>.</w:t>
      </w:r>
    </w:p>
    <w:p w14:paraId="293BB53F" w14:textId="77777777" w:rsidR="00375F54" w:rsidRPr="0019185B" w:rsidRDefault="00375F54" w:rsidP="00375F54">
      <w:pPr>
        <w:rPr>
          <w:sz w:val="26"/>
          <w:szCs w:val="26"/>
        </w:rPr>
      </w:pPr>
      <w:r w:rsidRPr="0019185B">
        <w:rPr>
          <w:sz w:val="26"/>
          <w:szCs w:val="26"/>
        </w:rPr>
        <w:t xml:space="preserve">Covered employers may </w:t>
      </w:r>
      <w:r w:rsidRPr="0019185B">
        <w:rPr>
          <w:b/>
          <w:bCs/>
          <w:sz w:val="26"/>
          <w:szCs w:val="26"/>
        </w:rPr>
        <w:t>not</w:t>
      </w:r>
      <w:r w:rsidRPr="0019185B">
        <w:rPr>
          <w:sz w:val="26"/>
          <w:szCs w:val="26"/>
        </w:rPr>
        <w:t xml:space="preserve"> ask about arrest or conviction history until after a conditional offer of employment and may not consider certain records at all, including arrests that did not lead to conviction, dismissed or expunged convictions, juvenile records, infractions, convictions more than 7 years old unless a limited exception applies, and convictions for conduct that has since been decriminalized.</w:t>
      </w:r>
    </w:p>
    <w:p w14:paraId="72A4F578" w14:textId="77777777" w:rsidR="00375F54" w:rsidRPr="0019185B" w:rsidRDefault="00375F54" w:rsidP="00375F54">
      <w:pPr>
        <w:rPr>
          <w:sz w:val="26"/>
          <w:szCs w:val="26"/>
        </w:rPr>
      </w:pPr>
      <w:r w:rsidRPr="0019185B">
        <w:rPr>
          <w:sz w:val="26"/>
          <w:szCs w:val="26"/>
        </w:rPr>
        <w:t xml:space="preserve">The August 2026 amendments </w:t>
      </w:r>
      <w:r w:rsidRPr="0019185B">
        <w:rPr>
          <w:b/>
          <w:bCs/>
          <w:sz w:val="26"/>
          <w:szCs w:val="26"/>
        </w:rPr>
        <w:t>add a new prohibited category</w:t>
      </w:r>
      <w:r w:rsidRPr="0019185B">
        <w:rPr>
          <w:sz w:val="26"/>
          <w:szCs w:val="26"/>
        </w:rPr>
        <w:t xml:space="preserve">: </w:t>
      </w:r>
    </w:p>
    <w:p w14:paraId="3D69F6A7" w14:textId="77777777" w:rsidR="00375F54" w:rsidRPr="0019185B" w:rsidRDefault="00375F54" w:rsidP="00375F54">
      <w:pPr>
        <w:pStyle w:val="ListParagraph"/>
        <w:numPr>
          <w:ilvl w:val="0"/>
          <w:numId w:val="402"/>
        </w:numPr>
        <w:spacing w:after="100" w:line="276" w:lineRule="auto"/>
        <w:rPr>
          <w:sz w:val="26"/>
          <w:szCs w:val="26"/>
        </w:rPr>
      </w:pPr>
      <w:r w:rsidRPr="0019185B">
        <w:rPr>
          <w:sz w:val="26"/>
          <w:szCs w:val="26"/>
        </w:rPr>
        <w:t xml:space="preserve">Covered employers may not inquire about, consider or rely on out-of-state arrests or convictions for conduct that is lawful in California; and </w:t>
      </w:r>
    </w:p>
    <w:p w14:paraId="25283A76" w14:textId="77777777" w:rsidR="00375F54" w:rsidRPr="0019185B" w:rsidRDefault="00375F54" w:rsidP="00375F54">
      <w:pPr>
        <w:pStyle w:val="ListParagraph"/>
        <w:numPr>
          <w:ilvl w:val="0"/>
          <w:numId w:val="402"/>
        </w:numPr>
        <w:spacing w:after="100" w:line="276" w:lineRule="auto"/>
        <w:rPr>
          <w:sz w:val="26"/>
          <w:szCs w:val="26"/>
        </w:rPr>
      </w:pPr>
      <w:r w:rsidRPr="0019185B">
        <w:rPr>
          <w:sz w:val="26"/>
          <w:szCs w:val="26"/>
        </w:rPr>
        <w:t xml:space="preserve">Related to abortion-related healthcare, gender-affirming care, drag performances or spontaneous abortion, including miscarriage or stillbirth. </w:t>
      </w:r>
    </w:p>
    <w:p w14:paraId="135799E3" w14:textId="77777777" w:rsidR="00375F54" w:rsidRPr="0019185B" w:rsidRDefault="00375F54" w:rsidP="00375F54">
      <w:pPr>
        <w:rPr>
          <w:sz w:val="26"/>
          <w:szCs w:val="26"/>
        </w:rPr>
      </w:pPr>
      <w:r w:rsidRPr="0019185B">
        <w:rPr>
          <w:sz w:val="26"/>
          <w:szCs w:val="26"/>
        </w:rPr>
        <w:t>Records related to the above cannot be treated as directly related to the job for purposes of taking adverse action.</w:t>
      </w:r>
    </w:p>
    <w:p w14:paraId="22B744DA" w14:textId="77777777" w:rsidR="00375F54" w:rsidRPr="0019185B" w:rsidRDefault="00375F54" w:rsidP="00375F54">
      <w:pPr>
        <w:rPr>
          <w:sz w:val="26"/>
          <w:szCs w:val="26"/>
        </w:rPr>
      </w:pPr>
      <w:r w:rsidRPr="0019185B">
        <w:rPr>
          <w:sz w:val="26"/>
          <w:szCs w:val="26"/>
        </w:rPr>
        <w:t xml:space="preserve">The amendments also </w:t>
      </w:r>
      <w:r w:rsidRPr="0019185B">
        <w:rPr>
          <w:b/>
          <w:bCs/>
          <w:sz w:val="26"/>
          <w:szCs w:val="26"/>
        </w:rPr>
        <w:t>add steps to the adverse-action process</w:t>
      </w:r>
      <w:r w:rsidRPr="0019185B">
        <w:rPr>
          <w:sz w:val="26"/>
          <w:szCs w:val="26"/>
        </w:rPr>
        <w:t xml:space="preserve">. </w:t>
      </w:r>
    </w:p>
    <w:p w14:paraId="6BD91930" w14:textId="77777777" w:rsidR="00375F54" w:rsidRPr="0019185B" w:rsidRDefault="00375F54" w:rsidP="00375F54">
      <w:pPr>
        <w:pStyle w:val="ListParagraph"/>
        <w:numPr>
          <w:ilvl w:val="0"/>
          <w:numId w:val="403"/>
        </w:numPr>
        <w:spacing w:after="100" w:line="276" w:lineRule="auto"/>
        <w:rPr>
          <w:sz w:val="26"/>
          <w:szCs w:val="26"/>
        </w:rPr>
      </w:pPr>
      <w:r w:rsidRPr="0019185B">
        <w:rPr>
          <w:sz w:val="26"/>
          <w:szCs w:val="26"/>
        </w:rPr>
        <w:t>If an applicant or employee responds timely to a pre-adverse action notice with evidence of inaccuracy, rehabilitation or other mitigating information, the employer must confirm receipt within 14 days, delay the final decision for a reasonable period and reconsider the proposed action before issuing a final decision.</w:t>
      </w:r>
    </w:p>
    <w:p w14:paraId="02A836E9" w14:textId="77777777" w:rsidR="00375F54" w:rsidRPr="0019185B" w:rsidRDefault="00375F54" w:rsidP="00375F54">
      <w:pPr>
        <w:rPr>
          <w:sz w:val="26"/>
          <w:szCs w:val="26"/>
        </w:rPr>
      </w:pPr>
      <w:r w:rsidRPr="0019185B">
        <w:rPr>
          <w:b/>
          <w:bCs/>
          <w:sz w:val="26"/>
          <w:szCs w:val="26"/>
          <w:highlight w:val="lightGray"/>
          <w:shd w:val="clear" w:color="auto" w:fill="FFFF00"/>
        </w:rPr>
        <w:t>Employer Takeaways:</w:t>
      </w:r>
    </w:p>
    <w:p w14:paraId="0A4F2E7D" w14:textId="77777777" w:rsidR="00375F54" w:rsidRPr="0019185B" w:rsidRDefault="00375F54" w:rsidP="00375F54">
      <w:pPr>
        <w:pStyle w:val="ListParagraph"/>
        <w:numPr>
          <w:ilvl w:val="0"/>
          <w:numId w:val="401"/>
        </w:numPr>
        <w:spacing w:after="100" w:line="276" w:lineRule="auto"/>
        <w:rPr>
          <w:sz w:val="26"/>
          <w:szCs w:val="26"/>
        </w:rPr>
      </w:pPr>
      <w:r w:rsidRPr="0019185B">
        <w:rPr>
          <w:sz w:val="26"/>
          <w:szCs w:val="26"/>
        </w:rPr>
        <w:t xml:space="preserve">Employers are encouraged to review any San Francisco job postings and advertisements to include required Fair Chance language and post the updated official </w:t>
      </w:r>
      <w:hyperlink r:id="rId537" w:history="1">
        <w:r w:rsidRPr="0019185B">
          <w:rPr>
            <w:rStyle w:val="Hyperlink"/>
            <w:sz w:val="26"/>
            <w:szCs w:val="26"/>
          </w:rPr>
          <w:t>FCO Notice</w:t>
        </w:r>
      </w:hyperlink>
      <w:r w:rsidRPr="0019185B">
        <w:rPr>
          <w:sz w:val="26"/>
          <w:szCs w:val="26"/>
        </w:rPr>
        <w:t xml:space="preserve"> at covered workplaces or jobsites.</w:t>
      </w:r>
    </w:p>
    <w:p w14:paraId="1AB71A7A" w14:textId="77777777" w:rsidR="00375F54" w:rsidRPr="0019185B" w:rsidRDefault="00375F54" w:rsidP="00375F54">
      <w:pPr>
        <w:pStyle w:val="ListParagraph"/>
        <w:numPr>
          <w:ilvl w:val="0"/>
          <w:numId w:val="401"/>
        </w:numPr>
        <w:spacing w:after="100" w:line="276" w:lineRule="auto"/>
        <w:rPr>
          <w:sz w:val="26"/>
          <w:szCs w:val="26"/>
        </w:rPr>
      </w:pPr>
      <w:r w:rsidRPr="0019185B">
        <w:rPr>
          <w:sz w:val="26"/>
          <w:szCs w:val="26"/>
        </w:rPr>
        <w:t>Review background-check adjudication matrices, adverse-action notices and vendor instructions to ensure newly protected out-of-state records are not requested, considered or used.</w:t>
      </w:r>
    </w:p>
    <w:p w14:paraId="7D7F731A" w14:textId="77777777" w:rsidR="00375F54" w:rsidRPr="0019185B" w:rsidRDefault="00375F54" w:rsidP="00375F54">
      <w:pPr>
        <w:pStyle w:val="ListParagraph"/>
        <w:numPr>
          <w:ilvl w:val="0"/>
          <w:numId w:val="401"/>
        </w:numPr>
        <w:spacing w:after="100" w:line="276" w:lineRule="auto"/>
        <w:rPr>
          <w:sz w:val="26"/>
          <w:szCs w:val="26"/>
        </w:rPr>
      </w:pPr>
      <w:r w:rsidRPr="0019185B">
        <w:rPr>
          <w:sz w:val="26"/>
          <w:szCs w:val="26"/>
        </w:rPr>
        <w:t>Build the new 14-day confirmation step and reconsideration process into pre-adverse and final adverse action workflows.</w:t>
      </w:r>
    </w:p>
    <w:p w14:paraId="6223C843" w14:textId="4BA3921F" w:rsidR="00375F54" w:rsidRPr="00375F54" w:rsidRDefault="00375F54" w:rsidP="00F1262E">
      <w:pPr>
        <w:pStyle w:val="ListParagraph"/>
        <w:numPr>
          <w:ilvl w:val="0"/>
          <w:numId w:val="401"/>
        </w:numPr>
        <w:spacing w:after="100" w:line="276" w:lineRule="auto"/>
        <w:rPr>
          <w:sz w:val="26"/>
          <w:szCs w:val="26"/>
        </w:rPr>
      </w:pPr>
      <w:r w:rsidRPr="0019185B">
        <w:rPr>
          <w:sz w:val="26"/>
          <w:szCs w:val="26"/>
        </w:rPr>
        <w:t xml:space="preserve">Additional resources: </w:t>
      </w:r>
      <w:hyperlink r:id="rId538" w:history="1">
        <w:r w:rsidRPr="0019185B">
          <w:rPr>
            <w:rStyle w:val="Hyperlink"/>
            <w:sz w:val="26"/>
            <w:szCs w:val="26"/>
          </w:rPr>
          <w:t>San Francisco Fair Chance Ordinance overview</w:t>
        </w:r>
      </w:hyperlink>
    </w:p>
    <w:p w14:paraId="207739D9" w14:textId="77777777" w:rsidR="00375F54" w:rsidRDefault="00375F54" w:rsidP="00F1262E">
      <w:pPr>
        <w:rPr>
          <w:b/>
          <w:bCs/>
          <w:caps/>
          <w:noProof/>
          <w:color w:val="0E425C"/>
          <w:sz w:val="26"/>
          <w:szCs w:val="26"/>
        </w:rPr>
      </w:pPr>
    </w:p>
    <w:p w14:paraId="2F189821" w14:textId="5D299CF5" w:rsidR="00F1262E" w:rsidRDefault="00F1262E" w:rsidP="00F1262E">
      <w:pPr>
        <w:rPr>
          <w:b/>
          <w:bCs/>
          <w:caps/>
          <w:noProof/>
          <w:color w:val="0E425C"/>
          <w:sz w:val="28"/>
          <w:szCs w:val="28"/>
          <w:u w:val="single"/>
        </w:rPr>
      </w:pPr>
      <w:r w:rsidRPr="00674308">
        <w:rPr>
          <w:b/>
          <w:bCs/>
          <w:caps/>
          <w:noProof/>
          <w:color w:val="0E425C"/>
          <w:sz w:val="26"/>
          <w:szCs w:val="26"/>
        </w:rPr>
        <w:t xml:space="preserve">Reminder: </w:t>
      </w:r>
      <w:r>
        <w:rPr>
          <w:b/>
          <w:bCs/>
          <w:caps/>
          <w:noProof/>
          <w:color w:val="0E425C"/>
          <w:sz w:val="26"/>
          <w:szCs w:val="26"/>
        </w:rPr>
        <w:t xml:space="preserve">Annual Workplace Violence Plan Review &amp; Employee Training deadline </w:t>
      </w:r>
      <w:r w:rsidRPr="006213EA">
        <w:rPr>
          <w:b/>
          <w:bCs/>
          <w:caps/>
          <w:color w:val="0070C0"/>
          <w:sz w:val="26"/>
          <w:szCs w:val="26"/>
        </w:rPr>
        <w:t>July 1, 2026</w:t>
      </w:r>
    </w:p>
    <w:p w14:paraId="5D90E8DA" w14:textId="77777777" w:rsidR="00F1262E" w:rsidRPr="006213EA" w:rsidRDefault="00F1262E" w:rsidP="00F1262E">
      <w:pPr>
        <w:rPr>
          <w:rFonts w:eastAsia="Times New Roman"/>
        </w:rPr>
      </w:pPr>
      <w:r w:rsidRPr="006213EA">
        <w:rPr>
          <w:rFonts w:eastAsia="Times New Roman"/>
        </w:rPr>
        <w:t>Labor Code section 6401.9 requires employers to review the effectiveness of their workplace violence prevention plans at least annually, after a workplace violence incident, and whenever a deficiency becomes apparent. The law went into effect on July 1, 2024, so for many employers, the annual compliance deadline is right around the corner.</w:t>
      </w:r>
    </w:p>
    <w:p w14:paraId="1B41DC3F" w14:textId="77777777" w:rsidR="00F1262E" w:rsidRPr="006213EA" w:rsidRDefault="00F1262E" w:rsidP="00F1262E">
      <w:pPr>
        <w:rPr>
          <w:rFonts w:eastAsia="Times New Roman"/>
        </w:rPr>
      </w:pPr>
      <w:r w:rsidRPr="006213EA">
        <w:rPr>
          <w:rFonts w:eastAsia="Times New Roman"/>
        </w:rPr>
        <w:t>Employers must, at a minimum, review the violent incident log, the procedures for obtaining the active involvement of employees, and the effectiveness of the plan. To evaluate effectiveness, employers should confirm that the plan is still correct: the person responsible for the plan is correctly identified, reporting channels remain clear, emergency and incident response procedures still work in practice, and that investigation and communication procedures and requirements are clear and being followed. Employers should also review incident investigations from the prior year to see what, if anything, could be learned.</w:t>
      </w:r>
    </w:p>
    <w:p w14:paraId="48AB29B0" w14:textId="77777777" w:rsidR="00F1262E" w:rsidRPr="006213EA" w:rsidRDefault="00F1262E" w:rsidP="00F1262E">
      <w:pPr>
        <w:rPr>
          <w:rFonts w:eastAsia="Times New Roman"/>
        </w:rPr>
      </w:pPr>
      <w:r w:rsidRPr="006213EA">
        <w:rPr>
          <w:rFonts w:eastAsia="Times New Roman"/>
        </w:rPr>
        <w:t>The law requires not only an annual review, but also annual training. Employers must conduct training on all the required topics in the law, including workplace violence hazards specific to the employees’ jobs, strategies to avoid physical harm, and how to report workplace violence to the employer or law enforcement.</w:t>
      </w:r>
    </w:p>
    <w:p w14:paraId="696B25BE" w14:textId="77777777" w:rsidR="00F1262E" w:rsidRPr="006213EA" w:rsidRDefault="00F1262E" w:rsidP="00F1262E">
      <w:pPr>
        <w:rPr>
          <w:rFonts w:eastAsia="Times New Roman"/>
        </w:rPr>
      </w:pPr>
      <w:r w:rsidRPr="006213EA">
        <w:rPr>
          <w:rFonts w:eastAsia="Times New Roman"/>
        </w:rPr>
        <w:t>On April 23, 2026, Cal/OSHA posted a revised draft for a workplace violence prevention regulation that would broaden the scope of the law to include additional employers and add definitions, plan requirements, post-incident procedures, recordkeeping, and training. Because the proposal is still in draft form, employers’ current compliance obligations remain grounded in Labor Code section 6401.9.</w:t>
      </w:r>
    </w:p>
    <w:p w14:paraId="4E93DDF0" w14:textId="77777777" w:rsidR="00F1262E" w:rsidRDefault="00F1262E" w:rsidP="00F1262E">
      <w:pPr>
        <w:rPr>
          <w:rFonts w:eastAsia="Times New Roman"/>
        </w:rPr>
      </w:pPr>
      <w:r w:rsidRPr="006213EA">
        <w:rPr>
          <w:rFonts w:eastAsia="Times New Roman"/>
        </w:rPr>
        <w:t>Employers that have not yet calendared annual workplace violence prevention plan review and retraining dates may want to do so now keeping documentation and records of compliance obligations.</w:t>
      </w:r>
    </w:p>
    <w:p w14:paraId="4BBF13C2" w14:textId="749F60F0" w:rsidR="001A2C87" w:rsidRPr="00F1262E" w:rsidRDefault="00F1262E" w:rsidP="00F1262E">
      <w:r>
        <w:t>Access</w:t>
      </w:r>
      <w:hyperlink r:id="rId539" w:history="1">
        <w:r>
          <w:rPr>
            <w:rStyle w:val="Hyperlink"/>
          </w:rPr>
          <w:t xml:space="preserve"> Cal/OSHA’s Workplace Violence Guidance &amp; Resources</w:t>
        </w:r>
      </w:hyperlink>
      <w:r>
        <w:t xml:space="preserve"> website for additional resources.</w:t>
      </w:r>
      <w:r w:rsidR="00BC2995" w:rsidRPr="00DD7BD1">
        <w:rPr>
          <w:rFonts w:ascii="Calibri" w:hAnsi="Calibri" w:cs="Calibri"/>
          <w:b/>
          <w:bCs/>
          <w:color w:val="2E74B5" w:themeColor="accent5" w:themeShade="BF"/>
          <w:sz w:val="28"/>
          <w:szCs w:val="28"/>
          <w:shd w:val="clear" w:color="auto" w:fill="FFFFFF"/>
          <w:lang w:val="en"/>
        </w:rPr>
        <w:t xml:space="preserve"> </w:t>
      </w:r>
    </w:p>
    <w:p w14:paraId="65F73CCE" w14:textId="7C3CD666" w:rsidR="007D164E" w:rsidRPr="00B07F32" w:rsidRDefault="006A09A8" w:rsidP="00B07F32">
      <w:pPr>
        <w:pStyle w:val="bodytext0"/>
        <w:spacing w:after="0"/>
        <w:rPr>
          <w:rFonts w:ascii="Calibri" w:eastAsiaTheme="minorEastAsia" w:hAnsi="Calibri" w:cs="Calibri"/>
          <w:b/>
          <w:bCs/>
          <w:caps/>
          <w:noProof/>
          <w:color w:val="0E425C"/>
          <w:sz w:val="26"/>
          <w:szCs w:val="26"/>
          <w:lang w:eastAsia="en-US"/>
        </w:rPr>
      </w:pPr>
      <w:r w:rsidRPr="00674308">
        <w:rPr>
          <w:rFonts w:ascii="Calibri" w:eastAsiaTheme="minorEastAsia" w:hAnsi="Calibri" w:cs="Calibri"/>
          <w:b/>
          <w:bCs/>
          <w:caps/>
          <w:noProof/>
          <w:color w:val="0E425C"/>
          <w:sz w:val="26"/>
          <w:szCs w:val="26"/>
          <w:lang w:eastAsia="en-US"/>
        </w:rPr>
        <w:t>Reminder:</w:t>
      </w:r>
      <w:r w:rsidRPr="009B6798">
        <w:rPr>
          <w:rFonts w:ascii="Calibri" w:eastAsiaTheme="minorEastAsia" w:hAnsi="Calibri" w:cs="Calibri"/>
          <w:b/>
          <w:bCs/>
          <w:caps/>
          <w:noProof/>
          <w:color w:val="0E425C"/>
          <w:sz w:val="26"/>
          <w:szCs w:val="26"/>
          <w:lang w:eastAsia="en-US"/>
        </w:rPr>
        <w:t xml:space="preserve"> Pay Data Reporting Temporary Templates &amp; FAQs Released Deadline </w:t>
      </w:r>
      <w:r w:rsidRPr="009B6798">
        <w:rPr>
          <w:rFonts w:ascii="Calibri" w:eastAsiaTheme="minorEastAsia" w:hAnsi="Calibri" w:cs="Calibri"/>
          <w:b/>
          <w:bCs/>
          <w:caps/>
          <w:noProof/>
          <w:color w:val="0070C0"/>
          <w:sz w:val="26"/>
          <w:szCs w:val="26"/>
          <w:lang w:eastAsia="en-US"/>
        </w:rPr>
        <w:t>May 13, 2026</w:t>
      </w:r>
      <w:r w:rsidRPr="009B6798">
        <w:rPr>
          <w:rFonts w:ascii="Calibri" w:eastAsiaTheme="minorEastAsia" w:hAnsi="Calibri" w:cs="Calibri"/>
          <w:b/>
          <w:bCs/>
          <w:caps/>
          <w:noProof/>
          <w:color w:val="0E425C"/>
          <w:sz w:val="26"/>
          <w:szCs w:val="26"/>
          <w:lang w:eastAsia="en-US"/>
        </w:rPr>
        <w:t xml:space="preserve"> &amp; Portal Open</w:t>
      </w:r>
      <w:r>
        <w:rPr>
          <w:rFonts w:ascii="Calibri" w:eastAsiaTheme="minorEastAsia" w:hAnsi="Calibri" w:cs="Calibri"/>
          <w:b/>
          <w:bCs/>
          <w:caps/>
          <w:noProof/>
          <w:color w:val="0E425C"/>
          <w:sz w:val="26"/>
          <w:szCs w:val="26"/>
          <w:lang w:eastAsia="en-US"/>
        </w:rPr>
        <w:t>ed</w:t>
      </w:r>
      <w:r w:rsidRPr="009B6798">
        <w:rPr>
          <w:rFonts w:ascii="Calibri" w:eastAsiaTheme="minorEastAsia" w:hAnsi="Calibri" w:cs="Calibri"/>
          <w:b/>
          <w:bCs/>
          <w:caps/>
          <w:noProof/>
          <w:color w:val="0E425C"/>
          <w:sz w:val="26"/>
          <w:szCs w:val="26"/>
          <w:lang w:eastAsia="en-US"/>
        </w:rPr>
        <w:t xml:space="preserve"> </w:t>
      </w:r>
      <w:r w:rsidRPr="009B6798">
        <w:rPr>
          <w:rFonts w:ascii="Calibri" w:eastAsiaTheme="minorEastAsia" w:hAnsi="Calibri" w:cs="Calibri"/>
          <w:b/>
          <w:bCs/>
          <w:caps/>
          <w:noProof/>
          <w:color w:val="0070C0"/>
          <w:sz w:val="26"/>
          <w:szCs w:val="26"/>
          <w:lang w:eastAsia="en-US"/>
        </w:rPr>
        <w:t>Feb 2, 2026</w:t>
      </w:r>
    </w:p>
    <w:p w14:paraId="3B07456B" w14:textId="55EAB1FD" w:rsidR="00B07F32" w:rsidRPr="00B07F32" w:rsidRDefault="00B07F32" w:rsidP="00B07F32">
      <w:pPr>
        <w:pStyle w:val="MainSectionHead"/>
        <w:rPr>
          <w:caps/>
          <w:color w:val="0070C0"/>
          <w:sz w:val="26"/>
          <w:szCs w:val="26"/>
        </w:rPr>
      </w:pPr>
      <w:r w:rsidRPr="00674308">
        <w:rPr>
          <w:caps/>
          <w:sz w:val="26"/>
          <w:szCs w:val="26"/>
        </w:rPr>
        <w:t>Reminder:</w:t>
      </w:r>
      <w:r>
        <w:rPr>
          <w:caps/>
          <w:color w:val="0070C0"/>
          <w:sz w:val="26"/>
          <w:szCs w:val="26"/>
        </w:rPr>
        <w:t xml:space="preserve">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7739137A"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bookmarkStart w:id="50" w:name="_Hlk205277429"/>
      <w:bookmarkStart w:id="51" w:name="_Hlk181975180"/>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Pay Data Reporting Temporary Templates &amp; FAQs Released Deadline </w:t>
      </w:r>
      <w:r w:rsidRPr="00DD7BD1">
        <w:rPr>
          <w:rFonts w:ascii="Calibri" w:hAnsi="Calibri" w:cs="Calibri"/>
          <w:b/>
          <w:bCs/>
          <w:color w:val="C00000"/>
          <w:sz w:val="24"/>
          <w:shd w:val="clear" w:color="auto" w:fill="FFFFFF"/>
          <w:lang w:val="en"/>
        </w:rPr>
        <w:t xml:space="preserve">May 13, 2026 </w:t>
      </w:r>
      <w:r w:rsidRPr="00DD7BD1">
        <w:rPr>
          <w:rFonts w:ascii="Calibri" w:hAnsi="Calibri" w:cs="Calibri"/>
          <w:b/>
          <w:bCs/>
          <w:sz w:val="24"/>
          <w:shd w:val="clear" w:color="auto" w:fill="FFFFFF"/>
          <w:lang w:val="en"/>
        </w:rPr>
        <w:t xml:space="preserve">&amp; Portal Opens </w:t>
      </w:r>
      <w:r w:rsidRPr="00DD7BD1">
        <w:rPr>
          <w:rFonts w:ascii="Calibri" w:hAnsi="Calibri" w:cs="Calibri"/>
          <w:b/>
          <w:bCs/>
          <w:color w:val="C00000"/>
          <w:sz w:val="24"/>
          <w:shd w:val="clear" w:color="auto" w:fill="FFFFFF"/>
          <w:lang w:val="en"/>
        </w:rPr>
        <w:t>Feb 2, 2026</w:t>
      </w:r>
    </w:p>
    <w:p w14:paraId="63AD2A47" w14:textId="77777777" w:rsidR="0015425E" w:rsidRPr="00DD7BD1" w:rsidRDefault="0015425E" w:rsidP="00AF05A6">
      <w:pPr>
        <w:pStyle w:val="bodytext0"/>
        <w:spacing w:after="0" w:line="240" w:lineRule="auto"/>
        <w:rPr>
          <w:rFonts w:ascii="Calibri" w:hAnsi="Calibri" w:cs="Calibri"/>
          <w:sz w:val="22"/>
        </w:rPr>
      </w:pPr>
      <w:r w:rsidRPr="00DD7BD1">
        <w:rPr>
          <w:rFonts w:ascii="Calibri" w:hAnsi="Calibri" w:cs="Calibri"/>
          <w:sz w:val="22"/>
        </w:rPr>
        <w:t xml:space="preserve">California’s annual pay data reporting submission this year is due on May 13, 2026. California law requires private employers of 100 or more employees and/or 100 or more workers hired through labor contractors to annually report pay, demographic, and other workforce data to the Civil Rights Department (CRD). This reporting is required under Government Code section 12999, as amended by Senate Bill 1162. Filing Portal Open Feb 2nd </w:t>
      </w:r>
      <w:hyperlink r:id="rId540" w:tgtFrame="_blank" w:history="1">
        <w:r w:rsidRPr="00DD7BD1">
          <w:rPr>
            <w:rStyle w:val="Hyperlink"/>
            <w:rFonts w:ascii="Calibri" w:hAnsi="Calibri" w:cs="Calibri"/>
            <w:sz w:val="22"/>
          </w:rPr>
          <w:t>California </w:t>
        </w:r>
      </w:hyperlink>
      <w:hyperlink r:id="rId541" w:tgtFrame="_blank" w:tooltip="https://calcivilrights.ca.gov/paydatareporting/" w:history="1">
        <w:r w:rsidRPr="00DD7BD1">
          <w:rPr>
            <w:rStyle w:val="Hyperlink"/>
            <w:rFonts w:ascii="Calibri" w:hAnsi="Calibri" w:cs="Calibri"/>
            <w:sz w:val="22"/>
          </w:rPr>
          <w:t>Pay Data Reporting homepage</w:t>
        </w:r>
      </w:hyperlink>
      <w:r w:rsidRPr="00DD7BD1">
        <w:rPr>
          <w:rFonts w:ascii="Calibri" w:hAnsi="Calibri" w:cs="Calibri"/>
          <w:sz w:val="22"/>
        </w:rPr>
        <w:t> </w:t>
      </w:r>
    </w:p>
    <w:p w14:paraId="053BC27C" w14:textId="77777777" w:rsidR="0015425E" w:rsidRPr="00DD7BD1" w:rsidRDefault="0015425E" w:rsidP="0015425E">
      <w:pPr>
        <w:pStyle w:val="bodytext0"/>
        <w:spacing w:after="0" w:line="240" w:lineRule="auto"/>
        <w:rPr>
          <w:rFonts w:ascii="Calibri" w:hAnsi="Calibri" w:cs="Calibri"/>
          <w:color w:val="2E74B5" w:themeColor="accent5" w:themeShade="BF"/>
          <w:sz w:val="22"/>
          <w:shd w:val="clear" w:color="auto" w:fill="FFFFFF"/>
          <w:lang w:val="en"/>
        </w:rPr>
      </w:pPr>
    </w:p>
    <w:p w14:paraId="60A0B69B"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State’s Annual Workplace Rights Notices – </w:t>
      </w:r>
      <w:r w:rsidRPr="00DD7BD1">
        <w:rPr>
          <w:rFonts w:ascii="Calibri" w:hAnsi="Calibri" w:cs="Calibri"/>
          <w:b/>
          <w:bCs/>
          <w:color w:val="C00000"/>
          <w:sz w:val="24"/>
          <w:shd w:val="clear" w:color="auto" w:fill="FFFFFF"/>
          <w:lang w:val="en"/>
        </w:rPr>
        <w:t>Deadline Feb 1, 2026</w:t>
      </w:r>
    </w:p>
    <w:p w14:paraId="108A54EB" w14:textId="77777777" w:rsidR="0015425E" w:rsidRPr="00DD7BD1" w:rsidRDefault="0015425E" w:rsidP="00AF05A6">
      <w:pPr>
        <w:pStyle w:val="bodytext0"/>
        <w:spacing w:after="0" w:line="240" w:lineRule="auto"/>
        <w:rPr>
          <w:rFonts w:ascii="Calibri" w:hAnsi="Calibri" w:cs="Calibri"/>
          <w:sz w:val="22"/>
          <w:shd w:val="clear" w:color="auto" w:fill="FFFFFF"/>
        </w:rPr>
      </w:pPr>
      <w:r w:rsidRPr="00DD7BD1">
        <w:rPr>
          <w:rFonts w:ascii="Calibri" w:hAnsi="Calibri" w:cs="Calibri"/>
          <w:sz w:val="22"/>
          <w:shd w:val="clear" w:color="auto" w:fill="FFFFFF"/>
        </w:rPr>
        <w:t>On October 12, 2025, Governor Gavin Newsom signed (</w:t>
      </w:r>
      <w:hyperlink r:id="rId542" w:history="1">
        <w:r w:rsidRPr="00DD7BD1">
          <w:rPr>
            <w:rStyle w:val="Hyperlink"/>
            <w:rFonts w:ascii="Calibri" w:hAnsi="Calibri" w:cs="Calibri"/>
            <w:sz w:val="22"/>
            <w:shd w:val="clear" w:color="auto" w:fill="FFFFFF"/>
          </w:rPr>
          <w:t>Senate Bill (“SB”) 294</w:t>
        </w:r>
      </w:hyperlink>
      <w:r w:rsidRPr="00DD7BD1">
        <w:rPr>
          <w:rFonts w:ascii="Calibri" w:hAnsi="Calibri" w:cs="Calibri"/>
          <w:sz w:val="22"/>
          <w:shd w:val="clear" w:color="auto" w:fill="FFFFFF"/>
        </w:rPr>
        <w:t xml:space="preserve">) into law, which codifies the Workplace Know Your Rights Act. </w:t>
      </w:r>
    </w:p>
    <w:p w14:paraId="25E87179" w14:textId="77777777" w:rsidR="0015425E" w:rsidRPr="00DD7BD1" w:rsidRDefault="0015425E">
      <w:pPr>
        <w:pStyle w:val="bodytext0"/>
        <w:numPr>
          <w:ilvl w:val="0"/>
          <w:numId w:val="318"/>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w:t>
      </w:r>
      <w:r w:rsidRPr="00DD7BD1">
        <w:rPr>
          <w:rFonts w:ascii="Calibri" w:hAnsi="Calibri" w:cs="Calibri"/>
          <w:color w:val="EE0000"/>
          <w:sz w:val="22"/>
          <w:shd w:val="clear" w:color="auto" w:fill="FFFFFF"/>
        </w:rPr>
        <w:t> </w:t>
      </w:r>
      <w:r w:rsidRPr="00DD7BD1">
        <w:rPr>
          <w:rFonts w:ascii="Calibri" w:hAnsi="Calibri" w:cs="Calibri"/>
          <w:color w:val="C00000"/>
          <w:sz w:val="22"/>
          <w:shd w:val="clear" w:color="auto" w:fill="FFFFFF"/>
        </w:rPr>
        <w:t>February 1, 2026</w:t>
      </w:r>
      <w:r w:rsidRPr="00DD7BD1">
        <w:rPr>
          <w:rFonts w:ascii="Calibri" w:hAnsi="Calibri" w:cs="Calibri"/>
          <w:sz w:val="22"/>
          <w:shd w:val="clear" w:color="auto" w:fill="FFFFFF"/>
        </w:rPr>
        <w:t xml:space="preserve">, employers must provide the   </w:t>
      </w:r>
      <w:hyperlink r:id="rId543" w:history="1">
        <w:r w:rsidRPr="00DD7BD1">
          <w:rPr>
            <w:rStyle w:val="Hyperlink"/>
            <w:rFonts w:ascii="Calibri" w:eastAsiaTheme="minorHAnsi" w:hAnsi="Calibri" w:cs="Calibri"/>
            <w:b/>
            <w:bCs/>
            <w:sz w:val="22"/>
          </w:rPr>
          <w:t>2026 Know Your Rights Notice</w:t>
        </w:r>
      </w:hyperlink>
      <w:r w:rsidRPr="00DD7BD1">
        <w:rPr>
          <w:rFonts w:ascii="Calibri" w:hAnsi="Calibri" w:cs="Calibri"/>
          <w:sz w:val="22"/>
        </w:rPr>
        <w:t xml:space="preserve"> </w:t>
      </w:r>
      <w:r w:rsidRPr="00DD7BD1">
        <w:rPr>
          <w:rFonts w:ascii="Calibri" w:hAnsi="Calibri" w:cs="Calibri"/>
          <w:sz w:val="22"/>
          <w:shd w:val="clear" w:color="auto" w:fill="FFFFFF"/>
        </w:rPr>
        <w:t>to all current employees.</w:t>
      </w:r>
    </w:p>
    <w:p w14:paraId="69CF483C" w14:textId="391841FE" w:rsidR="00C6122D" w:rsidRPr="002E4255" w:rsidRDefault="0015425E">
      <w:pPr>
        <w:pStyle w:val="bodytext0"/>
        <w:numPr>
          <w:ilvl w:val="0"/>
          <w:numId w:val="318"/>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 </w:t>
      </w:r>
      <w:r w:rsidRPr="00DD7BD1">
        <w:rPr>
          <w:rFonts w:ascii="Calibri" w:hAnsi="Calibri" w:cs="Calibri"/>
          <w:color w:val="C00000"/>
          <w:sz w:val="22"/>
          <w:shd w:val="clear" w:color="auto" w:fill="FFFFFF"/>
        </w:rPr>
        <w:t>March 30, 2026</w:t>
      </w:r>
      <w:r w:rsidRPr="00DD7BD1">
        <w:rPr>
          <w:rFonts w:ascii="Calibri" w:hAnsi="Calibri" w:cs="Calibri"/>
          <w:sz w:val="22"/>
          <w:shd w:val="clear" w:color="auto" w:fill="FFFFFF"/>
        </w:rPr>
        <w:t>, employers must give employees—and any new hire—the opportunity to designate an emergency contact to be reached in the event of the employee’s arrest.</w:t>
      </w:r>
    </w:p>
    <w:p w14:paraId="43C41617" w14:textId="77777777" w:rsidR="00C6122D" w:rsidRPr="009730E5" w:rsidRDefault="00C6122D" w:rsidP="00C6122D">
      <w:pPr>
        <w:pStyle w:val="MainSectionHead"/>
        <w:rPr>
          <w:caps/>
        </w:rPr>
      </w:pPr>
      <w:r w:rsidRPr="00D140E4">
        <w:rPr>
          <w:caps/>
          <w:color w:val="0070C0"/>
          <w:sz w:val="26"/>
          <w:szCs w:val="26"/>
        </w:rPr>
        <w:t xml:space="preserve">New!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54904C37" w14:textId="77777777" w:rsidR="00C6122D" w:rsidRPr="00822FFC" w:rsidRDefault="00C6122D" w:rsidP="00C6122D">
      <w:pPr>
        <w:rPr>
          <w:shd w:val="clear" w:color="auto" w:fill="FFFFFF"/>
        </w:rPr>
      </w:pPr>
      <w:r w:rsidRPr="00822FFC">
        <w:rPr>
          <w:shd w:val="clear" w:color="auto" w:fill="FFFFFF"/>
        </w:rPr>
        <w:t>The San Francisco Health Care Security Ordinance (SF HCSO) requires that employers spend a minimum amount each calendar quarter on their employees’ healthcare or health coverage. The required amount is called the </w:t>
      </w:r>
      <w:r w:rsidRPr="00822FFC">
        <w:rPr>
          <w:i/>
          <w:iCs/>
          <w:shd w:val="clear" w:color="auto" w:fill="FFFFFF"/>
        </w:rPr>
        <w:t>spending requirement</w:t>
      </w:r>
      <w:r w:rsidRPr="00822FFC">
        <w:rPr>
          <w:shd w:val="clear" w:color="auto" w:fill="FFFFFF"/>
        </w:rPr>
        <w:t xml:space="preserve">—a dollar </w:t>
      </w:r>
      <w:r w:rsidRPr="00822FFC">
        <w:rPr>
          <w:shd w:val="clear" w:color="auto" w:fill="FFFFFF"/>
        </w:rPr>
        <w:lastRenderedPageBreak/>
        <w:t>amount per hour—based on the number of hours the employee works within the boundaries of the city and county of San Francisco.</w:t>
      </w:r>
    </w:p>
    <w:p w14:paraId="3EC8CE58" w14:textId="77777777" w:rsidR="00C6122D" w:rsidRPr="00822FFC" w:rsidRDefault="00C6122D" w:rsidP="00C6122D">
      <w:pPr>
        <w:rPr>
          <w:b/>
          <w:bCs/>
          <w:shd w:val="clear" w:color="auto" w:fill="FFFFFF"/>
        </w:rPr>
      </w:pPr>
      <w:r w:rsidRPr="00822FFC">
        <w:rPr>
          <w:b/>
          <w:bCs/>
          <w:shd w:val="clear" w:color="auto" w:fill="FFFFFF"/>
        </w:rPr>
        <w:t>Covered Employers</w:t>
      </w:r>
    </w:p>
    <w:p w14:paraId="38A0E32E" w14:textId="77777777" w:rsidR="00C6122D" w:rsidRPr="00822FFC" w:rsidRDefault="00C6122D" w:rsidP="00C6122D">
      <w:pPr>
        <w:rPr>
          <w:shd w:val="clear" w:color="auto" w:fill="FFFFFF"/>
        </w:rPr>
      </w:pPr>
      <w:r w:rsidRPr="00822FFC">
        <w:rPr>
          <w:shd w:val="clear" w:color="auto" w:fill="FFFFFF"/>
        </w:rPr>
        <w:t>The SF HCSO applies to all businesses with 20 or more employees and all nonprofits with 50 or more employees, regardless of where the headquarters or main worksites are located. Employers must comply if they have even one employee working in San Francisco, whether the company is based elsewhere in California or outside the state.</w:t>
      </w:r>
    </w:p>
    <w:p w14:paraId="0F38340E" w14:textId="77777777" w:rsidR="00C6122D" w:rsidRPr="00822FFC" w:rsidRDefault="00C6122D" w:rsidP="00C6122D">
      <w:pPr>
        <w:rPr>
          <w:b/>
          <w:bCs/>
          <w:shd w:val="clear" w:color="auto" w:fill="FFFFFF"/>
        </w:rPr>
      </w:pPr>
      <w:r w:rsidRPr="00822FFC">
        <w:rPr>
          <w:b/>
          <w:bCs/>
          <w:shd w:val="clear" w:color="auto" w:fill="FFFFFF"/>
        </w:rPr>
        <w:t>Employer Size</w:t>
      </w:r>
    </w:p>
    <w:p w14:paraId="7A31B67A" w14:textId="77777777" w:rsidR="00C6122D" w:rsidRPr="00822FFC" w:rsidRDefault="00C6122D" w:rsidP="00C6122D">
      <w:pPr>
        <w:rPr>
          <w:shd w:val="clear" w:color="auto" w:fill="FFFFFF"/>
        </w:rPr>
      </w:pPr>
      <w:r w:rsidRPr="00822FFC">
        <w:rPr>
          <w:shd w:val="clear" w:color="auto" w:fill="FFFFFF"/>
        </w:rPr>
        <w:t>For determining employer size, all individuals performing work for compensation during a quarter—whether seasonal, permanent, temporary, full time, part time, contracted through an agency, or commissioned—including owners receiving any form of compensation, must be counted. This count is not limited to covered employees and includes workers both inside and outside San Francisco. Employers with a fluctuating workforce must determine size based on the average number of individuals per week working for compensation during the quarter. Additionally, all individuals employed by a controlled group of corporations (as defined in Internal Revenue Code § 1563(a)), or by related non-corporate entities meeting the same definition, are aggregated to determine total employer size.</w:t>
      </w:r>
    </w:p>
    <w:p w14:paraId="60326BC4" w14:textId="77777777" w:rsidR="00C6122D" w:rsidRPr="00822FFC" w:rsidRDefault="00C6122D" w:rsidP="00C6122D">
      <w:pPr>
        <w:rPr>
          <w:shd w:val="clear" w:color="auto" w:fill="FFFFFF"/>
        </w:rPr>
      </w:pPr>
      <w:r w:rsidRPr="00822FFC">
        <w:rPr>
          <w:shd w:val="clear" w:color="auto" w:fill="FFFFFF"/>
        </w:rPr>
        <w:t>The spending requirement dollar amount is based on an employer’s total number of employees as outlined in the table below.</w:t>
      </w:r>
    </w:p>
    <w:tbl>
      <w:tblPr>
        <w:tblW w:w="9630" w:type="dxa"/>
        <w:jc w:val="center"/>
        <w:tblCellMar>
          <w:top w:w="15" w:type="dxa"/>
          <w:left w:w="15" w:type="dxa"/>
          <w:bottom w:w="15" w:type="dxa"/>
          <w:right w:w="15" w:type="dxa"/>
        </w:tblCellMar>
        <w:tblLook w:val="04A0" w:firstRow="1" w:lastRow="0" w:firstColumn="1" w:lastColumn="0" w:noHBand="0" w:noVBand="1"/>
      </w:tblPr>
      <w:tblGrid>
        <w:gridCol w:w="4590"/>
        <w:gridCol w:w="1980"/>
        <w:gridCol w:w="1530"/>
        <w:gridCol w:w="1530"/>
      </w:tblGrid>
      <w:tr w:rsidR="00C6122D" w:rsidRPr="00822FFC" w14:paraId="5655CE4D" w14:textId="77777777" w:rsidTr="008C43FB">
        <w:trPr>
          <w:gridAfter w:val="3"/>
          <w:wAfter w:w="5040" w:type="dxa"/>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95D2B61" w14:textId="77777777" w:rsidR="00C6122D" w:rsidRPr="00822FFC" w:rsidRDefault="00C6122D" w:rsidP="008C43FB">
            <w:pPr>
              <w:rPr>
                <w:shd w:val="clear" w:color="auto" w:fill="FFFFFF"/>
              </w:rPr>
            </w:pPr>
            <w:r w:rsidRPr="00822FFC">
              <w:rPr>
                <w:shd w:val="clear" w:color="auto" w:fill="FFFFFF"/>
              </w:rPr>
              <w:t>Employer Healthcare Spending Requirement</w:t>
            </w:r>
          </w:p>
        </w:tc>
      </w:tr>
      <w:tr w:rsidR="00C6122D" w:rsidRPr="00822FFC" w14:paraId="0613F92C"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34D8444D" w14:textId="77777777" w:rsidR="00C6122D" w:rsidRPr="00822FFC" w:rsidRDefault="00C6122D" w:rsidP="008C43FB">
            <w:pPr>
              <w:rPr>
                <w:shd w:val="clear" w:color="auto" w:fill="FFFFFF"/>
              </w:rPr>
            </w:pPr>
            <w:r w:rsidRPr="00822FFC">
              <w:rPr>
                <w:shd w:val="clear" w:color="auto" w:fill="FFFFFF"/>
              </w:rPr>
              <w:t>Employer Size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67C12020" w14:textId="77777777" w:rsidR="00C6122D" w:rsidRPr="00822FFC" w:rsidRDefault="00C6122D" w:rsidP="008C43FB">
            <w:pPr>
              <w:rPr>
                <w:shd w:val="clear" w:color="auto" w:fill="FFFFFF"/>
              </w:rPr>
            </w:pPr>
            <w:r w:rsidRPr="00822FFC">
              <w:rPr>
                <w:shd w:val="clear" w:color="auto" w:fill="FFFFFF"/>
              </w:rPr>
              <w:t>Total Employees</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6FA69E0" w14:textId="77777777" w:rsidR="00C6122D" w:rsidRPr="00822FFC" w:rsidRDefault="00C6122D" w:rsidP="008C43FB">
            <w:pPr>
              <w:rPr>
                <w:shd w:val="clear" w:color="auto" w:fill="FFFFFF"/>
              </w:rPr>
            </w:pPr>
            <w:r w:rsidRPr="00822FFC">
              <w:rPr>
                <w:shd w:val="clear" w:color="auto" w:fill="FFFFFF"/>
              </w:rPr>
              <w:t>2025</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FBCB90C" w14:textId="77777777" w:rsidR="00C6122D" w:rsidRPr="00822FFC" w:rsidRDefault="00C6122D" w:rsidP="008C43FB">
            <w:pPr>
              <w:rPr>
                <w:shd w:val="clear" w:color="auto" w:fill="FFFFFF"/>
              </w:rPr>
            </w:pPr>
            <w:r w:rsidRPr="00822FFC">
              <w:rPr>
                <w:shd w:val="clear" w:color="auto" w:fill="FFFFFF"/>
              </w:rPr>
              <w:t>2026</w:t>
            </w:r>
          </w:p>
        </w:tc>
      </w:tr>
      <w:tr w:rsidR="00C6122D" w:rsidRPr="00822FFC" w14:paraId="28CAB92B"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474AD18B" w14:textId="77777777" w:rsidR="00C6122D" w:rsidRPr="00822FFC" w:rsidRDefault="00C6122D" w:rsidP="008C43FB">
            <w:pPr>
              <w:rPr>
                <w:shd w:val="clear" w:color="auto" w:fill="FFFFFF"/>
              </w:rPr>
            </w:pPr>
            <w:r w:rsidRPr="00822FFC">
              <w:rPr>
                <w:shd w:val="clear" w:color="auto" w:fill="FFFFFF"/>
              </w:rPr>
              <w:t>Large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1C55A30E" w14:textId="77777777" w:rsidR="00C6122D" w:rsidRPr="00822FFC" w:rsidRDefault="00C6122D" w:rsidP="008C43FB">
            <w:pPr>
              <w:rPr>
                <w:shd w:val="clear" w:color="auto" w:fill="FFFFFF"/>
              </w:rPr>
            </w:pPr>
            <w:r w:rsidRPr="00822FFC">
              <w:rPr>
                <w:shd w:val="clear" w:color="auto" w:fill="FFFFFF"/>
              </w:rPr>
              <w:t>All: 100 or more</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1C5D1699" w14:textId="77777777" w:rsidR="00C6122D" w:rsidRPr="00822FFC" w:rsidRDefault="00C6122D" w:rsidP="008C43FB">
            <w:pPr>
              <w:rPr>
                <w:shd w:val="clear" w:color="auto" w:fill="FFFFFF"/>
              </w:rPr>
            </w:pPr>
            <w:r w:rsidRPr="00822FFC">
              <w:rPr>
                <w:shd w:val="clear" w:color="auto" w:fill="FFFFFF"/>
              </w:rPr>
              <w:t>$3.85/hour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A389C23" w14:textId="77777777" w:rsidR="00C6122D" w:rsidRPr="00822FFC" w:rsidRDefault="00C6122D" w:rsidP="008C43FB">
            <w:pPr>
              <w:rPr>
                <w:shd w:val="clear" w:color="auto" w:fill="FFFFFF"/>
              </w:rPr>
            </w:pPr>
            <w:r w:rsidRPr="00822FFC">
              <w:rPr>
                <w:shd w:val="clear" w:color="auto" w:fill="FFFFFF"/>
              </w:rPr>
              <w:t>$4.11/hour</w:t>
            </w:r>
          </w:p>
        </w:tc>
      </w:tr>
      <w:tr w:rsidR="00C6122D" w:rsidRPr="00822FFC" w14:paraId="1C39FAEF"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42E60EB" w14:textId="77777777" w:rsidR="00C6122D" w:rsidRPr="00822FFC" w:rsidRDefault="00C6122D" w:rsidP="008C43FB">
            <w:pPr>
              <w:rPr>
                <w:shd w:val="clear" w:color="auto" w:fill="FFFFFF"/>
              </w:rPr>
            </w:pPr>
            <w:r w:rsidRPr="00822FFC">
              <w:rPr>
                <w:shd w:val="clear" w:color="auto" w:fill="FFFFFF"/>
              </w:rPr>
              <w:t>Medium</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0248D6FD" w14:textId="77777777" w:rsidR="00C6122D" w:rsidRPr="00822FFC" w:rsidRDefault="00C6122D" w:rsidP="008C43FB">
            <w:pPr>
              <w:rPr>
                <w:shd w:val="clear" w:color="auto" w:fill="FFFFFF"/>
              </w:rPr>
            </w:pPr>
            <w:r w:rsidRPr="00822FFC">
              <w:rPr>
                <w:shd w:val="clear" w:color="auto" w:fill="FFFFFF"/>
              </w:rPr>
              <w:t>Business: 20–99</w:t>
            </w:r>
          </w:p>
          <w:p w14:paraId="3F6C638E" w14:textId="77777777" w:rsidR="00C6122D" w:rsidRPr="00822FFC" w:rsidRDefault="00C6122D" w:rsidP="008C43FB">
            <w:pPr>
              <w:rPr>
                <w:shd w:val="clear" w:color="auto" w:fill="FFFFFF"/>
              </w:rPr>
            </w:pPr>
            <w:r w:rsidRPr="00822FFC">
              <w:rPr>
                <w:shd w:val="clear" w:color="auto" w:fill="FFFFFF"/>
              </w:rPr>
              <w:t>Nonprofit: 50–99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C34088B" w14:textId="77777777" w:rsidR="00C6122D" w:rsidRPr="00822FFC" w:rsidRDefault="00C6122D" w:rsidP="008C43FB">
            <w:pPr>
              <w:rPr>
                <w:shd w:val="clear" w:color="auto" w:fill="FFFFFF"/>
              </w:rPr>
            </w:pPr>
            <w:r w:rsidRPr="00822FFC">
              <w:rPr>
                <w:shd w:val="clear" w:color="auto" w:fill="FFFFFF"/>
              </w:rPr>
              <w:t>$2.56/hour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33891B1" w14:textId="77777777" w:rsidR="00C6122D" w:rsidRPr="00822FFC" w:rsidRDefault="00C6122D" w:rsidP="008C43FB">
            <w:pPr>
              <w:rPr>
                <w:shd w:val="clear" w:color="auto" w:fill="FFFFFF"/>
              </w:rPr>
            </w:pPr>
            <w:r w:rsidRPr="00822FFC">
              <w:rPr>
                <w:shd w:val="clear" w:color="auto" w:fill="FFFFFF"/>
              </w:rPr>
              <w:t>$2.74/hour</w:t>
            </w:r>
          </w:p>
        </w:tc>
      </w:tr>
      <w:tr w:rsidR="00C6122D" w:rsidRPr="00822FFC" w14:paraId="4DC5CBA2"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775C6F2C" w14:textId="77777777" w:rsidR="00C6122D" w:rsidRPr="00822FFC" w:rsidRDefault="00C6122D" w:rsidP="008C43FB">
            <w:pPr>
              <w:rPr>
                <w:shd w:val="clear" w:color="auto" w:fill="FFFFFF"/>
              </w:rPr>
            </w:pPr>
            <w:r w:rsidRPr="00822FFC">
              <w:rPr>
                <w:shd w:val="clear" w:color="auto" w:fill="FFFFFF"/>
              </w:rPr>
              <w:t>Small</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3021EEB6" w14:textId="77777777" w:rsidR="00C6122D" w:rsidRPr="00822FFC" w:rsidRDefault="00C6122D" w:rsidP="008C43FB">
            <w:pPr>
              <w:rPr>
                <w:shd w:val="clear" w:color="auto" w:fill="FFFFFF"/>
              </w:rPr>
            </w:pPr>
            <w:r w:rsidRPr="00822FFC">
              <w:rPr>
                <w:shd w:val="clear" w:color="auto" w:fill="FFFFFF"/>
              </w:rPr>
              <w:t>Business: 0–19</w:t>
            </w:r>
          </w:p>
          <w:p w14:paraId="20CF7C2F" w14:textId="77777777" w:rsidR="00C6122D" w:rsidRPr="00822FFC" w:rsidRDefault="00C6122D" w:rsidP="008C43FB">
            <w:pPr>
              <w:rPr>
                <w:shd w:val="clear" w:color="auto" w:fill="FFFFFF"/>
              </w:rPr>
            </w:pPr>
            <w:r w:rsidRPr="00822FFC">
              <w:rPr>
                <w:shd w:val="clear" w:color="auto" w:fill="FFFFFF"/>
              </w:rPr>
              <w:t>Nonprofit: 0–49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2DBD62A" w14:textId="77777777" w:rsidR="00C6122D" w:rsidRPr="00822FFC" w:rsidRDefault="00C6122D" w:rsidP="008C43FB">
            <w:pPr>
              <w:rPr>
                <w:shd w:val="clear" w:color="auto" w:fill="FFFFFF"/>
              </w:rPr>
            </w:pPr>
            <w:r w:rsidRPr="00822FFC">
              <w:rPr>
                <w:shd w:val="clear" w:color="auto" w:fill="FFFFFF"/>
              </w:rPr>
              <w:t>Exempt</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6B3E0D9" w14:textId="77777777" w:rsidR="00C6122D" w:rsidRPr="00822FFC" w:rsidRDefault="00C6122D" w:rsidP="008C43FB">
            <w:pPr>
              <w:rPr>
                <w:shd w:val="clear" w:color="auto" w:fill="FFFFFF"/>
              </w:rPr>
            </w:pPr>
            <w:r w:rsidRPr="00822FFC">
              <w:rPr>
                <w:shd w:val="clear" w:color="auto" w:fill="FFFFFF"/>
              </w:rPr>
              <w:t>Exempt</w:t>
            </w:r>
          </w:p>
        </w:tc>
      </w:tr>
    </w:tbl>
    <w:p w14:paraId="3821E7C9" w14:textId="77777777" w:rsidR="00C6122D" w:rsidRPr="005D03B2" w:rsidRDefault="00C6122D" w:rsidP="00C6122D">
      <w:pPr>
        <w:rPr>
          <w:shd w:val="clear" w:color="auto" w:fill="FFFFFF"/>
        </w:rPr>
      </w:pPr>
    </w:p>
    <w:p w14:paraId="07C5CD02" w14:textId="77777777" w:rsidR="00C6122D" w:rsidRPr="00822FFC" w:rsidRDefault="00C6122D" w:rsidP="00C6122D">
      <w:pPr>
        <w:rPr>
          <w:b/>
          <w:bCs/>
          <w:shd w:val="clear" w:color="auto" w:fill="FFFFFF"/>
        </w:rPr>
      </w:pPr>
      <w:r w:rsidRPr="00822FFC">
        <w:rPr>
          <w:b/>
          <w:bCs/>
          <w:shd w:val="clear" w:color="auto" w:fill="FFFFFF"/>
        </w:rPr>
        <w:t>Covered Employees</w:t>
      </w:r>
    </w:p>
    <w:p w14:paraId="4A56880A" w14:textId="77777777" w:rsidR="00C6122D" w:rsidRPr="00822FFC" w:rsidRDefault="00C6122D" w:rsidP="00C6122D">
      <w:pPr>
        <w:rPr>
          <w:shd w:val="clear" w:color="auto" w:fill="FFFFFF"/>
        </w:rPr>
      </w:pPr>
      <w:r w:rsidRPr="00822FFC">
        <w:rPr>
          <w:shd w:val="clear" w:color="auto" w:fill="FFFFFF"/>
        </w:rPr>
        <w:t>A </w:t>
      </w:r>
      <w:r w:rsidRPr="00822FFC">
        <w:rPr>
          <w:i/>
          <w:iCs/>
          <w:shd w:val="clear" w:color="auto" w:fill="FFFFFF"/>
        </w:rPr>
        <w:t>covered employee</w:t>
      </w:r>
      <w:r w:rsidRPr="00822FFC">
        <w:rPr>
          <w:shd w:val="clear" w:color="auto" w:fill="FFFFFF"/>
        </w:rPr>
        <w:t> is any individual who:</w:t>
      </w:r>
    </w:p>
    <w:p w14:paraId="74ADB7F4"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Is entitled to at least minimum wage;</w:t>
      </w:r>
    </w:p>
    <w:p w14:paraId="4777010E"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Has been employed for at least 90 days; and</w:t>
      </w:r>
    </w:p>
    <w:p w14:paraId="3B7041D7"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Performs at least eight hours of work per week in San Francisco for a covered employer.</w:t>
      </w:r>
    </w:p>
    <w:p w14:paraId="5C9AA115" w14:textId="77777777" w:rsidR="00C6122D" w:rsidRPr="00822FFC" w:rsidRDefault="00C6122D" w:rsidP="00C6122D">
      <w:pPr>
        <w:spacing w:after="0" w:line="240" w:lineRule="auto"/>
        <w:ind w:left="540"/>
        <w:rPr>
          <w:shd w:val="clear" w:color="auto" w:fill="FFFFFF"/>
        </w:rPr>
      </w:pPr>
    </w:p>
    <w:p w14:paraId="33228383" w14:textId="77777777" w:rsidR="00C6122D" w:rsidRPr="00822FFC" w:rsidRDefault="00C6122D" w:rsidP="00C6122D">
      <w:pPr>
        <w:rPr>
          <w:shd w:val="clear" w:color="auto" w:fill="FFFFFF"/>
        </w:rPr>
      </w:pPr>
      <w:r w:rsidRPr="00822FFC">
        <w:rPr>
          <w:shd w:val="clear" w:color="auto" w:fill="FFFFFF"/>
        </w:rPr>
        <w:t>The employer’s spending requirement is calculated based on the number of hours worked within the city and county of San Francisco. Paid time off, such as vacation and holidays, counts as work hours. Employers should not count more than 172 hours in a month (or 516 hours in a quarter) for any one employee.</w:t>
      </w:r>
    </w:p>
    <w:p w14:paraId="4E1C0D1C" w14:textId="77777777" w:rsidR="00C6122D" w:rsidRPr="00822FFC" w:rsidRDefault="00C6122D" w:rsidP="00C6122D">
      <w:pPr>
        <w:rPr>
          <w:shd w:val="clear" w:color="auto" w:fill="FFFFFF"/>
        </w:rPr>
      </w:pPr>
      <w:r w:rsidRPr="00822FFC">
        <w:rPr>
          <w:shd w:val="clear" w:color="auto" w:fill="FFFFFF"/>
        </w:rPr>
        <w:t>The spending requirement does </w:t>
      </w:r>
      <w:r w:rsidRPr="00822FFC">
        <w:rPr>
          <w:i/>
          <w:iCs/>
          <w:shd w:val="clear" w:color="auto" w:fill="FFFFFF"/>
        </w:rPr>
        <w:t>not</w:t>
      </w:r>
      <w:r w:rsidRPr="00822FFC">
        <w:rPr>
          <w:shd w:val="clear" w:color="auto" w:fill="FFFFFF"/>
        </w:rPr>
        <w:t> apply to the following employees:</w:t>
      </w:r>
    </w:p>
    <w:p w14:paraId="252FC0D1"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New hires during their first 90 days of employment;</w:t>
      </w:r>
    </w:p>
    <w:p w14:paraId="3404DD01"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averaged fewer than eight hours per week in San Francisco during the calendar quarter;</w:t>
      </w:r>
    </w:p>
    <w:p w14:paraId="399F495A"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lastRenderedPageBreak/>
        <w:t>Certain managerial, supervisory, and confidential employees who earn more than $125,405 annually or $60.29 per hour effective January 1, 2025, and $128,861 annually or $61.95 per hour effective January 1, 2026;</w:t>
      </w:r>
    </w:p>
    <w:p w14:paraId="2ECDE14E"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Trainees of a nonprofit organization for up to one year while in a bona fide training program consistent with federal law;</w:t>
      </w:r>
    </w:p>
    <w:p w14:paraId="2B493E7C"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are eligible for Medicare or TRICARE;</w:t>
      </w:r>
    </w:p>
    <w:p w14:paraId="33EEEA06"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covered by the San Francisco Health Care Accountability Ordinance (HCAO); and</w:t>
      </w:r>
    </w:p>
    <w:p w14:paraId="2608EEA2" w14:textId="7B6496A3" w:rsidR="00C6122D"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have signed an</w:t>
      </w:r>
      <w:r w:rsidRPr="005D03B2">
        <w:rPr>
          <w:shd w:val="clear" w:color="auto" w:fill="FFFFFF"/>
        </w:rPr>
        <w:t> </w:t>
      </w:r>
      <w:hyperlink r:id="rId544" w:anchor=":~:text=HCSO%20Employee%20Voluntary%20Waiver%20form%20%28PDFs%29" w:tgtFrame="_blank" w:history="1">
        <w:r w:rsidRPr="005D03B2">
          <w:rPr>
            <w:rStyle w:val="Hyperlink"/>
            <w:shd w:val="clear" w:color="auto" w:fill="FFFFFF"/>
          </w:rPr>
          <w:t>HCSO Employee Voluntary Waiver Form</w:t>
        </w:r>
      </w:hyperlink>
      <w:r w:rsidRPr="005D03B2">
        <w:rPr>
          <w:shd w:val="clear" w:color="auto" w:fill="FFFFFF"/>
        </w:rPr>
        <w:t>.</w:t>
      </w:r>
    </w:p>
    <w:p w14:paraId="16056953" w14:textId="51E35021" w:rsidR="002E4255" w:rsidRPr="002E4255" w:rsidRDefault="002E4255" w:rsidP="002E4255">
      <w:pPr>
        <w:spacing w:after="0" w:line="240" w:lineRule="auto"/>
        <w:ind w:left="540"/>
        <w:rPr>
          <w:shd w:val="clear" w:color="auto" w:fill="FFFFFF"/>
        </w:rPr>
      </w:pPr>
    </w:p>
    <w:p w14:paraId="3FB79485" w14:textId="77777777" w:rsidR="00C6122D" w:rsidRPr="00822FFC" w:rsidRDefault="00C6122D" w:rsidP="00C6122D">
      <w:pPr>
        <w:rPr>
          <w:b/>
          <w:bCs/>
          <w:shd w:val="clear" w:color="auto" w:fill="FFFFFF"/>
        </w:rPr>
      </w:pPr>
      <w:r w:rsidRPr="00822FFC">
        <w:rPr>
          <w:b/>
          <w:bCs/>
          <w:shd w:val="clear" w:color="auto" w:fill="FFFFFF"/>
        </w:rPr>
        <w:t>Required Actions by Employers</w:t>
      </w:r>
    </w:p>
    <w:p w14:paraId="00C979BA" w14:textId="77777777" w:rsidR="00C6122D" w:rsidRPr="00822FFC" w:rsidRDefault="00C6122D" w:rsidP="00C6122D">
      <w:pPr>
        <w:spacing w:line="240" w:lineRule="auto"/>
        <w:rPr>
          <w:shd w:val="clear" w:color="auto" w:fill="FFFFFF"/>
        </w:rPr>
      </w:pPr>
      <w:r w:rsidRPr="00822FFC">
        <w:rPr>
          <w:shd w:val="clear" w:color="auto" w:fill="FFFFFF"/>
        </w:rPr>
        <w:t>Employers that are subject to the SF HCSO must:</w:t>
      </w:r>
    </w:p>
    <w:p w14:paraId="4C4F8C04" w14:textId="77777777" w:rsidR="00C6122D" w:rsidRPr="00822FFC"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Satisfy the spending requirement by making healthcare expenditures on behalf of all covered employees, such as:</w:t>
      </w:r>
    </w:p>
    <w:p w14:paraId="22BB5F2E"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Payments to a third party to provide group health coverage, such as medical, dental, or vision insurance premiums;</w:t>
      </w:r>
    </w:p>
    <w:p w14:paraId="093F31F8"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Benefit payments made by the employer’s self-funded health plan;</w:t>
      </w:r>
    </w:p>
    <w:p w14:paraId="586CAACB"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Contributions to a union trust fund, counting only the part contributed for healthcare;</w:t>
      </w:r>
    </w:p>
    <w:p w14:paraId="5BE11452"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Contributions made to the employee’s health savings account (HSA); and</w:t>
      </w:r>
    </w:p>
    <w:p w14:paraId="64D5812D"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Costs paid for the direct delivery of healthcare services.</w:t>
      </w:r>
    </w:p>
    <w:p w14:paraId="6DC9910F" w14:textId="77777777" w:rsidR="00C6122D" w:rsidRPr="005D03B2"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Display the SF HCSO poster in all workplaces with covered employees. Covered employees without a physical job site must be provided a copy of the poster. Note: The poster is updated annually (effective each January 1) and can be downloaded from the SF HCSO</w:t>
      </w:r>
      <w:r w:rsidRPr="005D03B2">
        <w:rPr>
          <w:shd w:val="clear" w:color="auto" w:fill="FFFFFF"/>
        </w:rPr>
        <w:t> </w:t>
      </w:r>
      <w:hyperlink r:id="rId545" w:tgtFrame="_blank" w:history="1">
        <w:r w:rsidRPr="005D03B2">
          <w:rPr>
            <w:rStyle w:val="Hyperlink"/>
            <w:shd w:val="clear" w:color="auto" w:fill="FFFFFF"/>
          </w:rPr>
          <w:t>website</w:t>
        </w:r>
      </w:hyperlink>
      <w:r w:rsidRPr="005D03B2">
        <w:rPr>
          <w:shd w:val="clear" w:color="auto" w:fill="FFFFFF"/>
        </w:rPr>
        <w:t>.</w:t>
      </w:r>
    </w:p>
    <w:p w14:paraId="68CED3FF" w14:textId="77777777" w:rsidR="00C6122D" w:rsidRPr="005D03B2"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Submit the online annual reporting form (available on the SF HCSO website each April 1) to the City and County of San Francisco Office of Labor Standards Enforcement (OLSE) by April 30 each year</w:t>
      </w:r>
      <w:r w:rsidRPr="005D03B2">
        <w:rPr>
          <w:shd w:val="clear" w:color="auto" w:fill="FFFFFF"/>
        </w:rPr>
        <w:t>.</w:t>
      </w:r>
    </w:p>
    <w:p w14:paraId="61A7DF09" w14:textId="77777777" w:rsidR="00C6122D" w:rsidRDefault="00C6122D">
      <w:pPr>
        <w:numPr>
          <w:ilvl w:val="0"/>
          <w:numId w:val="331"/>
        </w:numPr>
        <w:tabs>
          <w:tab w:val="clear" w:pos="720"/>
        </w:tabs>
        <w:spacing w:after="0" w:line="240" w:lineRule="auto"/>
        <w:ind w:left="540"/>
        <w:rPr>
          <w:shd w:val="clear" w:color="auto" w:fill="FFFFFF"/>
        </w:rPr>
      </w:pPr>
      <w:hyperlink r:id="rId546" w:tgtFrame="_blank" w:history="1">
        <w:r w:rsidRPr="005D03B2">
          <w:rPr>
            <w:rStyle w:val="Hyperlink"/>
            <w:shd w:val="clear" w:color="auto" w:fill="FFFFFF"/>
          </w:rPr>
          <w:t>Maintain records</w:t>
        </w:r>
      </w:hyperlink>
      <w:r w:rsidRPr="005D03B2">
        <w:rPr>
          <w:shd w:val="clear" w:color="auto" w:fill="FFFFFF"/>
        </w:rPr>
        <w:t> for four years starting with the employee’s hire date to document the employer’s compliance with the spending requirement.</w:t>
      </w:r>
    </w:p>
    <w:p w14:paraId="002450B6" w14:textId="77777777" w:rsidR="00C6122D" w:rsidRPr="00822FFC" w:rsidRDefault="00C6122D" w:rsidP="00C6122D">
      <w:pPr>
        <w:spacing w:after="0" w:line="240" w:lineRule="auto"/>
        <w:ind w:left="360"/>
        <w:rPr>
          <w:shd w:val="clear" w:color="auto" w:fill="FFFFFF"/>
        </w:rPr>
      </w:pPr>
    </w:p>
    <w:p w14:paraId="08E7E836" w14:textId="5E1FCC10" w:rsidR="00C6122D" w:rsidRPr="002E4255" w:rsidRDefault="00C6122D" w:rsidP="002E4255">
      <w:pPr>
        <w:rPr>
          <w:b/>
          <w:bCs/>
          <w:shd w:val="clear" w:color="auto" w:fill="FFFFFF"/>
        </w:rPr>
      </w:pPr>
      <w:r w:rsidRPr="00574138">
        <w:rPr>
          <w:shd w:val="clear" w:color="auto" w:fill="FFFFFF"/>
        </w:rPr>
        <w:t>For details, see</w:t>
      </w:r>
      <w:r w:rsidRPr="005D03B2">
        <w:rPr>
          <w:b/>
          <w:bCs/>
          <w:shd w:val="clear" w:color="auto" w:fill="FFFFFF"/>
        </w:rPr>
        <w:t> </w:t>
      </w:r>
      <w:hyperlink r:id="rId547" w:tgtFrame="_blank" w:history="1">
        <w:r w:rsidRPr="005D03B2">
          <w:rPr>
            <w:rStyle w:val="Hyperlink"/>
            <w:bCs/>
            <w:shd w:val="clear" w:color="auto" w:fill="FFFFFF"/>
          </w:rPr>
          <w:t>HCSO Rules 5.9 and 5.10</w:t>
        </w:r>
      </w:hyperlink>
      <w:r w:rsidRPr="005D03B2">
        <w:rPr>
          <w:b/>
          <w:bCs/>
          <w:shd w:val="clear" w:color="auto" w:fill="FFFFFF"/>
        </w:rPr>
        <w:t>.</w:t>
      </w:r>
    </w:p>
    <w:p w14:paraId="149D725D" w14:textId="77777777" w:rsidR="0015425E" w:rsidRPr="00DD7BD1" w:rsidRDefault="0015425E" w:rsidP="00AF681C">
      <w:pPr>
        <w:spacing w:after="0" w:line="240" w:lineRule="auto"/>
        <w:jc w:val="center"/>
        <w:rPr>
          <w:rFonts w:ascii="Calibri" w:hAnsi="Calibri" w:cs="Calibri"/>
          <w:b/>
          <w:bCs/>
          <w:shd w:val="clear" w:color="auto" w:fill="FFFFFF"/>
          <w:lang w:val="en"/>
        </w:rPr>
      </w:pPr>
    </w:p>
    <w:p w14:paraId="4C1BE100" w14:textId="36667B85" w:rsidR="00AF681C" w:rsidRPr="00DD7BD1" w:rsidRDefault="00AF681C" w:rsidP="00AF681C">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State Issues New Workplace Poster for Paid Sick Leave</w:t>
      </w:r>
    </w:p>
    <w:p w14:paraId="64938814" w14:textId="77777777" w:rsidR="00AF681C" w:rsidRPr="00DD7BD1" w:rsidRDefault="00AF681C" w:rsidP="00AF681C">
      <w:pPr>
        <w:spacing w:after="0" w:line="240" w:lineRule="auto"/>
        <w:rPr>
          <w:rFonts w:ascii="Calibri" w:hAnsi="Calibri" w:cs="Calibri"/>
          <w:b/>
          <w:bCs/>
        </w:rPr>
      </w:pPr>
      <w:r w:rsidRPr="00DD7BD1">
        <w:rPr>
          <w:rFonts w:ascii="Calibri" w:hAnsi="Calibri" w:cs="Calibri"/>
          <w:b/>
          <w:bCs/>
        </w:rPr>
        <w:t>CA Paid Sick Leave Poster/Notice:</w:t>
      </w:r>
      <w:r w:rsidRPr="00DD7BD1">
        <w:rPr>
          <w:rFonts w:ascii="Calibri" w:hAnsi="Calibri" w:cs="Calibri"/>
        </w:rPr>
        <w:t xml:space="preserve"> The state has published a new workplace paid sick leave notice that includes new reasons for leave dated January 2026. Employers should make sure they display the latest version of the poster where it can be easily read by employees. Access  </w:t>
      </w:r>
      <w:hyperlink r:id="rId548" w:history="1">
        <w:r w:rsidRPr="00DD7BD1">
          <w:rPr>
            <w:rStyle w:val="Hyperlink"/>
            <w:rFonts w:ascii="Calibri" w:hAnsi="Calibri" w:cs="Calibri"/>
          </w:rPr>
          <w:t>workplace poster</w:t>
        </w:r>
      </w:hyperlink>
      <w:r w:rsidRPr="00DD7BD1">
        <w:rPr>
          <w:rFonts w:ascii="Calibri" w:hAnsi="Calibri" w:cs="Calibri"/>
          <w:b/>
          <w:bCs/>
        </w:rPr>
        <w:t xml:space="preserve">   </w:t>
      </w:r>
      <w:r w:rsidRPr="00DD7BD1">
        <w:rPr>
          <w:rFonts w:ascii="Calibri" w:hAnsi="Calibri" w:cs="Calibri"/>
          <w:b/>
          <w:bCs/>
          <w:shd w:val="clear" w:color="auto" w:fill="FFFFFF"/>
          <w:lang w:val="en"/>
        </w:rPr>
        <w:t xml:space="preserve">NOTE: </w:t>
      </w:r>
      <w:r w:rsidRPr="00DD7BD1">
        <w:rPr>
          <w:rFonts w:ascii="Calibri" w:hAnsi="Calibri" w:cs="Calibri"/>
          <w:shd w:val="clear" w:color="auto" w:fill="FFFFFF"/>
          <w:lang w:val="en"/>
        </w:rPr>
        <w:t xml:space="preserve">ETC released an updated CA State Handbook Addendum in December which reflects </w:t>
      </w:r>
      <w:proofErr w:type="gramStart"/>
      <w:r w:rsidRPr="00DD7BD1">
        <w:rPr>
          <w:rFonts w:ascii="Calibri" w:hAnsi="Calibri" w:cs="Calibri"/>
          <w:shd w:val="clear" w:color="auto" w:fill="FFFFFF"/>
          <w:lang w:val="en"/>
        </w:rPr>
        <w:t>all of</w:t>
      </w:r>
      <w:proofErr w:type="gramEnd"/>
      <w:r w:rsidRPr="00DD7BD1">
        <w:rPr>
          <w:rFonts w:ascii="Calibri" w:hAnsi="Calibri" w:cs="Calibri"/>
          <w:shd w:val="clear" w:color="auto" w:fill="FFFFFF"/>
          <w:lang w:val="en"/>
        </w:rPr>
        <w:t xml:space="preserve"> the covered reasons for leave under CA’s Paid Sick Leave regulations.</w:t>
      </w:r>
    </w:p>
    <w:p w14:paraId="0AD84142" w14:textId="77777777" w:rsidR="00AF681C" w:rsidRPr="00DD7BD1" w:rsidRDefault="00AF681C" w:rsidP="00AF681C">
      <w:pPr>
        <w:spacing w:after="0" w:line="240" w:lineRule="auto"/>
        <w:rPr>
          <w:rFonts w:ascii="Calibri" w:hAnsi="Calibri" w:cs="Calibri"/>
          <w:shd w:val="clear" w:color="auto" w:fill="FFFFFF"/>
          <w:lang w:val="en"/>
        </w:rPr>
      </w:pPr>
    </w:p>
    <w:p w14:paraId="254C3A39" w14:textId="315FF17E" w:rsidR="00AF681C" w:rsidRPr="00DD7BD1" w:rsidRDefault="00AF681C" w:rsidP="00AF681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Data Reporting Temporary Templates &amp; FAQs Released Deadline </w:t>
      </w:r>
      <w:r w:rsidRPr="00DD7BD1">
        <w:rPr>
          <w:rFonts w:ascii="Calibri" w:hAnsi="Calibri" w:cs="Calibri"/>
          <w:b/>
          <w:bCs/>
          <w:color w:val="C00000"/>
          <w:sz w:val="28"/>
          <w:szCs w:val="28"/>
          <w:shd w:val="clear" w:color="auto" w:fill="FFFFFF"/>
          <w:lang w:val="en"/>
        </w:rPr>
        <w:t xml:space="preserve">May 13, 2026 </w:t>
      </w:r>
      <w:r w:rsidRPr="00DD7BD1">
        <w:rPr>
          <w:rFonts w:ascii="Calibri" w:hAnsi="Calibri" w:cs="Calibri"/>
          <w:b/>
          <w:bCs/>
          <w:sz w:val="28"/>
          <w:szCs w:val="28"/>
          <w:shd w:val="clear" w:color="auto" w:fill="FFFFFF"/>
          <w:lang w:val="en"/>
        </w:rPr>
        <w:t xml:space="preserve">&amp; Portal Opens </w:t>
      </w:r>
      <w:r w:rsidRPr="00DD7BD1">
        <w:rPr>
          <w:rFonts w:ascii="Calibri" w:hAnsi="Calibri" w:cs="Calibri"/>
          <w:b/>
          <w:bCs/>
          <w:color w:val="C00000"/>
          <w:sz w:val="28"/>
          <w:szCs w:val="28"/>
          <w:shd w:val="clear" w:color="auto" w:fill="FFFFFF"/>
          <w:lang w:val="en"/>
        </w:rPr>
        <w:t>Feb 2, 2026</w:t>
      </w:r>
    </w:p>
    <w:p w14:paraId="78626DDA"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California’s annual pay data reporting submission this year is </w:t>
      </w:r>
      <w:r w:rsidRPr="00DD7BD1">
        <w:rPr>
          <w:rFonts w:ascii="Calibri" w:hAnsi="Calibri" w:cs="Calibri"/>
          <w:b/>
          <w:bCs/>
        </w:rPr>
        <w:t>due on May 13, 2026</w:t>
      </w:r>
      <w:r w:rsidRPr="00DD7BD1">
        <w:rPr>
          <w:rFonts w:ascii="Calibri" w:hAnsi="Calibri" w:cs="Calibri"/>
        </w:rPr>
        <w:t>. Each cycle, the California Civil Rights Department (CRD) typically releases updated guidance for that year’s reporting in early February.</w:t>
      </w:r>
    </w:p>
    <w:p w14:paraId="731D3988" w14:textId="77777777" w:rsidR="00AF681C" w:rsidRPr="00DD7BD1" w:rsidRDefault="00AF681C" w:rsidP="00AF681C">
      <w:pPr>
        <w:shd w:val="clear" w:color="auto" w:fill="FFFFFF"/>
        <w:spacing w:after="0" w:line="240" w:lineRule="auto"/>
        <w:rPr>
          <w:rFonts w:ascii="Calibri" w:hAnsi="Calibri" w:cs="Calibri"/>
          <w:sz w:val="16"/>
          <w:szCs w:val="16"/>
        </w:rPr>
      </w:pPr>
    </w:p>
    <w:p w14:paraId="433501A1"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Background</w:t>
      </w:r>
    </w:p>
    <w:p w14:paraId="638C54A1"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 law requires private </w:t>
      </w:r>
      <w:r w:rsidRPr="00DD7BD1">
        <w:rPr>
          <w:rFonts w:ascii="Calibri" w:hAnsi="Calibri" w:cs="Calibri"/>
          <w:b/>
          <w:bCs/>
        </w:rPr>
        <w:t>employers of 100 or more employees</w:t>
      </w:r>
      <w:r w:rsidRPr="00DD7BD1">
        <w:rPr>
          <w:rFonts w:ascii="Calibri" w:hAnsi="Calibri" w:cs="Calibri"/>
        </w:rPr>
        <w:t> and/or </w:t>
      </w:r>
      <w:r w:rsidRPr="00DD7BD1">
        <w:rPr>
          <w:rFonts w:ascii="Calibri" w:hAnsi="Calibri" w:cs="Calibri"/>
          <w:b/>
          <w:bCs/>
        </w:rPr>
        <w:t>100 or more workers hired through labor contractors</w:t>
      </w:r>
      <w:r w:rsidRPr="00DD7BD1">
        <w:rPr>
          <w:rFonts w:ascii="Calibri" w:hAnsi="Calibri" w:cs="Calibri"/>
        </w:rPr>
        <w:t> to annually report pay, demographic, and other workforce data to the Civil Rights Department (CRD). This reporting is required under Government Code section 12999, as amended by Senate Bill 1162.</w:t>
      </w:r>
    </w:p>
    <w:p w14:paraId="199787D9" w14:textId="77777777" w:rsidR="00AF681C" w:rsidRPr="00DD7BD1" w:rsidRDefault="00AF681C" w:rsidP="00AF681C">
      <w:pPr>
        <w:shd w:val="clear" w:color="auto" w:fill="FFFFFF"/>
        <w:spacing w:after="0" w:line="240" w:lineRule="auto"/>
        <w:rPr>
          <w:rFonts w:ascii="Calibri" w:hAnsi="Calibri" w:cs="Calibri"/>
          <w:sz w:val="16"/>
          <w:szCs w:val="16"/>
        </w:rPr>
      </w:pPr>
    </w:p>
    <w:p w14:paraId="65433DC3"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Determine whether the employer is required to file a Payroll Employee Report for Reporting Year 2025 </w:t>
      </w:r>
      <w:r w:rsidRPr="00DD7BD1">
        <w:rPr>
          <w:rFonts w:ascii="Calibri" w:hAnsi="Calibri" w:cs="Calibri"/>
        </w:rPr>
        <w:t>by counting the total number of payroll employees inside and outside of California in 2025. If the employer has 100 or more payroll employees, and at least 1 California employee, the employer is required to file.</w:t>
      </w:r>
    </w:p>
    <w:p w14:paraId="5FA548F1" w14:textId="77777777" w:rsidR="00AF681C" w:rsidRPr="00DD7BD1" w:rsidRDefault="00AF681C" w:rsidP="00AF681C">
      <w:pPr>
        <w:shd w:val="clear" w:color="auto" w:fill="FFFFFF"/>
        <w:spacing w:after="0" w:line="240" w:lineRule="auto"/>
        <w:rPr>
          <w:rFonts w:ascii="Calibri" w:hAnsi="Calibri" w:cs="Calibri"/>
          <w:sz w:val="16"/>
          <w:szCs w:val="16"/>
        </w:rPr>
      </w:pPr>
    </w:p>
    <w:p w14:paraId="62EC1CFE"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has already provided</w:t>
      </w:r>
      <w:r w:rsidRPr="00DD7BD1">
        <w:rPr>
          <w:rFonts w:ascii="Calibri" w:hAnsi="Calibri" w:cs="Calibri"/>
          <w:color w:val="333333"/>
        </w:rPr>
        <w:t> </w:t>
      </w:r>
      <w:hyperlink r:id="rId549" w:tgtFrame="_blank" w:history="1">
        <w:r w:rsidRPr="00DD7BD1">
          <w:rPr>
            <w:rFonts w:ascii="Calibri" w:hAnsi="Calibri" w:cs="Calibri"/>
            <w:color w:val="276674"/>
            <w:u w:val="single"/>
          </w:rPr>
          <w:t>preliminary templates for payroll employee and labor contractor pay data reporting</w:t>
        </w:r>
      </w:hyperlink>
      <w:r w:rsidRPr="00DD7BD1">
        <w:rPr>
          <w:rFonts w:ascii="Calibri" w:hAnsi="Calibri" w:cs="Calibri"/>
          <w:color w:val="333333"/>
        </w:rPr>
        <w:t> and related </w:t>
      </w:r>
      <w:hyperlink r:id="rId550" w:tgtFrame="_blank" w:history="1">
        <w:r w:rsidRPr="00DD7BD1">
          <w:rPr>
            <w:rFonts w:ascii="Calibri" w:hAnsi="Calibri" w:cs="Calibri"/>
            <w:color w:val="276674"/>
            <w:u w:val="single"/>
          </w:rPr>
          <w:t>Frequently Asked Questions</w:t>
        </w:r>
      </w:hyperlink>
      <w:r w:rsidRPr="00DD7BD1">
        <w:rPr>
          <w:rFonts w:ascii="Calibri" w:hAnsi="Calibri" w:cs="Calibri"/>
          <w:color w:val="333333"/>
        </w:rPr>
        <w:t xml:space="preserve">. </w:t>
      </w:r>
      <w:r w:rsidRPr="00DD7BD1">
        <w:rPr>
          <w:rFonts w:ascii="Calibri" w:hAnsi="Calibri" w:cs="Calibri"/>
        </w:rPr>
        <w:t xml:space="preserve">These preliminary templates are intended to be simplified versions of the final filing </w:t>
      </w:r>
      <w:r w:rsidRPr="00DD7BD1">
        <w:rPr>
          <w:rFonts w:ascii="Calibri" w:hAnsi="Calibri" w:cs="Calibri"/>
        </w:rPr>
        <w:lastRenderedPageBreak/>
        <w:t>templates to help employers get familiar with the format and data fields in advance of the reporting deadline. Though neither final nor compelled by regulation, the preliminary templates reflect material changes to this year’s data collection.</w:t>
      </w:r>
    </w:p>
    <w:p w14:paraId="17211524"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B34C9E3"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New Data Elements: </w:t>
      </w:r>
    </w:p>
    <w:p w14:paraId="6331F210"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adds three mandatory data fields to the pay data report:</w:t>
      </w:r>
    </w:p>
    <w:p w14:paraId="0E203F89"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Exemption status (exempt or non</w:t>
      </w:r>
      <w:r w:rsidRPr="00DD7BD1">
        <w:rPr>
          <w:rFonts w:ascii="Calibri" w:hAnsi="Calibri" w:cs="Calibri"/>
        </w:rPr>
        <w:noBreakHyphen/>
        <w:t>exempt)</w:t>
      </w:r>
    </w:p>
    <w:p w14:paraId="06321795"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Employment type (full</w:t>
      </w:r>
      <w:r w:rsidRPr="00DD7BD1">
        <w:rPr>
          <w:rFonts w:ascii="Calibri" w:hAnsi="Calibri" w:cs="Calibri"/>
        </w:rPr>
        <w:noBreakHyphen/>
        <w:t>time, part</w:t>
      </w:r>
      <w:r w:rsidRPr="00DD7BD1">
        <w:rPr>
          <w:rFonts w:ascii="Calibri" w:hAnsi="Calibri" w:cs="Calibri"/>
        </w:rPr>
        <w:noBreakHyphen/>
        <w:t>time, or intermittent)</w:t>
      </w:r>
    </w:p>
    <w:p w14:paraId="4ABF5411"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Total annual weeks worked (aggregated by employee group)</w:t>
      </w:r>
    </w:p>
    <w:p w14:paraId="2908FF12" w14:textId="77777777" w:rsidR="00AF681C" w:rsidRPr="00DD7BD1" w:rsidRDefault="00AF681C" w:rsidP="00AF681C">
      <w:pPr>
        <w:shd w:val="clear" w:color="auto" w:fill="FFFFFF"/>
        <w:spacing w:after="0" w:line="240" w:lineRule="auto"/>
        <w:rPr>
          <w:rFonts w:ascii="Calibri" w:hAnsi="Calibri" w:cs="Calibri"/>
          <w:sz w:val="16"/>
          <w:szCs w:val="16"/>
        </w:rPr>
      </w:pPr>
    </w:p>
    <w:p w14:paraId="592E28C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These fields apply across both the Payroll Employee reports and the Labor Contractor Employee reports.</w:t>
      </w:r>
    </w:p>
    <w:p w14:paraId="4A3CF6A8" w14:textId="30363C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In addition to receiving compensation data organized by job category, pay band, race/ethnicity, and sex, the updates further break out the submission by exemption status and employment type.</w:t>
      </w:r>
    </w:p>
    <w:p w14:paraId="214631E9"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1FCF5EA7" w14:textId="56E4C429"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Reminders</w:t>
      </w:r>
    </w:p>
    <w:p w14:paraId="49B00E0A" w14:textId="39C9C304"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Although not new, the FAQ reiterates how employers must calculate total annual hours worked for both exempt and non</w:t>
      </w:r>
      <w:r w:rsidRPr="00DD7BD1">
        <w:rPr>
          <w:rFonts w:ascii="Calibri" w:hAnsi="Calibri" w:cs="Calibri"/>
        </w:rPr>
        <w:noBreakHyphen/>
        <w:t>exempt employees.</w:t>
      </w:r>
    </w:p>
    <w:p w14:paraId="02176B4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For exempt employees, employers must use:</w:t>
      </w:r>
    </w:p>
    <w:p w14:paraId="577B4DDF"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actual tracked hours, if available; or</w:t>
      </w:r>
    </w:p>
    <w:p w14:paraId="30673E01"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 reasonable estimation based on days worked and paid time off multiplied by average daily hours.</w:t>
      </w:r>
    </w:p>
    <w:p w14:paraId="03C27C9E" w14:textId="77777777" w:rsidR="00AF681C" w:rsidRPr="00DD7BD1" w:rsidRDefault="00AF681C" w:rsidP="00AF681C">
      <w:pPr>
        <w:shd w:val="clear" w:color="auto" w:fill="FFFFFF"/>
        <w:spacing w:after="0" w:line="240" w:lineRule="auto"/>
        <w:rPr>
          <w:rFonts w:ascii="Calibri" w:hAnsi="Calibri" w:cs="Calibri"/>
          <w:sz w:val="16"/>
          <w:szCs w:val="16"/>
        </w:rPr>
      </w:pPr>
    </w:p>
    <w:p w14:paraId="683B5DB2" w14:textId="7BD4BDE1"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emphasizes that the 2025 templates are preliminary and may change. Final templates, instructions, and guidance will be released when the reporting portal opens in February 2026.The preliminary templates are nonetheless instructive. They reflect how CRD expects data to be structured and the types of analyses it is preparing to perform.</w:t>
      </w:r>
    </w:p>
    <w:p w14:paraId="43F956F0" w14:textId="77777777" w:rsidR="00AF681C" w:rsidRPr="00DD7BD1" w:rsidRDefault="00AF681C" w:rsidP="00AF681C">
      <w:pPr>
        <w:shd w:val="clear" w:color="auto" w:fill="FFFFFF"/>
        <w:spacing w:after="0" w:line="240" w:lineRule="auto"/>
        <w:rPr>
          <w:rFonts w:ascii="Calibri" w:hAnsi="Calibri" w:cs="Calibri"/>
          <w:b/>
          <w:bCs/>
        </w:rPr>
      </w:pPr>
    </w:p>
    <w:p w14:paraId="488660A9" w14:textId="6E36B6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Practical Preparation Steps for Employers</w:t>
      </w:r>
    </w:p>
    <w:p w14:paraId="66371BEB"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Employers preparing for the 2025 reporting cycle should consider the following steps now:</w:t>
      </w:r>
    </w:p>
    <w:p w14:paraId="6B36EF1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Audit exemption classifications and reconcile them with job duties and pay practices.</w:t>
      </w:r>
    </w:p>
    <w:p w14:paraId="35804F8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Standardize employment type definitions across establishments and apply them consistently.</w:t>
      </w:r>
    </w:p>
    <w:p w14:paraId="1678C598"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Confirm system capability to calculate weeks worked and hours worked accurately.</w:t>
      </w:r>
    </w:p>
    <w:p w14:paraId="324104E1"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Document methodologies used for estimating exempt employee hours.</w:t>
      </w:r>
    </w:p>
    <w:p w14:paraId="0364E91C"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Run a dry</w:t>
      </w:r>
      <w:r w:rsidRPr="00DD7BD1">
        <w:rPr>
          <w:rFonts w:ascii="Calibri" w:hAnsi="Calibri" w:cs="Calibri"/>
        </w:rPr>
        <w:noBreakHyphen/>
        <w:t>run analysis using the preliminary templates to identify gaps or inconsistencies.</w:t>
      </w:r>
    </w:p>
    <w:p w14:paraId="722B039F" w14:textId="04A98A13"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Coordinate legal, HR, payroll, and data teams early in the process.</w:t>
      </w:r>
    </w:p>
    <w:p w14:paraId="12A4A1B0"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CAD2CFE" w14:textId="15219FB6" w:rsidR="003B56C1" w:rsidRPr="00DD7BD1" w:rsidRDefault="00AF681C" w:rsidP="006209C2">
      <w:pPr>
        <w:shd w:val="clear" w:color="auto" w:fill="FFFFFF"/>
        <w:spacing w:after="0" w:line="240" w:lineRule="auto"/>
        <w:rPr>
          <w:rFonts w:ascii="Calibri" w:hAnsi="Calibri" w:cs="Calibri"/>
        </w:rPr>
      </w:pPr>
      <w:r w:rsidRPr="00DD7BD1">
        <w:rPr>
          <w:rFonts w:ascii="Calibri" w:hAnsi="Calibri" w:cs="Calibri"/>
          <w:b/>
          <w:bCs/>
        </w:rPr>
        <w:t>Filing Portal Open Feb 2nd</w:t>
      </w:r>
      <w:r w:rsidRPr="00DD7BD1">
        <w:rPr>
          <w:rFonts w:ascii="Calibri" w:hAnsi="Calibri" w:cs="Calibri"/>
        </w:rPr>
        <w:t xml:space="preserve"> </w:t>
      </w:r>
      <w:hyperlink r:id="rId551" w:tgtFrame="_blank" w:history="1">
        <w:r w:rsidRPr="00DD7BD1">
          <w:rPr>
            <w:rStyle w:val="Hyperlink"/>
            <w:rFonts w:ascii="Calibri" w:hAnsi="Calibri" w:cs="Calibri"/>
          </w:rPr>
          <w:t>California </w:t>
        </w:r>
      </w:hyperlink>
      <w:hyperlink r:id="rId552" w:tgtFrame="_blank" w:tooltip="https://calcivilrights.ca.gov/paydatareporting/" w:history="1">
        <w:r w:rsidRPr="00DD7BD1">
          <w:rPr>
            <w:rStyle w:val="Hyperlink"/>
            <w:rFonts w:ascii="Calibri" w:hAnsi="Calibri" w:cs="Calibri"/>
          </w:rPr>
          <w:t>Pay Data Reporting homepage</w:t>
        </w:r>
      </w:hyperlink>
      <w:r w:rsidRPr="00DD7BD1">
        <w:rPr>
          <w:rFonts w:ascii="Calibri" w:hAnsi="Calibri" w:cs="Calibri"/>
        </w:rPr>
        <w:t> </w:t>
      </w:r>
    </w:p>
    <w:p w14:paraId="7267E4E3" w14:textId="77777777" w:rsidR="006209C2" w:rsidRPr="00DD7BD1" w:rsidRDefault="006209C2" w:rsidP="006209C2">
      <w:pPr>
        <w:shd w:val="clear" w:color="auto" w:fill="FFFFFF"/>
        <w:spacing w:after="0" w:line="240" w:lineRule="auto"/>
        <w:rPr>
          <w:rFonts w:ascii="Calibri" w:hAnsi="Calibri" w:cs="Calibri"/>
        </w:rPr>
      </w:pPr>
    </w:p>
    <w:p w14:paraId="6B06C7E8" w14:textId="7C6C956B" w:rsidR="00EC0387" w:rsidRPr="00DD7BD1" w:rsidRDefault="00EC0387" w:rsidP="00EC0387">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Annual Workplace Rights Notices – </w:t>
      </w:r>
      <w:r w:rsidRPr="00DD7BD1">
        <w:rPr>
          <w:rFonts w:ascii="Calibri" w:hAnsi="Calibri" w:cs="Calibri"/>
          <w:b/>
          <w:bCs/>
          <w:color w:val="C00000"/>
          <w:sz w:val="28"/>
          <w:szCs w:val="28"/>
          <w:shd w:val="clear" w:color="auto" w:fill="FFFFFF"/>
          <w:lang w:val="en"/>
        </w:rPr>
        <w:t>Deadline Feb 1, 2026</w:t>
      </w:r>
    </w:p>
    <w:p w14:paraId="1447BFCD" w14:textId="7419EFCB" w:rsidR="00EC0387" w:rsidRPr="00DD7BD1" w:rsidRDefault="00EC0387" w:rsidP="00EC0387">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553"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xml:space="preserve">) into law, which codifies the </w:t>
      </w:r>
      <w:r w:rsidRPr="00DD7BD1">
        <w:rPr>
          <w:rFonts w:ascii="Calibri" w:hAnsi="Calibri" w:cs="Calibri"/>
          <w:b/>
          <w:bCs/>
          <w:shd w:val="clear" w:color="auto" w:fill="FFFFFF"/>
        </w:rPr>
        <w:t>Workplace Know Your Rights Act</w:t>
      </w:r>
      <w:r w:rsidRPr="00DD7BD1">
        <w:rPr>
          <w:rFonts w:ascii="Calibri" w:hAnsi="Calibri" w:cs="Calibri"/>
          <w:shd w:val="clear" w:color="auto" w:fill="FFFFFF"/>
        </w:rPr>
        <w:t>. The law also clarifies employers’ duties if an employee is arrested during work.</w:t>
      </w:r>
    </w:p>
    <w:p w14:paraId="1F95D073"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xml:space="preserve">, the Labor Commissioner will provide a template notice for employers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develop video resources on the law’s rights and requirements.</w:t>
      </w:r>
    </w:p>
    <w:p w14:paraId="516A8F5D"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w:t>
      </w:r>
      <w:r w:rsidRPr="00DD7BD1">
        <w:rPr>
          <w:rFonts w:ascii="Calibri" w:hAnsi="Calibri" w:cs="Calibri"/>
          <w:color w:val="EE0000"/>
          <w:shd w:val="clear" w:color="auto" w:fill="FFFFFF"/>
        </w:rPr>
        <w:t> </w:t>
      </w:r>
      <w:r w:rsidRPr="00DD7BD1">
        <w:rPr>
          <w:rFonts w:ascii="Calibri" w:hAnsi="Calibri" w:cs="Calibri"/>
          <w:b/>
          <w:bCs/>
          <w:color w:val="EE0000"/>
          <w:shd w:val="clear" w:color="auto" w:fill="FFFFFF"/>
        </w:rPr>
        <w:t>February 1, 2026</w:t>
      </w:r>
      <w:r w:rsidRPr="00DD7BD1">
        <w:rPr>
          <w:rFonts w:ascii="Calibri" w:hAnsi="Calibri" w:cs="Calibri"/>
          <w:shd w:val="clear" w:color="auto" w:fill="FFFFFF"/>
        </w:rPr>
        <w:t>, employers must provide the notice to all current employees.</w:t>
      </w:r>
    </w:p>
    <w:p w14:paraId="000AB67C"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color w:val="EE0000"/>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36076267" w14:textId="77777777" w:rsidR="00EC0387" w:rsidRPr="00DD7BD1" w:rsidRDefault="00EC0387" w:rsidP="00EC0387">
      <w:pPr>
        <w:pStyle w:val="Heading3"/>
        <w:shd w:val="clear" w:color="auto" w:fill="FFFFFF"/>
        <w:spacing w:before="0"/>
        <w:rPr>
          <w:rFonts w:ascii="Calibri" w:hAnsi="Calibri" w:cs="Calibri"/>
          <w:color w:val="292929"/>
          <w:spacing w:val="3"/>
          <w:sz w:val="16"/>
          <w:szCs w:val="16"/>
        </w:rPr>
      </w:pPr>
    </w:p>
    <w:p w14:paraId="5456DB77" w14:textId="77777777" w:rsidR="00EC0387" w:rsidRPr="00DD7BD1" w:rsidRDefault="00EC0387" w:rsidP="00EC0387">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232E47BD" w14:textId="77777777" w:rsidR="00EC0387" w:rsidRPr="00DD7BD1" w:rsidRDefault="00EC0387" w:rsidP="00EC038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5B3BBC16" w14:textId="77777777"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2"/>
          <w:szCs w:val="22"/>
          <w:shd w:val="clear" w:color="auto" w:fill="FFFFFF"/>
          <w:lang w:val="en"/>
        </w:rPr>
      </w:pPr>
    </w:p>
    <w:p w14:paraId="1969B1EA" w14:textId="33839D71"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Increased Minimum Wages – Eff </w:t>
      </w:r>
      <w:r w:rsidRPr="00DD7BD1">
        <w:rPr>
          <w:rFonts w:ascii="Calibri" w:hAnsi="Calibri" w:cs="Calibri"/>
          <w:b/>
          <w:bCs/>
          <w:color w:val="C00000"/>
          <w:sz w:val="28"/>
          <w:szCs w:val="28"/>
          <w:shd w:val="clear" w:color="auto" w:fill="FFFFFF"/>
          <w:lang w:val="en"/>
        </w:rPr>
        <w:t>Jan 1, 2026</w:t>
      </w:r>
    </w:p>
    <w:p w14:paraId="06DB1CC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The standard state minimum wage will increase to $16.90 per hour. This will also increase the minimum salary threshold for exempt employees to $70,304 per year. Employers covered by local or industry-specific minimum wages that are higher must comply with those rates.</w:t>
      </w:r>
    </w:p>
    <w:p w14:paraId="1EECA031" w14:textId="77777777" w:rsidR="000012B8" w:rsidRPr="00DD7BD1" w:rsidRDefault="000012B8" w:rsidP="000012B8">
      <w:pPr>
        <w:spacing w:after="0" w:line="240" w:lineRule="auto"/>
        <w:rPr>
          <w:rFonts w:ascii="Calibri" w:hAnsi="Calibri" w:cs="Calibri"/>
          <w:sz w:val="16"/>
          <w:szCs w:val="16"/>
          <w:shd w:val="clear" w:color="auto" w:fill="FFFFFF"/>
          <w:lang w:val="en"/>
        </w:rPr>
      </w:pPr>
    </w:p>
    <w:p w14:paraId="76CA48B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u w:val="single"/>
          <w:shd w:val="clear" w:color="auto" w:fill="FFFFFF"/>
        </w:rPr>
        <w:t>LOCAL MINIMUM WAGES</w:t>
      </w:r>
      <w:r w:rsidRPr="00DD7BD1">
        <w:rPr>
          <w:rFonts w:ascii="Calibri" w:hAnsi="Calibri" w:cs="Calibri"/>
          <w:shd w:val="clear" w:color="auto" w:fill="FFFFFF"/>
        </w:rPr>
        <w:br/>
        <w:t xml:space="preserve">The hourly minimum wage in these jurisdictions will increase as follows. If a locality has not yet announced its 2026 rate, TBD (to be determined) appears. </w:t>
      </w:r>
    </w:p>
    <w:p w14:paraId="4954C1A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Belmont: $18.95</w:t>
      </w:r>
    </w:p>
    <w:p w14:paraId="539581B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Burlingame: $17.86</w:t>
      </w:r>
    </w:p>
    <w:p w14:paraId="299E8B8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Cupertino: $18.70</w:t>
      </w:r>
    </w:p>
    <w:p w14:paraId="425C3E9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Daly City: $17.50</w:t>
      </w:r>
    </w:p>
    <w:p w14:paraId="67D9302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East Palo Alto: $17.90</w:t>
      </w:r>
    </w:p>
    <w:p w14:paraId="1219C641"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El Cerrito: $18.82</w:t>
      </w:r>
    </w:p>
    <w:p w14:paraId="01D75CE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Foster City: $17.85</w:t>
      </w:r>
    </w:p>
    <w:p w14:paraId="3E146AC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Half Moon Bay: $17.91</w:t>
      </w:r>
    </w:p>
    <w:p w14:paraId="3051321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Hayward (25 or fewer): $16.90 (state rate)</w:t>
      </w:r>
      <w:r w:rsidRPr="00DD7BD1">
        <w:rPr>
          <w:rFonts w:ascii="Calibri" w:hAnsi="Calibri" w:cs="Calibri"/>
          <w:shd w:val="clear" w:color="auto" w:fill="FFFFFF"/>
        </w:rPr>
        <w:br/>
        <w:t>Hayward (26 or more): $17.79</w:t>
      </w:r>
    </w:p>
    <w:p w14:paraId="35FC102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Los Altos: $18.70</w:t>
      </w:r>
    </w:p>
    <w:p w14:paraId="2205441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Menlo Park: $17.55</w:t>
      </w:r>
    </w:p>
    <w:p w14:paraId="3F11497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Mountain View: $19.70</w:t>
      </w:r>
    </w:p>
    <w:p w14:paraId="153B6B4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Novato (25 or fewer employees): $16.90</w:t>
      </w:r>
      <w:r w:rsidRPr="00DD7BD1">
        <w:rPr>
          <w:rFonts w:ascii="Calibri" w:hAnsi="Calibri" w:cs="Calibri"/>
          <w:shd w:val="clear" w:color="auto" w:fill="FFFFFF"/>
        </w:rPr>
        <w:br/>
        <w:t>Novato (26–99 employees): $17.46</w:t>
      </w:r>
      <w:r w:rsidRPr="00DD7BD1">
        <w:rPr>
          <w:rFonts w:ascii="Calibri" w:hAnsi="Calibri" w:cs="Calibri"/>
          <w:shd w:val="clear" w:color="auto" w:fill="FFFFFF"/>
        </w:rPr>
        <w:br/>
        <w:t>Novato (100 or more employees): $17.73</w:t>
      </w:r>
    </w:p>
    <w:p w14:paraId="238EC2C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Oakland: TBD</w:t>
      </w:r>
      <w:r w:rsidRPr="00DD7BD1">
        <w:rPr>
          <w:rFonts w:ascii="Calibri" w:hAnsi="Calibri" w:cs="Calibri"/>
          <w:shd w:val="clear" w:color="auto" w:fill="FFFFFF"/>
        </w:rPr>
        <w:br/>
        <w:t>Oakland (hotels with health benefits): TBD</w:t>
      </w:r>
      <w:r w:rsidRPr="00DD7BD1">
        <w:rPr>
          <w:rFonts w:ascii="Calibri" w:hAnsi="Calibri" w:cs="Calibri"/>
          <w:shd w:val="clear" w:color="auto" w:fill="FFFFFF"/>
        </w:rPr>
        <w:br/>
        <w:t>Oakland (hotels without health benefits): TBD</w:t>
      </w:r>
    </w:p>
    <w:p w14:paraId="36D42E0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Palo Alto: $18.70</w:t>
      </w:r>
    </w:p>
    <w:p w14:paraId="04F6B08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Petaluma: $18.31</w:t>
      </w:r>
    </w:p>
    <w:p w14:paraId="06DF6A7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Redwood City: $18.65</w:t>
      </w:r>
    </w:p>
    <w:p w14:paraId="4404F46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Richmond (with benefits): $17.68</w:t>
      </w:r>
      <w:r w:rsidRPr="00DD7BD1">
        <w:rPr>
          <w:rFonts w:ascii="Calibri" w:hAnsi="Calibri" w:cs="Calibri"/>
          <w:shd w:val="clear" w:color="auto" w:fill="FFFFFF"/>
        </w:rPr>
        <w:br/>
        <w:t>Richmond (without benefits): $19.18</w:t>
      </w:r>
    </w:p>
    <w:p w14:paraId="0D21201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Carlos: $17.75</w:t>
      </w:r>
    </w:p>
    <w:p w14:paraId="4AD7B6F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Diego: $17.75</w:t>
      </w:r>
    </w:p>
    <w:p w14:paraId="5093019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Jose: $18.45</w:t>
      </w:r>
    </w:p>
    <w:p w14:paraId="32AFD75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City: $18.60</w:t>
      </w:r>
    </w:p>
    <w:p w14:paraId="1EE5F3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County (unincorporated areas): $17.95</w:t>
      </w:r>
    </w:p>
    <w:p w14:paraId="76C545A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Clara City: $18.70</w:t>
      </w:r>
    </w:p>
    <w:p w14:paraId="090EBC6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Rosa: $18.21</w:t>
      </w:r>
    </w:p>
    <w:p w14:paraId="155EFB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Sonoma City (25 or fewer employees): $17.38</w:t>
      </w:r>
      <w:r w:rsidRPr="00DD7BD1">
        <w:rPr>
          <w:rFonts w:ascii="Calibri" w:hAnsi="Calibri" w:cs="Calibri"/>
          <w:shd w:val="clear" w:color="auto" w:fill="FFFFFF"/>
        </w:rPr>
        <w:br/>
        <w:t>Sonoma City (26 or more employees): $18.47</w:t>
      </w:r>
    </w:p>
    <w:p w14:paraId="77ED25BA"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South San Francisco: $18.15</w:t>
      </w:r>
    </w:p>
    <w:p w14:paraId="5FCD521F"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Sunnyvale: $19.50</w:t>
      </w:r>
    </w:p>
    <w:p w14:paraId="62D44B5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West Hollywood (non-hotel employees): $20.25</w:t>
      </w:r>
    </w:p>
    <w:p w14:paraId="1ECD9412" w14:textId="77777777" w:rsidR="004F7326" w:rsidRPr="00DD7BD1" w:rsidRDefault="004F7326" w:rsidP="000012B8">
      <w:pPr>
        <w:spacing w:after="0" w:line="240" w:lineRule="auto"/>
        <w:rPr>
          <w:rFonts w:ascii="Calibri" w:hAnsi="Calibri" w:cs="Calibri"/>
          <w:shd w:val="clear" w:color="auto" w:fill="FFFFFF"/>
        </w:rPr>
      </w:pPr>
    </w:p>
    <w:p w14:paraId="7853CAF2" w14:textId="77777777" w:rsidR="004F7326" w:rsidRPr="00DD7BD1" w:rsidRDefault="004F7326" w:rsidP="004F73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p w14:paraId="419DB0FB" w14:textId="77777777" w:rsidR="004F7326" w:rsidRPr="00DD7BD1" w:rsidRDefault="004F7326" w:rsidP="004F7326">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54"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55"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56"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increasing the compensation threshold to </w:t>
      </w:r>
      <w:r w:rsidRPr="00DD7BD1">
        <w:rPr>
          <w:rFonts w:ascii="Calibri" w:hAnsi="Calibri" w:cs="Calibri"/>
          <w:shd w:val="clear" w:color="auto" w:fill="FFFFFF"/>
        </w:rPr>
        <w:lastRenderedPageBreak/>
        <w:t>$122,573.13 annually ($10,214.44 monthly), or an hourly wage of $58.85. </w:t>
      </w:r>
      <w:hyperlink r:id="rId557"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558" w:anchor="_ftn4" w:history="1">
        <w:r w:rsidRPr="00DD7BD1">
          <w:rPr>
            <w:rStyle w:val="Hyperlink"/>
            <w:rFonts w:ascii="Calibri" w:hAnsi="Calibri" w:cs="Calibri"/>
            <w:shd w:val="clear" w:color="auto" w:fill="FFFFFF"/>
          </w:rPr>
          <w:t>[4]</w:t>
        </w:r>
      </w:hyperlink>
    </w:p>
    <w:p w14:paraId="3A841A93" w14:textId="51924175"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3B8FBB3" w14:textId="2DACED32"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17877793" w14:textId="303E0D07"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559"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165E32E4" w14:textId="00DE2AEE" w:rsidR="00BF4CB9" w:rsidRPr="00DD7BD1" w:rsidRDefault="004F7326" w:rsidP="00EC0387">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560" w:anchor="s-2" w:history="1">
        <w:r w:rsidRPr="00DD7BD1">
          <w:rPr>
            <w:rStyle w:val="Hyperlink"/>
            <w:rFonts w:ascii="Calibri" w:hAnsi="Calibri" w:cs="Calibri"/>
            <w:shd w:val="clear" w:color="auto" w:fill="FFFFFF"/>
          </w:rPr>
          <w:t>HERE</w:t>
        </w:r>
      </w:hyperlink>
    </w:p>
    <w:p w14:paraId="1BB435C2" w14:textId="77777777" w:rsidR="00CB4133" w:rsidRPr="00DD7BD1" w:rsidRDefault="00CB4133" w:rsidP="00CB4133">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Leave Rights: Jurors, Witnesses &amp; Crime Victims – </w:t>
      </w:r>
      <w:r w:rsidRPr="00DD7BD1">
        <w:rPr>
          <w:rFonts w:ascii="Calibri" w:hAnsi="Calibri" w:cs="Calibri"/>
          <w:b/>
          <w:bCs/>
          <w:color w:val="C00000"/>
          <w:sz w:val="28"/>
          <w:szCs w:val="28"/>
          <w:shd w:val="clear" w:color="auto" w:fill="FFFFFF"/>
          <w:lang w:val="en"/>
        </w:rPr>
        <w:t>Oct 1, 2025 &amp; Jan 1, 2026</w:t>
      </w:r>
    </w:p>
    <w:p w14:paraId="04F53C66" w14:textId="2E4C550C" w:rsidR="00CB4133" w:rsidRPr="00DD7BD1" w:rsidRDefault="00CB4133" w:rsidP="00CB4133">
      <w:pPr>
        <w:rPr>
          <w:rFonts w:ascii="Calibri" w:hAnsi="Calibri" w:cs="Calibri"/>
        </w:rPr>
      </w:pPr>
      <w:r w:rsidRPr="00DD7BD1">
        <w:rPr>
          <w:rFonts w:ascii="Calibri" w:hAnsi="Calibri" w:cs="Calibri"/>
          <w:b/>
          <w:bCs/>
        </w:rPr>
        <w:t xml:space="preserve">Overview: </w:t>
      </w:r>
      <w:r w:rsidRPr="00DD7BD1">
        <w:rPr>
          <w:rFonts w:ascii="Calibri" w:hAnsi="Calibri" w:cs="Calibri"/>
        </w:rPr>
        <w:t xml:space="preserve">Victim, juror and witness leave may qualify under the paid sick leave law starting </w:t>
      </w:r>
      <w:r w:rsidRPr="00DD7BD1">
        <w:rPr>
          <w:rFonts w:ascii="Calibri" w:hAnsi="Calibri" w:cs="Calibri"/>
          <w:color w:val="C00000"/>
        </w:rPr>
        <w:t>January 1, 2026</w:t>
      </w:r>
    </w:p>
    <w:p w14:paraId="541B3D97" w14:textId="47E9E088" w:rsidR="00CB4133" w:rsidRPr="00DD7BD1" w:rsidRDefault="00CB4133" w:rsidP="00CB4133">
      <w:pPr>
        <w:rPr>
          <w:rFonts w:ascii="Calibri" w:hAnsi="Calibri" w:cs="Calibri"/>
        </w:rPr>
      </w:pPr>
      <w:r w:rsidRPr="00DD7BD1">
        <w:rPr>
          <w:rFonts w:ascii="Calibri" w:hAnsi="Calibri" w:cs="Calibri"/>
        </w:rPr>
        <w:t xml:space="preserve">California has </w:t>
      </w:r>
      <w:hyperlink r:id="rId561"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crime victims (AB 2499) . The amendments also added paid sick leave rights under the California Healthy Workplaces, Healthy Families Act for victims, jurors and witnesses.</w:t>
      </w:r>
    </w:p>
    <w:p w14:paraId="3416B6BA"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666CD47C"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78208DDB" w14:textId="77777777" w:rsidR="00CB4133" w:rsidRPr="00DD7BD1" w:rsidRDefault="00CB4133" w:rsidP="00CB4133">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3EF1195"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Effective </w:t>
      </w:r>
      <w:r w:rsidRPr="00DD7BD1">
        <w:rPr>
          <w:rFonts w:cs="Calibri"/>
          <w:b/>
          <w:bCs/>
          <w:color w:val="auto"/>
          <w:szCs w:val="22"/>
        </w:rPr>
        <w:t>Oct. 1, 2025</w:t>
      </w:r>
      <w:r w:rsidRPr="00DD7BD1">
        <w:rPr>
          <w:rFonts w:cs="Calibri"/>
          <w:color w:val="auto"/>
          <w:szCs w:val="22"/>
        </w:rPr>
        <w:t xml:space="preserve">, the 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558240E4" w14:textId="77777777" w:rsidR="00CB4133" w:rsidRPr="00DD7BD1" w:rsidRDefault="00CB4133" w:rsidP="00CB4133">
      <w:pPr>
        <w:pStyle w:val="BodyText"/>
        <w:spacing w:after="0" w:line="240" w:lineRule="auto"/>
        <w:jc w:val="left"/>
        <w:rPr>
          <w:rFonts w:cs="Calibri"/>
          <w:color w:val="C00000"/>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E550054" w14:textId="77777777" w:rsidR="00C31001" w:rsidRPr="00DD7BD1" w:rsidRDefault="00C31001" w:rsidP="00CB4133">
      <w:pPr>
        <w:pStyle w:val="BodyText"/>
        <w:spacing w:after="0" w:line="240" w:lineRule="auto"/>
        <w:jc w:val="left"/>
        <w:rPr>
          <w:rFonts w:cs="Calibri"/>
          <w:color w:val="C00000"/>
          <w:szCs w:val="22"/>
        </w:rPr>
      </w:pPr>
    </w:p>
    <w:p w14:paraId="661AF18E" w14:textId="77777777" w:rsidR="00C31001" w:rsidRPr="00DD7BD1" w:rsidRDefault="00C31001" w:rsidP="00C3100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Data Reporting Requirements – </w:t>
      </w:r>
      <w:r w:rsidRPr="00DD7BD1">
        <w:rPr>
          <w:rFonts w:cs="Calibri"/>
          <w:b/>
          <w:bCs/>
          <w:color w:val="C00000"/>
          <w:sz w:val="28"/>
          <w:szCs w:val="28"/>
          <w:shd w:val="clear" w:color="auto" w:fill="FFFFFF"/>
          <w:lang w:val="en"/>
        </w:rPr>
        <w:t>Jan 1, 2026 &amp; 2027</w:t>
      </w:r>
    </w:p>
    <w:p w14:paraId="65F337F7" w14:textId="7CAAEC2C" w:rsidR="00C31001" w:rsidRPr="00DD7BD1" w:rsidRDefault="00C31001" w:rsidP="00C31001">
      <w:pPr>
        <w:spacing w:after="0" w:line="240" w:lineRule="auto"/>
        <w:rPr>
          <w:rFonts w:ascii="Calibri" w:hAnsi="Calibri" w:cs="Calibri"/>
        </w:rPr>
      </w:pPr>
      <w:r w:rsidRPr="00DD7BD1">
        <w:rPr>
          <w:rFonts w:ascii="Calibri" w:hAnsi="Calibri" w:cs="Calibri"/>
        </w:rPr>
        <w:t xml:space="preserve">On Oct. 13, 2025, California </w:t>
      </w:r>
      <w:hyperlink r:id="rId562"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rPr>
        <w:t>Jan. 1, 2027</w:t>
      </w:r>
      <w:r w:rsidRPr="00DD7BD1">
        <w:rPr>
          <w:rFonts w:ascii="Calibri" w:hAnsi="Calibri" w:cs="Calibri"/>
        </w:rPr>
        <w:t>, for employers with 100 or more total employees (with at least 1 employees or workers hired through labor contractors in the state).</w:t>
      </w:r>
    </w:p>
    <w:p w14:paraId="0AFAA40C" w14:textId="5DF41E05" w:rsidR="00C31001" w:rsidRPr="00DD7BD1" w:rsidRDefault="00C31001" w:rsidP="00C31001">
      <w:pPr>
        <w:spacing w:after="0" w:line="240" w:lineRule="auto"/>
        <w:rPr>
          <w:rFonts w:ascii="Calibri" w:hAnsi="Calibri" w:cs="Calibri"/>
        </w:rPr>
      </w:pPr>
      <w:r w:rsidRPr="00DD7BD1">
        <w:rPr>
          <w:rFonts w:ascii="Calibri" w:hAnsi="Calibri" w:cs="Calibri"/>
        </w:rPr>
        <w:lastRenderedPageBreak/>
        <w:t>This annual workforce pay data report requirements is filed with the California Civil Rights Department (CRD) and  must include the number of employees by race, ethnicity and sex in each of 10 job categories.</w:t>
      </w:r>
    </w:p>
    <w:p w14:paraId="4C740ED1" w14:textId="77777777" w:rsidR="00C31001" w:rsidRPr="00DD7BD1" w:rsidRDefault="00C31001" w:rsidP="00C31001">
      <w:pPr>
        <w:spacing w:after="0" w:line="240" w:lineRule="auto"/>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B693315"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2DD96739"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0859D133" w14:textId="77777777" w:rsidR="00C31001" w:rsidRPr="00DD7BD1" w:rsidRDefault="00C31001" w:rsidP="00C31001">
      <w:pPr>
        <w:spacing w:after="0" w:line="240" w:lineRule="auto"/>
        <w:rPr>
          <w:rFonts w:ascii="Calibri" w:hAnsi="Calibri" w:cs="Calibri"/>
          <w:sz w:val="16"/>
          <w:szCs w:val="16"/>
        </w:rPr>
      </w:pPr>
    </w:p>
    <w:p w14:paraId="4213F764" w14:textId="63B86997" w:rsidR="00C31001" w:rsidRPr="00DD7BD1" w:rsidRDefault="00C31001" w:rsidP="006F103C">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86148B2" w14:textId="77777777" w:rsidR="006F103C" w:rsidRPr="00DD7BD1" w:rsidRDefault="006F103C" w:rsidP="006F103C">
      <w:pPr>
        <w:spacing w:after="0" w:line="240" w:lineRule="auto"/>
        <w:rPr>
          <w:rFonts w:ascii="Calibri" w:hAnsi="Calibri" w:cs="Calibri"/>
        </w:rPr>
      </w:pPr>
    </w:p>
    <w:p w14:paraId="43A07886" w14:textId="77777777" w:rsidR="00BA3881" w:rsidRPr="00DD7BD1" w:rsidRDefault="00BA3881" w:rsidP="00BA388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p>
    <w:p w14:paraId="745D3E56" w14:textId="117C3CB4" w:rsidR="00BA3881" w:rsidRPr="00DD7BD1" w:rsidRDefault="00BA3881" w:rsidP="00BA3881">
      <w:pPr>
        <w:rPr>
          <w:rFonts w:ascii="Calibri" w:hAnsi="Calibri" w:cs="Calibri"/>
        </w:rPr>
      </w:pPr>
      <w:r w:rsidRPr="00DD7BD1">
        <w:rPr>
          <w:rFonts w:ascii="Calibri" w:hAnsi="Calibri" w:cs="Calibri"/>
        </w:rPr>
        <w:t xml:space="preserve">On Oct. 8, 2025, California </w:t>
      </w:r>
      <w:hyperlink r:id="rId563"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82D6925" w14:textId="77777777" w:rsidR="00BA3881" w:rsidRPr="00DD7BD1" w:rsidRDefault="00BA3881" w:rsidP="00BA388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254CB9B1" w14:textId="47B832C2" w:rsidR="00BA3881" w:rsidRPr="00DD7BD1" w:rsidRDefault="00BA3881" w:rsidP="00BA388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42DD357F" w14:textId="19920254" w:rsidR="00BA3881" w:rsidRPr="00DD7BD1" w:rsidRDefault="00BA3881" w:rsidP="00BA388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3B5A174A" w14:textId="77777777" w:rsidR="00BA3881" w:rsidRPr="00DD7BD1" w:rsidRDefault="00BA3881" w:rsidP="00BA388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0A3C36AC"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430A0E38"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73D05AD9"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B3A353D"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2319291F"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174B5A70" w14:textId="77777777" w:rsidR="00BA3881" w:rsidRPr="00DD7BD1" w:rsidRDefault="00BA3881" w:rsidP="00546A3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77F78815" w14:textId="77777777" w:rsidR="00546A31" w:rsidRPr="00DD7BD1" w:rsidRDefault="00546A31" w:rsidP="00546A31">
      <w:pPr>
        <w:spacing w:after="0" w:line="240" w:lineRule="auto"/>
        <w:jc w:val="center"/>
        <w:rPr>
          <w:rFonts w:ascii="Calibri" w:hAnsi="Calibri" w:cs="Calibri"/>
          <w:b/>
          <w:bCs/>
          <w:sz w:val="28"/>
          <w:szCs w:val="28"/>
          <w:shd w:val="clear" w:color="auto" w:fill="FFFFFF"/>
          <w:lang w:val="en"/>
        </w:rPr>
      </w:pPr>
    </w:p>
    <w:p w14:paraId="6BBD2EE4" w14:textId="55214241" w:rsidR="00546A31" w:rsidRPr="00DD7BD1" w:rsidRDefault="00546A31" w:rsidP="00546A31">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 xml:space="preserve">State Bans TRAPs &amp; Stay-or-Pay Provisions (as seen in many Sign-On Bonus Programs) – </w:t>
      </w:r>
      <w:r w:rsidRPr="00DD7BD1">
        <w:rPr>
          <w:rFonts w:ascii="Calibri" w:hAnsi="Calibri" w:cs="Calibri"/>
          <w:b/>
          <w:bCs/>
          <w:color w:val="C00000"/>
          <w:sz w:val="28"/>
          <w:szCs w:val="28"/>
          <w:shd w:val="clear" w:color="auto" w:fill="FFFFFF"/>
          <w:lang w:val="en"/>
        </w:rPr>
        <w:t>Jan 1, 2026</w:t>
      </w:r>
    </w:p>
    <w:p w14:paraId="0C1B0F62" w14:textId="24366083" w:rsidR="00546A31" w:rsidRPr="00DD7BD1" w:rsidRDefault="00546A31" w:rsidP="00546A31">
      <w:pPr>
        <w:rPr>
          <w:rFonts w:ascii="Calibri" w:hAnsi="Calibri" w:cs="Calibri"/>
          <w:b/>
          <w:bCs/>
        </w:rPr>
      </w:pPr>
      <w:r w:rsidRPr="00DD7BD1">
        <w:rPr>
          <w:rFonts w:ascii="Calibri" w:hAnsi="Calibri" w:cs="Calibri"/>
        </w:rPr>
        <w:t xml:space="preserve">On Oct. 13, 2025, California passed a </w:t>
      </w:r>
      <w:hyperlink r:id="rId564" w:history="1">
        <w:r w:rsidRPr="00DD7BD1">
          <w:rPr>
            <w:rStyle w:val="Hyperlink"/>
            <w:rFonts w:ascii="Calibri" w:hAnsi="Calibri" w:cs="Calibri"/>
          </w:rPr>
          <w:t>bill</w:t>
        </w:r>
      </w:hyperlink>
      <w:r w:rsidRPr="00DD7BD1">
        <w:rPr>
          <w:rFonts w:ascii="Calibri" w:hAnsi="Calibri" w:cs="Calibri"/>
        </w:rPr>
        <w:t xml:space="preserve"> (AB 692)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0529E07F" w14:textId="77777777" w:rsidR="00546A31" w:rsidRPr="00DD7BD1" w:rsidRDefault="00546A31" w:rsidP="00546A31">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32961CF6"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43E1E561"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C29962D"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72731150" w14:textId="77777777" w:rsidR="00546A31" w:rsidRPr="00DD7BD1" w:rsidRDefault="00546A31" w:rsidP="00546A31">
      <w:pPr>
        <w:pStyle w:val="Bullet"/>
        <w:numPr>
          <w:ilvl w:val="0"/>
          <w:numId w:val="0"/>
        </w:numPr>
        <w:spacing w:line="240" w:lineRule="auto"/>
        <w:rPr>
          <w:rFonts w:cs="Calibri"/>
          <w:color w:val="auto"/>
          <w:sz w:val="16"/>
          <w:szCs w:val="16"/>
        </w:rPr>
      </w:pPr>
    </w:p>
    <w:p w14:paraId="278185BF" w14:textId="582CD8F3" w:rsidR="00546A31" w:rsidRPr="00DD7BD1" w:rsidRDefault="00546A31" w:rsidP="00546A31">
      <w:pPr>
        <w:pStyle w:val="Bullet"/>
        <w:numPr>
          <w:ilvl w:val="0"/>
          <w:numId w:val="0"/>
        </w:numPr>
        <w:spacing w:line="240" w:lineRule="auto"/>
        <w:rPr>
          <w:rFonts w:cs="Calibri"/>
          <w:b/>
          <w:bCs/>
          <w:color w:val="auto"/>
          <w:szCs w:val="22"/>
        </w:rPr>
      </w:pPr>
      <w:r w:rsidRPr="00DD7BD1">
        <w:rPr>
          <w:rFonts w:cs="Calibri"/>
          <w:color w:val="auto"/>
          <w:szCs w:val="22"/>
        </w:rPr>
        <w:t>For companies that rely on sign-on bonuses to compete for talent, the impact is clear: </w:t>
      </w:r>
      <w:r w:rsidRPr="00DD7BD1">
        <w:rPr>
          <w:rFonts w:cs="Calibri"/>
          <w:b/>
          <w:bCs/>
          <w:color w:val="auto"/>
          <w:szCs w:val="22"/>
        </w:rPr>
        <w:t>Most sign-on bonuses with a claw back provision will be impermissible in California unless they are structured to fit a narrow exception.</w:t>
      </w:r>
    </w:p>
    <w:p w14:paraId="4B12EFB1" w14:textId="77777777" w:rsidR="00546A31" w:rsidRPr="00DD7BD1" w:rsidRDefault="00546A31" w:rsidP="00546A31">
      <w:pPr>
        <w:pStyle w:val="Bullet"/>
        <w:numPr>
          <w:ilvl w:val="0"/>
          <w:numId w:val="0"/>
        </w:numPr>
        <w:spacing w:line="240" w:lineRule="auto"/>
        <w:rPr>
          <w:rFonts w:cs="Calibri"/>
          <w:color w:val="auto"/>
          <w:szCs w:val="22"/>
        </w:rPr>
      </w:pPr>
    </w:p>
    <w:p w14:paraId="7BA676CA" w14:textId="78D4F22C" w:rsidR="00546A31" w:rsidRPr="00DD7BD1" w:rsidRDefault="00546A31" w:rsidP="00546A31">
      <w:pPr>
        <w:rPr>
          <w:rFonts w:ascii="Calibri" w:hAnsi="Calibri" w:cs="Calibri"/>
        </w:rPr>
      </w:pPr>
      <w:r w:rsidRPr="00DD7BD1">
        <w:rPr>
          <w:rFonts w:ascii="Calibri" w:hAnsi="Calibri" w:cs="Calibri"/>
        </w:rPr>
        <w:t>AB 692 prohibits provisions that require an employee to repay a “debt” to their employer if their employment terminates, or that otherwise impose a penalty, fee or cost on a worker if the worker’s employment or work relationship terminates.</w:t>
      </w:r>
    </w:p>
    <w:p w14:paraId="3C2812BA" w14:textId="77777777" w:rsidR="00546A31" w:rsidRPr="00DD7BD1" w:rsidRDefault="00546A31" w:rsidP="00546A31">
      <w:pPr>
        <w:rPr>
          <w:rFonts w:ascii="Calibri" w:hAnsi="Calibri" w:cs="Calibri"/>
        </w:rPr>
      </w:pPr>
      <w:r w:rsidRPr="00DD7BD1">
        <w:rPr>
          <w:rFonts w:ascii="Calibri" w:hAnsi="Calibri" w:cs="Calibri"/>
        </w:rPr>
        <w:t>Two key exceptions to this prohibition include:</w:t>
      </w:r>
    </w:p>
    <w:p w14:paraId="68634069"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Transferable credential tuition costs:</w:t>
      </w:r>
      <w:r w:rsidRPr="00DD7BD1">
        <w:rPr>
          <w:rFonts w:ascii="Calibri" w:hAnsi="Calibri" w:cs="Calibri"/>
        </w:rPr>
        <w:t xml:space="preserve"> A contract to repay the cost of tuition for a transferable credential is permitted, if the contract meets </w:t>
      </w:r>
      <w:proofErr w:type="gramStart"/>
      <w:r w:rsidRPr="00DD7BD1">
        <w:rPr>
          <w:rFonts w:ascii="Calibri" w:hAnsi="Calibri" w:cs="Calibri"/>
        </w:rPr>
        <w:t>all of</w:t>
      </w:r>
      <w:proofErr w:type="gramEnd"/>
      <w:r w:rsidRPr="00DD7BD1">
        <w:rPr>
          <w:rFonts w:ascii="Calibri" w:hAnsi="Calibri" w:cs="Calibri"/>
        </w:rPr>
        <w:t xml:space="preserve"> the following conditions:</w:t>
      </w:r>
    </w:p>
    <w:p w14:paraId="42AAE9FD"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is separate from the employment contract.</w:t>
      </w:r>
    </w:p>
    <w:p w14:paraId="31DF73B1"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Obtaining the transferable credential is not a condition of employment.</w:t>
      </w:r>
    </w:p>
    <w:p w14:paraId="64660C8A"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specifies a repayment amount not exceeding the actual cost of the credential to the employer.</w:t>
      </w:r>
    </w:p>
    <w:p w14:paraId="39FBEFA9"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repayment amount is prorated and is not accelerated if the worker separates.</w:t>
      </w:r>
    </w:p>
    <w:p w14:paraId="7A98E751" w14:textId="7A8A250F"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No repayment is required if the worker’s employment is terminated by the employer, unless for misconduct.</w:t>
      </w:r>
    </w:p>
    <w:p w14:paraId="56EF1718"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Discretionary monetary bonuses:</w:t>
      </w:r>
      <w:r w:rsidRPr="00DD7BD1">
        <w:rPr>
          <w:rFonts w:ascii="Calibri" w:hAnsi="Calibri" w:cs="Calibri"/>
        </w:rPr>
        <w:t xml:space="preserve"> Contracts for the receipt of a “discretionary or unearned monetary payment” at the outset of employment that is not tied to specific job performance (including a financial bonus, such as a sign-on or relocation bonus) are permitted, if the contract meets </w:t>
      </w:r>
      <w:proofErr w:type="gramStart"/>
      <w:r w:rsidRPr="00DD7BD1">
        <w:rPr>
          <w:rFonts w:ascii="Calibri" w:hAnsi="Calibri" w:cs="Calibri"/>
        </w:rPr>
        <w:t>all of</w:t>
      </w:r>
      <w:proofErr w:type="gramEnd"/>
      <w:r w:rsidRPr="00DD7BD1">
        <w:rPr>
          <w:rFonts w:ascii="Calibri" w:hAnsi="Calibri" w:cs="Calibri"/>
        </w:rPr>
        <w:t xml:space="preserve"> the following conditions:</w:t>
      </w:r>
    </w:p>
    <w:p w14:paraId="2D55D98C"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Repayment terms are contained in a contract separate from the employment contract.</w:t>
      </w:r>
    </w:p>
    <w:p w14:paraId="5187A3EE"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employee is notified that they have the right to consult an attorney regarding the agreement and given at least five business days to do so.</w:t>
      </w:r>
    </w:p>
    <w:p w14:paraId="5BA8B3A8"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Any repayment obligation is prorated based on the remaining term of any retention period (not to exceed two years) and is not subject to interest accrual.</w:t>
      </w:r>
    </w:p>
    <w:p w14:paraId="720117D5"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worker can defer receipt of payment to the end of a fully served retention period without any repayment obligation.</w:t>
      </w:r>
    </w:p>
    <w:p w14:paraId="1EDC1780" w14:textId="20914B60"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Separation from employment prior to the end of the retention period is at the employee’s sole discretion, or at the employer’s election due to employee misconduct.</w:t>
      </w:r>
    </w:p>
    <w:p w14:paraId="466B7B10" w14:textId="77777777" w:rsidR="00594856" w:rsidRPr="00DD7BD1" w:rsidRDefault="00594856" w:rsidP="00594856">
      <w:pPr>
        <w:spacing w:after="0" w:line="240" w:lineRule="auto"/>
        <w:ind w:left="1440"/>
        <w:rPr>
          <w:rFonts w:ascii="Calibri" w:hAnsi="Calibri" w:cs="Calibri"/>
        </w:rPr>
      </w:pPr>
    </w:p>
    <w:p w14:paraId="12FBA8BA" w14:textId="19FF7D53" w:rsidR="00546A31" w:rsidRPr="00DD7BD1" w:rsidRDefault="00546A31" w:rsidP="00546A31">
      <w:pPr>
        <w:rPr>
          <w:rFonts w:ascii="Calibri" w:hAnsi="Calibri" w:cs="Calibri"/>
        </w:rPr>
      </w:pPr>
      <w:r w:rsidRPr="00DD7BD1">
        <w:rPr>
          <w:rFonts w:ascii="Calibri" w:hAnsi="Calibri" w:cs="Calibri"/>
        </w:rPr>
        <w:t>In practice, </w:t>
      </w:r>
      <w:r w:rsidRPr="00DD7BD1">
        <w:rPr>
          <w:rFonts w:ascii="Calibri" w:hAnsi="Calibri" w:cs="Calibri"/>
          <w:b/>
          <w:bCs/>
        </w:rPr>
        <w:t>many existing form documents containing sign-on bonus provisions will not satisfy these conditions and should not be used with California hires after December 31, 2025.</w:t>
      </w:r>
      <w:r w:rsidRPr="00DD7BD1">
        <w:rPr>
          <w:rFonts w:ascii="Calibri" w:hAnsi="Calibri" w:cs="Calibri"/>
        </w:rPr>
        <w:t> </w:t>
      </w:r>
    </w:p>
    <w:p w14:paraId="0A791ECF" w14:textId="2CCA12D3" w:rsidR="00546A31" w:rsidRPr="00DD7BD1" w:rsidRDefault="00546A31" w:rsidP="00546A31">
      <w:pPr>
        <w:rPr>
          <w:rFonts w:ascii="Calibri" w:hAnsi="Calibri" w:cs="Calibri"/>
        </w:rPr>
      </w:pPr>
      <w:r w:rsidRPr="00DD7BD1">
        <w:rPr>
          <w:rFonts w:ascii="Calibri" w:hAnsi="Calibri" w:cs="Calibri"/>
        </w:rPr>
        <w:t>Employers that violate this new law will be responsible for liability in the amount of actual damages or $5,000 per worker, whichever is greater, plus injunctive relief and attorneys’ fees and costs.</w:t>
      </w:r>
    </w:p>
    <w:p w14:paraId="639FA544" w14:textId="77777777" w:rsidR="00546A31" w:rsidRPr="00DD7BD1" w:rsidRDefault="00546A31" w:rsidP="00546A3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70684A1" w14:textId="77777777" w:rsidR="005441D8" w:rsidRPr="00DD7BD1" w:rsidRDefault="005441D8" w:rsidP="005441D8">
      <w:pPr>
        <w:jc w:val="center"/>
        <w:rPr>
          <w:rFonts w:ascii="Calibri" w:hAnsi="Calibri" w:cs="Calibri"/>
        </w:rPr>
      </w:pPr>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p>
    <w:p w14:paraId="267A8411" w14:textId="5C5D7A92"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65"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5293EBE" w14:textId="77777777" w:rsidR="005441D8" w:rsidRPr="00DD7BD1" w:rsidRDefault="005441D8" w:rsidP="005441D8">
      <w:pPr>
        <w:rPr>
          <w:rFonts w:ascii="Calibri" w:hAnsi="Calibri" w:cs="Calibri"/>
          <w:b/>
          <w:bCs/>
          <w:shd w:val="clear" w:color="auto" w:fill="FFFFFF"/>
        </w:rPr>
      </w:pPr>
      <w:r w:rsidRPr="00DD7BD1">
        <w:rPr>
          <w:rFonts w:ascii="Calibri" w:hAnsi="Calibri" w:cs="Calibri"/>
          <w:b/>
          <w:bCs/>
          <w:shd w:val="clear" w:color="auto" w:fill="FFFFFF"/>
        </w:rPr>
        <w:t>Overview</w:t>
      </w:r>
    </w:p>
    <w:p w14:paraId="1DC684FC" w14:textId="6173F3F0"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69585494" w14:textId="3851932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7CB19F9B" w14:textId="7777777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lastRenderedPageBreak/>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4545087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04620976"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401193A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748E1FB8" w14:textId="41B6D44E"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54B1460" w14:textId="77777777" w:rsidR="005441D8" w:rsidRPr="00DD7BD1" w:rsidRDefault="005441D8" w:rsidP="005441D8">
      <w:pPr>
        <w:pStyle w:val="ListParagraph"/>
        <w:spacing w:after="0" w:line="240" w:lineRule="auto"/>
        <w:rPr>
          <w:rFonts w:ascii="Calibri" w:hAnsi="Calibri" w:cs="Calibri"/>
          <w:shd w:val="clear" w:color="auto" w:fill="FFFFFF"/>
        </w:rPr>
      </w:pPr>
    </w:p>
    <w:p w14:paraId="465FD92A" w14:textId="1D1FEACE" w:rsidR="00C31001" w:rsidRPr="00DD7BD1" w:rsidRDefault="005441D8" w:rsidP="004B7855">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4B0CF15B" w14:textId="52EDF2E5" w:rsidR="004B7855" w:rsidRPr="00DD7BD1" w:rsidRDefault="004B7855" w:rsidP="004B7855">
      <w:pPr>
        <w:jc w:val="center"/>
        <w:rPr>
          <w:rFonts w:ascii="Calibri" w:hAnsi="Calibri" w:cs="Calibri"/>
        </w:rPr>
      </w:pPr>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p>
    <w:p w14:paraId="2D943F7C" w14:textId="754E2BA9" w:rsidR="004B7855" w:rsidRPr="00DD7BD1" w:rsidRDefault="004B7855" w:rsidP="004B7855">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66"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2B5447FF" w14:textId="77777777" w:rsidR="004B7855" w:rsidRPr="00DD7BD1" w:rsidRDefault="004B7855" w:rsidP="004B7855">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2648053" w14:textId="72C378E5" w:rsidR="00833FCE" w:rsidRPr="00DD7BD1" w:rsidRDefault="00833FCE" w:rsidP="00833FCE">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Regulation IVF Coverage Mandate – Eff </w:t>
      </w:r>
      <w:r w:rsidRPr="00DD7BD1">
        <w:rPr>
          <w:rFonts w:ascii="Calibri" w:hAnsi="Calibri" w:cs="Calibri"/>
          <w:b/>
          <w:bCs/>
          <w:color w:val="C00000"/>
          <w:sz w:val="28"/>
          <w:szCs w:val="28"/>
          <w:shd w:val="clear" w:color="auto" w:fill="FFFFFF"/>
        </w:rPr>
        <w:t>2026</w:t>
      </w:r>
    </w:p>
    <w:p w14:paraId="27E303F9" w14:textId="66D42F1E"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133BD23A" w14:textId="4E795606"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13C08001" w14:textId="6A6C2FD3"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79788A57" w14:textId="1C490BED"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5CB27ED0" w14:textId="7ED5FFCE" w:rsidR="00BF4CB9"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C635984" w14:textId="36D32155" w:rsidR="006B73DC" w:rsidRPr="00DD7BD1" w:rsidRDefault="006B73DC" w:rsidP="006B73DC">
      <w:pPr>
        <w:jc w:val="center"/>
        <w:rPr>
          <w:rFonts w:ascii="Calibri" w:hAnsi="Calibri" w:cs="Calibri"/>
          <w:b/>
          <w:bCs/>
          <w:sz w:val="28"/>
          <w:szCs w:val="28"/>
          <w:shd w:val="clear" w:color="auto" w:fill="FFFFFF"/>
          <w:lang w:val="en"/>
        </w:rPr>
      </w:pPr>
      <w:r w:rsidRPr="00DD7BD1">
        <w:rPr>
          <w:rFonts w:ascii="Calibri" w:hAnsi="Calibri" w:cs="Calibri"/>
          <w:b/>
          <w:bCs/>
          <w:sz w:val="28"/>
          <w:szCs w:val="28"/>
          <w:u w:val="single"/>
          <w:shd w:val="clear" w:color="auto" w:fill="FFFFFF"/>
          <w:lang w:val="en"/>
        </w:rPr>
        <w:t>Los Angeles</w:t>
      </w:r>
      <w:r w:rsidRPr="00DD7BD1">
        <w:rPr>
          <w:rFonts w:ascii="Calibri" w:hAnsi="Calibri" w:cs="Calibri"/>
          <w:b/>
          <w:bCs/>
          <w:sz w:val="28"/>
          <w:szCs w:val="28"/>
          <w:shd w:val="clear" w:color="auto" w:fill="FFFFFF"/>
          <w:lang w:val="en"/>
        </w:rPr>
        <w:t xml:space="preserve"> Updates Freelance Woker Protections Ordinance</w:t>
      </w:r>
    </w:p>
    <w:p w14:paraId="41E1DDA2" w14:textId="3FB91DB7" w:rsidR="006B73DC" w:rsidRPr="00DD7BD1" w:rsidRDefault="006B73DC" w:rsidP="006B73DC">
      <w:pPr>
        <w:rPr>
          <w:rFonts w:ascii="Calibri" w:hAnsi="Calibri" w:cs="Calibri"/>
          <w:shd w:val="clear" w:color="auto" w:fill="FFFFFF"/>
        </w:rPr>
      </w:pPr>
      <w:r w:rsidRPr="00DD7BD1">
        <w:rPr>
          <w:rFonts w:ascii="Calibri" w:hAnsi="Calibri" w:cs="Calibri"/>
          <w:shd w:val="clear" w:color="auto" w:fill="FFFFFF"/>
        </w:rPr>
        <w:t xml:space="preserve">With the California Freelance Worker Protection Act (FWPA) now in effect statewide as of January 1, 2025, the </w:t>
      </w:r>
      <w:r w:rsidRPr="00DD7BD1">
        <w:rPr>
          <w:rFonts w:ascii="Calibri" w:hAnsi="Calibri" w:cs="Calibri"/>
          <w:b/>
          <w:bCs/>
          <w:shd w:val="clear" w:color="auto" w:fill="FFFFFF"/>
        </w:rPr>
        <w:t>City of Los Angeles</w:t>
      </w:r>
      <w:r w:rsidRPr="00DD7BD1">
        <w:rPr>
          <w:rFonts w:ascii="Calibri" w:hAnsi="Calibri" w:cs="Calibri"/>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p>
    <w:p w14:paraId="6F1C6BB3" w14:textId="4DEECCDB" w:rsidR="0032160E" w:rsidRPr="00DD7BD1" w:rsidRDefault="006B73DC" w:rsidP="006B73DC">
      <w:pPr>
        <w:rPr>
          <w:rFonts w:ascii="Calibri" w:hAnsi="Calibri" w:cs="Calibri"/>
          <w:shd w:val="clear" w:color="auto" w:fill="FFFFFF"/>
          <w:lang w:val="en"/>
        </w:rPr>
      </w:pPr>
      <w:r w:rsidRPr="00DD7BD1">
        <w:rPr>
          <w:rFonts w:ascii="Calibri" w:hAnsi="Calibri" w:cs="Calibri"/>
          <w:shd w:val="clear" w:color="auto" w:fill="FFFFFF"/>
        </w:rPr>
        <w:t>Read more about the Key Distinction: State vs. City Coverage in Littler’s November 12</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ASAP publication</w:t>
      </w:r>
      <w:r w:rsidRPr="00DD7BD1">
        <w:rPr>
          <w:rFonts w:ascii="Calibri" w:hAnsi="Calibri" w:cs="Calibri"/>
          <w:b/>
          <w:bCs/>
          <w:shd w:val="clear" w:color="auto" w:fill="FFFFFF"/>
        </w:rPr>
        <w:t xml:space="preserve"> </w:t>
      </w:r>
      <w:hyperlink r:id="rId567" w:history="1">
        <w:r w:rsidRPr="00DD7BD1">
          <w:rPr>
            <w:rStyle w:val="Hyperlink"/>
            <w:rFonts w:ascii="Calibri" w:hAnsi="Calibri" w:cs="Calibri"/>
            <w:b/>
            <w:bCs/>
            <w:shd w:val="clear" w:color="auto" w:fill="FFFFFF"/>
          </w:rPr>
          <w:t>HERE</w:t>
        </w:r>
      </w:hyperlink>
    </w:p>
    <w:p w14:paraId="3C0752D8" w14:textId="77777777" w:rsidR="00CB39EB" w:rsidRPr="00DD7BD1" w:rsidRDefault="00CB39EB" w:rsidP="00CB39E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State’s Annual Workplace Rights Notices – </w:t>
      </w:r>
      <w:r w:rsidRPr="00DD7BD1">
        <w:rPr>
          <w:rFonts w:ascii="Calibri" w:hAnsi="Calibri" w:cs="Calibri"/>
          <w:b/>
          <w:bCs/>
          <w:color w:val="C00000"/>
          <w:sz w:val="28"/>
          <w:szCs w:val="28"/>
          <w:shd w:val="clear" w:color="auto" w:fill="FFFFFF"/>
          <w:lang w:val="en"/>
        </w:rPr>
        <w:t>Deadline Feb 1, 2026</w:t>
      </w:r>
    </w:p>
    <w:p w14:paraId="66B532AA" w14:textId="2230AE72"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lastRenderedPageBreak/>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568"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into law, which codifies the Workplace Know Your Rights Act. The law also clarifies employers’ duties if an employee is arrested during work.</w:t>
      </w:r>
    </w:p>
    <w:p w14:paraId="506591AE"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xml:space="preserve">, the Labor Commissioner will provide a template notice for employers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develop video resources on the law’s rights and requirements.</w:t>
      </w:r>
    </w:p>
    <w:p w14:paraId="63929374"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February 1, 2026</w:t>
      </w:r>
      <w:r w:rsidRPr="00DD7BD1">
        <w:rPr>
          <w:rFonts w:ascii="Calibri" w:hAnsi="Calibri" w:cs="Calibri"/>
          <w:shd w:val="clear" w:color="auto" w:fill="FFFFFF"/>
        </w:rPr>
        <w:t>, employers must provide the notice to all current employees.</w:t>
      </w:r>
    </w:p>
    <w:p w14:paraId="092FC1C7"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0829B3B5" w14:textId="77777777" w:rsidR="00CB39EB" w:rsidRPr="00DD7BD1" w:rsidRDefault="00CB39EB" w:rsidP="00CB39EB">
      <w:pPr>
        <w:pStyle w:val="Heading3"/>
        <w:shd w:val="clear" w:color="auto" w:fill="FFFFFF"/>
        <w:spacing w:before="0"/>
        <w:rPr>
          <w:rFonts w:ascii="Calibri" w:hAnsi="Calibri" w:cs="Calibri"/>
          <w:color w:val="292929"/>
          <w:spacing w:val="3"/>
          <w:sz w:val="16"/>
          <w:szCs w:val="16"/>
        </w:rPr>
      </w:pPr>
    </w:p>
    <w:p w14:paraId="42DFD403" w14:textId="77777777" w:rsidR="00CB39EB" w:rsidRPr="00DD7BD1" w:rsidRDefault="00CB39EB" w:rsidP="00CB39EB">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53E51F46" w14:textId="6E9982BC"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3AF95E0B" w14:textId="77777777"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p>
    <w:p w14:paraId="17ED95ED" w14:textId="77777777" w:rsidR="00CB39EB" w:rsidRPr="00DD7BD1" w:rsidRDefault="00CB39EB" w:rsidP="00CB39EB">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52" w:name="_Hlk213072415"/>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109D623E" w14:textId="77777777" w:rsidR="00CB39EB" w:rsidRPr="00DD7BD1" w:rsidRDefault="00CB39EB" w:rsidP="00CB39EB">
      <w:pPr>
        <w:pStyle w:val="NormalWeb"/>
        <w:shd w:val="clear" w:color="auto" w:fill="FFFFFF"/>
        <w:spacing w:before="0" w:beforeAutospacing="0" w:after="0" w:afterAutospacing="0"/>
        <w:rPr>
          <w:rFonts w:ascii="Calibri" w:hAnsi="Calibri" w:cs="Calibri"/>
          <w:sz w:val="22"/>
          <w:szCs w:val="22"/>
        </w:rPr>
      </w:pPr>
      <w:hyperlink r:id="rId569"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xml:space="preserve">,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w:t>
      </w:r>
      <w:proofErr w:type="gramStart"/>
      <w:r w:rsidRPr="00DD7BD1">
        <w:rPr>
          <w:rFonts w:ascii="Calibri" w:hAnsi="Calibri" w:cs="Calibri"/>
          <w:sz w:val="22"/>
          <w:szCs w:val="22"/>
        </w:rPr>
        <w:t>must further</w:t>
      </w:r>
      <w:proofErr w:type="gramEnd"/>
      <w:r w:rsidRPr="00DD7BD1">
        <w:rPr>
          <w:rFonts w:ascii="Calibri" w:hAnsi="Calibri" w:cs="Calibri"/>
          <w:sz w:val="22"/>
          <w:szCs w:val="22"/>
        </w:rPr>
        <w:t xml:space="preserve"> ensure they include all required information.</w:t>
      </w:r>
    </w:p>
    <w:p w14:paraId="00CEA065" w14:textId="77777777" w:rsidR="00CB39EB" w:rsidRPr="00DD7BD1" w:rsidRDefault="00CB39EB" w:rsidP="00CB39EB">
      <w:pPr>
        <w:rPr>
          <w:rFonts w:ascii="Calibri" w:hAnsi="Calibri" w:cs="Calibri"/>
          <w:sz w:val="16"/>
          <w:szCs w:val="16"/>
          <w:shd w:val="clear" w:color="auto" w:fill="FFFFFF"/>
        </w:rPr>
      </w:pPr>
    </w:p>
    <w:p w14:paraId="251038A2" w14:textId="0FB182F5" w:rsidR="00CB39EB" w:rsidRPr="00DD7BD1" w:rsidRDefault="00CB39EB" w:rsidP="00CB39EB">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7A5955CF"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Increases Computer Professional Exemption Wage Rate – </w:t>
      </w:r>
      <w:r w:rsidRPr="00DD7BD1">
        <w:rPr>
          <w:rFonts w:ascii="Calibri" w:hAnsi="Calibri" w:cs="Calibri"/>
          <w:b/>
          <w:bCs/>
          <w:color w:val="C00000"/>
          <w:sz w:val="28"/>
          <w:szCs w:val="28"/>
          <w:shd w:val="clear" w:color="auto" w:fill="FFFFFF"/>
          <w:lang w:val="en"/>
        </w:rPr>
        <w:t>Jan 1, 2026</w:t>
      </w:r>
    </w:p>
    <w:p w14:paraId="503DDC2C" w14:textId="77777777" w:rsidR="00CB39EB" w:rsidRPr="00DD7BD1" w:rsidRDefault="00CB39EB" w:rsidP="00CB39EB">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70"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71"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72"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573"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574" w:anchor="_ftn4" w:history="1">
        <w:r w:rsidRPr="00DD7BD1">
          <w:rPr>
            <w:rStyle w:val="Hyperlink"/>
            <w:rFonts w:ascii="Calibri" w:hAnsi="Calibri" w:cs="Calibri"/>
            <w:shd w:val="clear" w:color="auto" w:fill="FFFFFF"/>
          </w:rPr>
          <w:t>[4]</w:t>
        </w:r>
      </w:hyperlink>
    </w:p>
    <w:p w14:paraId="26DA587A" w14:textId="76F9009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21810EC6"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6F207C39" w14:textId="77777777" w:rsidR="00CB39EB" w:rsidRPr="00DD7BD1" w:rsidRDefault="00CB39EB" w:rsidP="00CB39EB">
      <w:pPr>
        <w:rPr>
          <w:rFonts w:ascii="Calibri" w:hAnsi="Calibri" w:cs="Calibri"/>
          <w:sz w:val="16"/>
          <w:szCs w:val="16"/>
          <w:shd w:val="clear" w:color="auto" w:fill="FFFFFF"/>
        </w:rPr>
      </w:pPr>
    </w:p>
    <w:p w14:paraId="609E27A7" w14:textId="1699E4C6"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575"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5383F913" w14:textId="557AB27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576" w:anchor="s-2" w:history="1">
        <w:r w:rsidRPr="00DD7BD1">
          <w:rPr>
            <w:rStyle w:val="Hyperlink"/>
            <w:rFonts w:ascii="Calibri" w:hAnsi="Calibri" w:cs="Calibri"/>
            <w:shd w:val="clear" w:color="auto" w:fill="FFFFFF"/>
          </w:rPr>
          <w:t>HERE</w:t>
        </w:r>
      </w:hyperlink>
    </w:p>
    <w:p w14:paraId="08F71EFA"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Adds Leave Rights–Victims, Jurors &amp; Witnesses – </w:t>
      </w:r>
      <w:r w:rsidRPr="00DD7BD1">
        <w:rPr>
          <w:rFonts w:ascii="Calibri" w:hAnsi="Calibri" w:cs="Calibri"/>
          <w:b/>
          <w:bCs/>
          <w:color w:val="C00000"/>
          <w:sz w:val="28"/>
          <w:szCs w:val="28"/>
          <w:shd w:val="clear" w:color="auto" w:fill="FFFFFF"/>
          <w:lang w:val="en"/>
        </w:rPr>
        <w:t>Oct 1, 2025 &amp; Jan 1, 2026</w:t>
      </w:r>
    </w:p>
    <w:p w14:paraId="4ECDA1D8" w14:textId="19D01F0A" w:rsidR="00CB39EB" w:rsidRPr="00DD7BD1" w:rsidRDefault="00CB39EB" w:rsidP="00CB39EB">
      <w:pPr>
        <w:rPr>
          <w:rFonts w:ascii="Calibri" w:hAnsi="Calibri" w:cs="Calibri"/>
        </w:rPr>
      </w:pPr>
      <w:r w:rsidRPr="00DD7BD1">
        <w:rPr>
          <w:rFonts w:ascii="Calibri" w:hAnsi="Calibri" w:cs="Calibri"/>
          <w:b/>
          <w:bCs/>
        </w:rPr>
        <w:t xml:space="preserve">Overview: </w:t>
      </w:r>
      <w:r w:rsidRPr="00DD7BD1">
        <w:rPr>
          <w:rFonts w:ascii="Calibri" w:hAnsi="Calibri" w:cs="Calibri"/>
        </w:rPr>
        <w:t>Victim, juror and witness leave may qualify under the paid sick leave law starting January 1, 2026</w:t>
      </w:r>
    </w:p>
    <w:p w14:paraId="0256C4A6" w14:textId="4C6108A5" w:rsidR="00CB39EB" w:rsidRPr="00DD7BD1" w:rsidRDefault="00CB39EB" w:rsidP="00CB39EB">
      <w:pPr>
        <w:rPr>
          <w:rFonts w:ascii="Calibri" w:hAnsi="Calibri" w:cs="Calibri"/>
        </w:rPr>
      </w:pPr>
      <w:r w:rsidRPr="00DD7BD1">
        <w:rPr>
          <w:rFonts w:ascii="Calibri" w:hAnsi="Calibri" w:cs="Calibri"/>
        </w:rPr>
        <w:lastRenderedPageBreak/>
        <w:t xml:space="preserve">California has </w:t>
      </w:r>
      <w:hyperlink r:id="rId577"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5C2B3D9"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297A77BC"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5A5020FE" w14:textId="77777777" w:rsidR="00CB39EB" w:rsidRPr="00DD7BD1" w:rsidRDefault="00CB39EB" w:rsidP="00CB39EB">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4F0E84DE"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7B0C1542" w14:textId="77777777" w:rsidR="00CB39EB" w:rsidRPr="00DD7BD1" w:rsidRDefault="00CB39EB" w:rsidP="00CB39EB">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998724D"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0865A80D"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Data Reporting Requirements – </w:t>
      </w:r>
      <w:r w:rsidRPr="00DD7BD1">
        <w:rPr>
          <w:rFonts w:cs="Calibri"/>
          <w:b/>
          <w:bCs/>
          <w:color w:val="C00000"/>
          <w:sz w:val="28"/>
          <w:szCs w:val="28"/>
          <w:shd w:val="clear" w:color="auto" w:fill="FFFFFF"/>
          <w:lang w:val="en"/>
        </w:rPr>
        <w:t>Jan 1, 2026 &amp; 2027</w:t>
      </w:r>
    </w:p>
    <w:p w14:paraId="1A453C4B" w14:textId="3550332E" w:rsidR="00CB39EB" w:rsidRPr="00DD7BD1" w:rsidRDefault="00CB39EB" w:rsidP="00CB39EB">
      <w:pPr>
        <w:rPr>
          <w:rFonts w:ascii="Calibri" w:hAnsi="Calibri" w:cs="Calibri"/>
        </w:rPr>
      </w:pPr>
      <w:r w:rsidRPr="00DD7BD1">
        <w:rPr>
          <w:rFonts w:ascii="Calibri" w:hAnsi="Calibri" w:cs="Calibri"/>
        </w:rPr>
        <w:t xml:space="preserve">On Oct. 13, 2025, California </w:t>
      </w:r>
      <w:hyperlink r:id="rId578"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0698038A" w14:textId="21489E84" w:rsidR="00CB39EB" w:rsidRPr="00DD7BD1" w:rsidRDefault="00CB39EB" w:rsidP="00CB39EB">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10CC85CD" w14:textId="77777777" w:rsidR="00CB39EB" w:rsidRPr="00DD7BD1" w:rsidRDefault="00CB39EB" w:rsidP="00CB39EB">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135B396"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5437381D"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65709A55" w14:textId="77777777" w:rsidR="00CB39EB" w:rsidRPr="00DD7BD1" w:rsidRDefault="00CB39EB" w:rsidP="00CB39EB">
      <w:pPr>
        <w:rPr>
          <w:rFonts w:ascii="Calibri" w:hAnsi="Calibri" w:cs="Calibri"/>
          <w:sz w:val="16"/>
          <w:szCs w:val="16"/>
        </w:rPr>
      </w:pPr>
    </w:p>
    <w:p w14:paraId="6F902CF5" w14:textId="0F69C86A" w:rsidR="00CB39EB" w:rsidRPr="00DD7BD1" w:rsidRDefault="00CB39EB" w:rsidP="00CB39EB">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919AAAB"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Transparency &amp; Equal Pay Laws – </w:t>
      </w:r>
      <w:r w:rsidRPr="00DD7BD1">
        <w:rPr>
          <w:rFonts w:cs="Calibri"/>
          <w:b/>
          <w:bCs/>
          <w:color w:val="C00000"/>
          <w:sz w:val="28"/>
          <w:szCs w:val="28"/>
          <w:shd w:val="clear" w:color="auto" w:fill="FFFFFF"/>
          <w:lang w:val="en"/>
        </w:rPr>
        <w:t>Jan 1, 2026</w:t>
      </w:r>
    </w:p>
    <w:p w14:paraId="16831AD3" w14:textId="53204C4F" w:rsidR="00CB39EB" w:rsidRPr="00DD7BD1" w:rsidRDefault="00CB39EB" w:rsidP="00CB39EB">
      <w:pPr>
        <w:rPr>
          <w:rFonts w:ascii="Calibri" w:hAnsi="Calibri" w:cs="Calibri"/>
        </w:rPr>
      </w:pPr>
      <w:r w:rsidRPr="00DD7BD1">
        <w:rPr>
          <w:rFonts w:ascii="Calibri" w:hAnsi="Calibri" w:cs="Calibri"/>
        </w:rPr>
        <w:t xml:space="preserve">On Oct. 8, 2025, California </w:t>
      </w:r>
      <w:hyperlink r:id="rId579"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EA8D669" w14:textId="77777777" w:rsidR="00CB39EB" w:rsidRPr="00DD7BD1" w:rsidRDefault="00CB39EB" w:rsidP="00CB39EB">
      <w:pPr>
        <w:rPr>
          <w:rFonts w:ascii="Calibri" w:hAnsi="Calibri" w:cs="Calibri"/>
        </w:rPr>
      </w:pPr>
      <w:r w:rsidRPr="00DD7BD1">
        <w:rPr>
          <w:rFonts w:ascii="Calibri" w:hAnsi="Calibri" w:cs="Calibri"/>
        </w:rPr>
        <w:lastRenderedPageBreak/>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35DED51B" w14:textId="1A2150EB" w:rsidR="00CB39EB" w:rsidRPr="00DD7BD1" w:rsidRDefault="00CB39EB" w:rsidP="00CB39EB">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2CF5DA8C" w14:textId="29AC9901" w:rsidR="00CB39EB" w:rsidRPr="00DD7BD1" w:rsidRDefault="00CB39EB" w:rsidP="00CB39EB">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6ECDF29D" w14:textId="77777777" w:rsidR="00CB39EB" w:rsidRPr="00DD7BD1" w:rsidRDefault="00CB39EB" w:rsidP="00CB39EB">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DE1755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7D601BDE"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6B19FE92"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5F4808A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69817C08"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7DFF06F8" w14:textId="3F3D839C"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39B1AC7" w14:textId="77777777" w:rsidR="00CB39EB" w:rsidRPr="00DD7BD1" w:rsidRDefault="00CB39EB" w:rsidP="00CB39EB">
      <w:pPr>
        <w:pStyle w:val="ListParagraph"/>
        <w:spacing w:after="0" w:line="240" w:lineRule="auto"/>
        <w:rPr>
          <w:rFonts w:ascii="Calibri" w:hAnsi="Calibri" w:cs="Calibri"/>
        </w:rPr>
      </w:pPr>
    </w:p>
    <w:p w14:paraId="3BBB5BF8"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Bans TRAPs &amp; Stay-or-Pay Provisions – </w:t>
      </w:r>
      <w:r w:rsidRPr="00DD7BD1">
        <w:rPr>
          <w:rFonts w:ascii="Calibri" w:hAnsi="Calibri" w:cs="Calibri"/>
          <w:b/>
          <w:bCs/>
          <w:color w:val="C00000"/>
          <w:sz w:val="28"/>
          <w:szCs w:val="28"/>
          <w:shd w:val="clear" w:color="auto" w:fill="FFFFFF"/>
          <w:lang w:val="en"/>
        </w:rPr>
        <w:t>Jan 1, 2026</w:t>
      </w:r>
    </w:p>
    <w:p w14:paraId="044B4131" w14:textId="329DC2EF" w:rsidR="00CB39EB" w:rsidRPr="00DD7BD1" w:rsidRDefault="00CB39EB" w:rsidP="00CB39EB">
      <w:pPr>
        <w:rPr>
          <w:rFonts w:ascii="Calibri" w:hAnsi="Calibri" w:cs="Calibri"/>
          <w:b/>
          <w:bCs/>
        </w:rPr>
      </w:pPr>
      <w:r w:rsidRPr="00DD7BD1">
        <w:rPr>
          <w:rFonts w:ascii="Calibri" w:hAnsi="Calibri" w:cs="Calibri"/>
        </w:rPr>
        <w:t xml:space="preserve">On Oct. 13, 2025, California passed a </w:t>
      </w:r>
      <w:hyperlink r:id="rId580" w:history="1">
        <w:r w:rsidRPr="00DD7BD1">
          <w:rPr>
            <w:rStyle w:val="Hyperlink"/>
            <w:rFonts w:ascii="Calibri" w:hAnsi="Calibri" w:cs="Calibri"/>
          </w:rPr>
          <w:t>bill</w:t>
        </w:r>
      </w:hyperlink>
      <w:r w:rsidRPr="00DD7BD1">
        <w:rPr>
          <w:rFonts w:ascii="Calibri" w:hAnsi="Calibri" w:cs="Calibri"/>
        </w:rPr>
        <w:t xml:space="preserve">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5610AF05" w14:textId="77777777" w:rsidR="00CB39EB" w:rsidRPr="00DD7BD1" w:rsidRDefault="00CB39EB" w:rsidP="00CB39EB">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591731D3"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69DF51C7"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08DF8DF" w14:textId="6A831C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625BB514" w14:textId="2A6EB015" w:rsidR="00CB39EB" w:rsidRPr="00DD7BD1" w:rsidRDefault="00CB39EB" w:rsidP="00CB39EB">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733EAF4E"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Expands CalWARN Notice Content Requirements – </w:t>
      </w:r>
      <w:r w:rsidRPr="00DD7BD1">
        <w:rPr>
          <w:rFonts w:ascii="Calibri" w:hAnsi="Calibri" w:cs="Calibri"/>
          <w:b/>
          <w:bCs/>
          <w:color w:val="C00000"/>
          <w:sz w:val="28"/>
          <w:szCs w:val="28"/>
          <w:shd w:val="clear" w:color="auto" w:fill="FFFFFF"/>
          <w:lang w:val="en"/>
        </w:rPr>
        <w:t>Jan 1, 2026</w:t>
      </w:r>
    </w:p>
    <w:p w14:paraId="72BD8A34" w14:textId="78BDC28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81"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6C6BDF61" w14:textId="77777777" w:rsidR="00CB39EB" w:rsidRPr="00DD7BD1" w:rsidRDefault="00CB39EB" w:rsidP="00CB39EB">
      <w:pPr>
        <w:rPr>
          <w:rFonts w:ascii="Calibri" w:hAnsi="Calibri" w:cs="Calibri"/>
          <w:b/>
          <w:bCs/>
          <w:shd w:val="clear" w:color="auto" w:fill="FFFFFF"/>
        </w:rPr>
      </w:pPr>
      <w:r w:rsidRPr="00DD7BD1">
        <w:rPr>
          <w:rFonts w:ascii="Calibri" w:hAnsi="Calibri" w:cs="Calibri"/>
          <w:b/>
          <w:bCs/>
          <w:shd w:val="clear" w:color="auto" w:fill="FFFFFF"/>
        </w:rPr>
        <w:t>Overview</w:t>
      </w:r>
    </w:p>
    <w:p w14:paraId="2D2EBACD" w14:textId="7BD9918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lastRenderedPageBreak/>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31220829" w14:textId="18C7D71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019FCCD0"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6A80F8B7"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70D26450"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525F4294"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69805C90" w14:textId="151BB24D"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47F6F18" w14:textId="3807629A"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7D5BEAA"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Law Expands Unpaid Wage Judgement Enforcement – </w:t>
      </w:r>
      <w:r w:rsidRPr="00DD7BD1">
        <w:rPr>
          <w:rFonts w:ascii="Calibri" w:hAnsi="Calibri" w:cs="Calibri"/>
          <w:b/>
          <w:bCs/>
          <w:color w:val="C00000"/>
          <w:sz w:val="28"/>
          <w:szCs w:val="28"/>
          <w:shd w:val="clear" w:color="auto" w:fill="FFFFFF"/>
          <w:lang w:val="en"/>
        </w:rPr>
        <w:t>Jan 1, 2026</w:t>
      </w:r>
    </w:p>
    <w:p w14:paraId="0EEA2F37" w14:textId="6AC0F07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82"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37E9BB7F" w14:textId="005E5A23" w:rsidR="00CB39EB" w:rsidRPr="00DD7BD1" w:rsidRDefault="00CB39EB" w:rsidP="00CB39EB">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1CCAD300" w14:textId="77777777" w:rsidR="00CB39EB" w:rsidRPr="00DD7BD1" w:rsidRDefault="00CB39EB" w:rsidP="00CB39E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Reminder:</w:t>
      </w:r>
      <w:r w:rsidRPr="00DD7BD1">
        <w:rPr>
          <w:rFonts w:ascii="Calibri" w:hAnsi="Calibri" w:cs="Calibri"/>
          <w:b/>
          <w:bCs/>
          <w:sz w:val="28"/>
          <w:szCs w:val="28"/>
          <w:shd w:val="clear" w:color="auto" w:fill="FFFFFF"/>
        </w:rPr>
        <w:t xml:space="preserve"> State Regulation IVF Coverage Mandate – Eff </w:t>
      </w:r>
      <w:r w:rsidRPr="00DD7BD1">
        <w:rPr>
          <w:rFonts w:ascii="Calibri" w:hAnsi="Calibri" w:cs="Calibri"/>
          <w:b/>
          <w:bCs/>
          <w:color w:val="C00000"/>
          <w:sz w:val="28"/>
          <w:szCs w:val="28"/>
          <w:shd w:val="clear" w:color="auto" w:fill="FFFFFF"/>
        </w:rPr>
        <w:t>2026</w:t>
      </w:r>
    </w:p>
    <w:p w14:paraId="1B4E5E37" w14:textId="01E13479"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7B3437C2" w14:textId="4C5F9D5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0A7ED4E9" w14:textId="697D4BB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16E7C816" w14:textId="07B2EF30"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E6926E7" w14:textId="04CC0055" w:rsidR="00DC617F"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bookmarkEnd w:id="52"/>
    </w:p>
    <w:p w14:paraId="3434DC65" w14:textId="2CAD4628" w:rsidR="00636C21" w:rsidRPr="00DD7BD1" w:rsidRDefault="00636C21" w:rsidP="00636C21">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6AF7DC17"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hyperlink r:id="rId583"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xml:space="preserve">, to make education and training records explicitly part of the “personnel records” that current and former employees (or their authorized representatives) have the right to </w:t>
      </w:r>
      <w:r w:rsidRPr="00DD7BD1">
        <w:rPr>
          <w:rFonts w:ascii="Calibri" w:hAnsi="Calibri" w:cs="Calibri"/>
          <w:sz w:val="22"/>
          <w:szCs w:val="22"/>
        </w:rPr>
        <w:lastRenderedPageBreak/>
        <w:t xml:space="preserve">inspect and copy.  Employers who do not typically send these records to an employee’s personnel file must now do so and </w:t>
      </w:r>
      <w:proofErr w:type="gramStart"/>
      <w:r w:rsidRPr="00DD7BD1">
        <w:rPr>
          <w:rFonts w:ascii="Calibri" w:hAnsi="Calibri" w:cs="Calibri"/>
          <w:sz w:val="22"/>
          <w:szCs w:val="22"/>
        </w:rPr>
        <w:t>must further</w:t>
      </w:r>
      <w:proofErr w:type="gramEnd"/>
      <w:r w:rsidRPr="00DD7BD1">
        <w:rPr>
          <w:rFonts w:ascii="Calibri" w:hAnsi="Calibri" w:cs="Calibri"/>
          <w:sz w:val="22"/>
          <w:szCs w:val="22"/>
        </w:rPr>
        <w:t xml:space="preserve"> ensure they include all required information.</w:t>
      </w:r>
    </w:p>
    <w:p w14:paraId="41C3508C"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p>
    <w:p w14:paraId="7CF5DDCD"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that maintain education or training records should follow these guidelines:</w:t>
      </w:r>
    </w:p>
    <w:p w14:paraId="7F4B0498" w14:textId="77777777" w:rsidR="00636C21" w:rsidRPr="00DD7BD1" w:rsidRDefault="00636C21" w:rsidP="00636C21">
      <w:pPr>
        <w:pStyle w:val="ListParagraph"/>
        <w:numPr>
          <w:ilvl w:val="0"/>
          <w:numId w:val="258"/>
        </w:numPr>
        <w:shd w:val="clear" w:color="auto" w:fill="FFFFFF"/>
        <w:spacing w:after="0" w:line="240" w:lineRule="auto"/>
        <w:ind w:left="720"/>
        <w:rPr>
          <w:rFonts w:ascii="Calibri" w:hAnsi="Calibri" w:cs="Calibri"/>
          <w:b/>
          <w:bCs/>
        </w:rPr>
      </w:pPr>
      <w:r w:rsidRPr="00DD7BD1">
        <w:rPr>
          <w:rFonts w:ascii="Calibri" w:hAnsi="Calibri" w:cs="Calibri"/>
          <w:b/>
          <w:bCs/>
        </w:rPr>
        <w:t>Documentation</w:t>
      </w:r>
    </w:p>
    <w:p w14:paraId="7BFC369F"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employee’s name.</w:t>
      </w:r>
    </w:p>
    <w:p w14:paraId="46BA579D"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training provider’s name.</w:t>
      </w:r>
    </w:p>
    <w:p w14:paraId="75C0017E"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duration and date of the training.</w:t>
      </w:r>
    </w:p>
    <w:p w14:paraId="62062858"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core competencies covered (including equipment or software skills).</w:t>
      </w:r>
    </w:p>
    <w:p w14:paraId="2146B5A0"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Any resulting certification or qualification.</w:t>
      </w:r>
    </w:p>
    <w:p w14:paraId="30B2860E"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D7BD1" w:rsidRDefault="00636C21" w:rsidP="00636C21">
      <w:pPr>
        <w:numPr>
          <w:ilvl w:val="0"/>
          <w:numId w:val="254"/>
        </w:numPr>
        <w:shd w:val="clear" w:color="auto" w:fill="FFFFFF"/>
        <w:spacing w:after="0" w:line="240" w:lineRule="auto"/>
        <w:rPr>
          <w:rFonts w:ascii="Calibri" w:hAnsi="Calibri" w:cs="Calibri"/>
        </w:rPr>
      </w:pPr>
      <w:r w:rsidRPr="00DD7BD1">
        <w:rPr>
          <w:rStyle w:val="Strong"/>
          <w:rFonts w:ascii="Calibri" w:hAnsi="Calibri" w:cs="Calibri"/>
        </w:rPr>
        <w:t>Timely Access Still Applies</w:t>
      </w:r>
    </w:p>
    <w:p w14:paraId="28928D91"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D7BD1" w:rsidRDefault="00636C21" w:rsidP="00636C21">
      <w:pPr>
        <w:numPr>
          <w:ilvl w:val="0"/>
          <w:numId w:val="255"/>
        </w:numPr>
        <w:shd w:val="clear" w:color="auto" w:fill="FFFFFF"/>
        <w:spacing w:after="0" w:line="240" w:lineRule="auto"/>
        <w:rPr>
          <w:rFonts w:ascii="Calibri" w:hAnsi="Calibri" w:cs="Calibri"/>
        </w:rPr>
      </w:pPr>
      <w:r w:rsidRPr="00DD7BD1">
        <w:rPr>
          <w:rStyle w:val="Strong"/>
          <w:rFonts w:ascii="Calibri" w:hAnsi="Calibri" w:cs="Calibri"/>
        </w:rPr>
        <w:t>Retention Requirements</w:t>
      </w:r>
    </w:p>
    <w:p w14:paraId="5767E2EB"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Employers must retain personnel </w:t>
      </w:r>
      <w:proofErr w:type="gramStart"/>
      <w:r w:rsidRPr="00DD7BD1">
        <w:rPr>
          <w:rFonts w:ascii="Calibri" w:hAnsi="Calibri" w:cs="Calibri"/>
          <w:sz w:val="22"/>
          <w:szCs w:val="22"/>
        </w:rPr>
        <w:t>records—</w:t>
      </w:r>
      <w:proofErr w:type="gramEnd"/>
      <w:r w:rsidRPr="00DD7BD1">
        <w:rPr>
          <w:rFonts w:ascii="Calibri" w:hAnsi="Calibri" w:cs="Calibri"/>
          <w:sz w:val="22"/>
          <w:szCs w:val="22"/>
        </w:rPr>
        <w:t xml:space="preserve">including these expanded education and training </w:t>
      </w:r>
      <w:proofErr w:type="gramStart"/>
      <w:r w:rsidRPr="00DD7BD1">
        <w:rPr>
          <w:rFonts w:ascii="Calibri" w:hAnsi="Calibri" w:cs="Calibri"/>
          <w:sz w:val="22"/>
          <w:szCs w:val="22"/>
        </w:rPr>
        <w:t>records—</w:t>
      </w:r>
      <w:proofErr w:type="gramEnd"/>
      <w:r w:rsidRPr="00DD7BD1">
        <w:rPr>
          <w:rFonts w:ascii="Calibri" w:hAnsi="Calibri" w:cs="Calibri"/>
          <w:sz w:val="22"/>
          <w:szCs w:val="22"/>
        </w:rPr>
        <w:t>for at least three years after an employee’s termination.</w:t>
      </w:r>
    </w:p>
    <w:p w14:paraId="47793F4A" w14:textId="77777777" w:rsidR="00636C21" w:rsidRPr="00DD7BD1" w:rsidRDefault="00636C21" w:rsidP="00636C21">
      <w:pPr>
        <w:numPr>
          <w:ilvl w:val="0"/>
          <w:numId w:val="256"/>
        </w:numPr>
        <w:shd w:val="clear" w:color="auto" w:fill="FFFFFF"/>
        <w:spacing w:after="0" w:line="240" w:lineRule="auto"/>
        <w:rPr>
          <w:rFonts w:ascii="Calibri" w:hAnsi="Calibri" w:cs="Calibri"/>
        </w:rPr>
      </w:pPr>
      <w:r w:rsidRPr="00DD7BD1">
        <w:rPr>
          <w:rStyle w:val="Strong"/>
          <w:rFonts w:ascii="Calibri" w:hAnsi="Calibri" w:cs="Calibri"/>
        </w:rPr>
        <w:t>One Request Rule for Former Employees</w:t>
      </w:r>
    </w:p>
    <w:p w14:paraId="117DE5A2"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Former employees may only make one request per year to inspect or receive a copy of their records.</w:t>
      </w:r>
    </w:p>
    <w:p w14:paraId="25DF32F9" w14:textId="77777777" w:rsidR="00636C21" w:rsidRPr="00DD7BD1" w:rsidRDefault="00636C21" w:rsidP="00636C21">
      <w:pPr>
        <w:numPr>
          <w:ilvl w:val="0"/>
          <w:numId w:val="257"/>
        </w:numPr>
        <w:shd w:val="clear" w:color="auto" w:fill="FFFFFF"/>
        <w:spacing w:after="0" w:line="240" w:lineRule="auto"/>
        <w:rPr>
          <w:rFonts w:ascii="Calibri" w:hAnsi="Calibri" w:cs="Calibri"/>
        </w:rPr>
      </w:pPr>
      <w:r w:rsidRPr="00DD7BD1">
        <w:rPr>
          <w:rStyle w:val="Strong"/>
          <w:rFonts w:ascii="Calibri" w:hAnsi="Calibri" w:cs="Calibri"/>
        </w:rPr>
        <w:t>Verification and Forms</w:t>
      </w:r>
    </w:p>
    <w:p w14:paraId="3CC4C6AD" w14:textId="1B4C8483"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may verify the identity of the requester and can require use of an employer-provided form, which must be made available upon verbal request.</w:t>
      </w:r>
    </w:p>
    <w:p w14:paraId="6E8E29C8" w14:textId="3501A610"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51B8DA6D" w:rsidR="00636C21" w:rsidRPr="00DD7BD1" w:rsidRDefault="00636C21" w:rsidP="00636C21">
      <w:pPr>
        <w:jc w:val="center"/>
        <w:rPr>
          <w:rFonts w:ascii="Calibri" w:hAnsi="Calibri" w:cs="Calibri"/>
          <w:b/>
          <w:bCs/>
          <w:color w:val="C00000"/>
          <w:sz w:val="28"/>
          <w:szCs w:val="28"/>
          <w:shd w:val="clear" w:color="auto" w:fill="FFFFFF"/>
          <w:lang w:val="en"/>
        </w:rPr>
      </w:pPr>
      <w:bookmarkStart w:id="53" w:name="_Hlk213072655"/>
      <w:r w:rsidRPr="00DD7BD1">
        <w:rPr>
          <w:rFonts w:ascii="Calibri" w:hAnsi="Calibri" w:cs="Calibri"/>
          <w:b/>
          <w:bCs/>
          <w:sz w:val="28"/>
          <w:szCs w:val="28"/>
          <w:shd w:val="clear" w:color="auto" w:fill="FFFFFF"/>
          <w:lang w:val="en"/>
        </w:rPr>
        <w:t xml:space="preserve">State Expands PFL Eligibility to “Designated Persons” Funded Benefits Available </w:t>
      </w:r>
      <w:r w:rsidRPr="00DD7BD1">
        <w:rPr>
          <w:rFonts w:ascii="Calibri" w:hAnsi="Calibri" w:cs="Calibri"/>
          <w:b/>
          <w:bCs/>
          <w:color w:val="C00000"/>
          <w:sz w:val="28"/>
          <w:szCs w:val="28"/>
          <w:shd w:val="clear" w:color="auto" w:fill="FFFFFF"/>
          <w:lang w:val="en"/>
        </w:rPr>
        <w:t>July 1, 202</w:t>
      </w:r>
      <w:bookmarkEnd w:id="53"/>
      <w:r w:rsidR="00E3278C">
        <w:rPr>
          <w:rFonts w:ascii="Calibri" w:hAnsi="Calibri" w:cs="Calibri"/>
          <w:b/>
          <w:bCs/>
          <w:color w:val="C00000"/>
          <w:sz w:val="28"/>
          <w:szCs w:val="28"/>
          <w:shd w:val="clear" w:color="auto" w:fill="FFFFFF"/>
          <w:lang w:val="en"/>
        </w:rPr>
        <w:t>8</w:t>
      </w:r>
    </w:p>
    <w:p w14:paraId="608044B1" w14:textId="5B8C6B6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Following California’s 2023 expansion of job-protected, unpaid family medical leave and paid sick and safe time and its 2025 expansion of job-protected, unpaid leave for victims of violence to include use for a “</w:t>
      </w:r>
      <w:r w:rsidRPr="00DD7BD1">
        <w:rPr>
          <w:rFonts w:ascii="Calibri" w:hAnsi="Calibri" w:cs="Calibri"/>
          <w:b/>
          <w:bCs/>
          <w:i/>
          <w:iCs/>
          <w:shd w:val="clear" w:color="auto" w:fill="FFFFFF"/>
        </w:rPr>
        <w:t xml:space="preserve">designated </w:t>
      </w:r>
      <w:r w:rsidRPr="00DD7BD1">
        <w:rPr>
          <w:rFonts w:ascii="Calibri" w:hAnsi="Calibri" w:cs="Calibri"/>
          <w:shd w:val="clear" w:color="auto" w:fill="FFFFFF"/>
        </w:rPr>
        <w:t>person,” Governor Gavin Newsom signed </w:t>
      </w:r>
      <w:hyperlink r:id="rId584" w:tgtFrame="_blank" w:history="1">
        <w:r w:rsidRPr="00DD7BD1">
          <w:rPr>
            <w:rStyle w:val="Hyperlink"/>
            <w:rFonts w:ascii="Calibri" w:hAnsi="Calibri" w:cs="Calibri"/>
            <w:shd w:val="clear" w:color="auto" w:fill="FFFFFF"/>
          </w:rPr>
          <w:t>SB 590</w:t>
        </w:r>
      </w:hyperlink>
      <w:r w:rsidRPr="00DD7BD1">
        <w:rPr>
          <w:rFonts w:ascii="Calibri" w:hAnsi="Calibri" w:cs="Calibri"/>
          <w:color w:val="C00000"/>
          <w:shd w:val="clear" w:color="auto" w:fill="FFFFFF"/>
        </w:rPr>
        <w:t> </w:t>
      </w:r>
      <w:r w:rsidRPr="00DD7BD1">
        <w:rPr>
          <w:rFonts w:ascii="Calibri" w:hAnsi="Calibri" w:cs="Calibri"/>
          <w:shd w:val="clear" w:color="auto" w:fill="FFFFFF"/>
        </w:rPr>
        <w:t>on October 13, 2025, which broadens eligibility for the state’s Paid Family Leave (PFL) law.</w:t>
      </w:r>
    </w:p>
    <w:p w14:paraId="0560E58B" w14:textId="133E63E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PFL wage replacement benefits claims filed on or after </w:t>
      </w:r>
      <w:r w:rsidRPr="00DD7BD1">
        <w:rPr>
          <w:rFonts w:ascii="Calibri" w:hAnsi="Calibri" w:cs="Calibri"/>
          <w:b/>
          <w:bCs/>
          <w:color w:val="C00000"/>
          <w:shd w:val="clear" w:color="auto" w:fill="FFFFFF"/>
        </w:rPr>
        <w:t xml:space="preserve">July 1, </w:t>
      </w:r>
      <w:proofErr w:type="gramStart"/>
      <w:r w:rsidRPr="00DD7BD1">
        <w:rPr>
          <w:rFonts w:ascii="Calibri" w:hAnsi="Calibri" w:cs="Calibri"/>
          <w:b/>
          <w:bCs/>
          <w:color w:val="C00000"/>
          <w:shd w:val="clear" w:color="auto" w:fill="FFFFFF"/>
        </w:rPr>
        <w:t>2028</w:t>
      </w:r>
      <w:proofErr w:type="gramEnd"/>
      <w:r w:rsidRPr="00DD7BD1">
        <w:rPr>
          <w:rFonts w:ascii="Calibri" w:hAnsi="Calibri" w:cs="Calibri"/>
          <w:color w:val="C00000"/>
          <w:shd w:val="clear" w:color="auto" w:fill="FFFFFF"/>
        </w:rPr>
        <w:t xml:space="preserve"> </w:t>
      </w:r>
      <w:r w:rsidRPr="00DD7BD1">
        <w:rPr>
          <w:rFonts w:ascii="Calibri" w:hAnsi="Calibri" w:cs="Calibri"/>
          <w:shd w:val="clear" w:color="auto" w:fill="FFFFFF"/>
        </w:rPr>
        <w:t>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0FB1218F" w14:textId="78F612DB"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leave for employees taking time off to support military-family members deploying to a foreign country.</w:t>
      </w:r>
    </w:p>
    <w:p w14:paraId="412BE6FD" w14:textId="64890E4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lastRenderedPageBreak/>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4" w:name="_Hlk213072680"/>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bookmarkEnd w:id="54"/>
    <w:p w14:paraId="34EBB7C0" w14:textId="77777777" w:rsidR="00636C21" w:rsidRPr="00DD7BD1" w:rsidRDefault="00636C21" w:rsidP="00636C21">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85"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86"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87"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bookmarkStart w:id="55" w:name="_ftnref3"/>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[3]</w:t>
      </w:r>
      <w:r w:rsidRPr="00DD7BD1">
        <w:rPr>
          <w:rFonts w:ascii="Calibri" w:hAnsi="Calibri" w:cs="Calibri"/>
          <w:color w:val="2E74B5" w:themeColor="accent5" w:themeShade="BF"/>
          <w:shd w:val="clear" w:color="auto" w:fill="FFFFFF"/>
          <w:lang w:val="en"/>
        </w:rPr>
        <w:fldChar w:fldCharType="end"/>
      </w:r>
      <w:bookmarkEnd w:id="55"/>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6" w:name="_ftnref4"/>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[4]</w:t>
      </w:r>
      <w:r w:rsidRPr="00DD7BD1">
        <w:rPr>
          <w:rFonts w:ascii="Calibri" w:hAnsi="Calibri" w:cs="Calibri"/>
          <w:color w:val="2E74B5" w:themeColor="accent5" w:themeShade="BF"/>
          <w:shd w:val="clear" w:color="auto" w:fill="FFFFFF"/>
          <w:lang w:val="en"/>
        </w:rPr>
        <w:fldChar w:fldCharType="end"/>
      </w:r>
      <w:bookmarkEnd w:id="56"/>
    </w:p>
    <w:p w14:paraId="3FF08839" w14:textId="289E860B"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9A6BE9D" w14:textId="12BF6867"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7" w:name="_Hlk213072716"/>
      <w:r w:rsidRPr="00DD7BD1">
        <w:rPr>
          <w:rFonts w:ascii="Calibri" w:hAnsi="Calibri" w:cs="Calibri"/>
          <w:b/>
          <w:bCs/>
          <w:sz w:val="28"/>
          <w:szCs w:val="28"/>
          <w:shd w:val="clear" w:color="auto" w:fill="FFFFFF"/>
          <w:lang w:val="en"/>
        </w:rPr>
        <w:t>State Adds Leave Rights</w:t>
      </w:r>
      <w:bookmarkEnd w:id="57"/>
      <w:r w:rsidRPr="00DD7BD1">
        <w:rPr>
          <w:rFonts w:ascii="Calibri" w:hAnsi="Calibri" w:cs="Calibri"/>
          <w:b/>
          <w:bCs/>
          <w:sz w:val="28"/>
          <w:szCs w:val="28"/>
          <w:shd w:val="clear" w:color="auto" w:fill="FFFFFF"/>
          <w:lang w:val="en"/>
        </w:rPr>
        <w:t xml:space="preserve">–Victims, Jurors &amp; Witnesses – </w:t>
      </w:r>
      <w:r w:rsidRPr="00DD7BD1">
        <w:rPr>
          <w:rFonts w:ascii="Calibri" w:hAnsi="Calibri" w:cs="Calibri"/>
          <w:b/>
          <w:bCs/>
          <w:color w:val="C00000"/>
          <w:sz w:val="28"/>
          <w:szCs w:val="28"/>
          <w:shd w:val="clear" w:color="auto" w:fill="FFFFFF"/>
          <w:lang w:val="en"/>
        </w:rPr>
        <w:t>Oct 1, 2025 &amp; Jan 1, 2026</w:t>
      </w:r>
    </w:p>
    <w:p w14:paraId="48199322" w14:textId="18A90E83" w:rsidR="00636C21" w:rsidRPr="00DD7BD1" w:rsidRDefault="00636C21" w:rsidP="00636C21">
      <w:pPr>
        <w:rPr>
          <w:rFonts w:ascii="Calibri" w:hAnsi="Calibri" w:cs="Calibri"/>
        </w:rPr>
      </w:pPr>
      <w:r w:rsidRPr="00DD7BD1">
        <w:rPr>
          <w:rFonts w:ascii="Calibri" w:hAnsi="Calibri" w:cs="Calibri"/>
        </w:rPr>
        <w:t>Overview: Victim, juror and witness leave may qualify under the paid sick leave law starting January 1, 2026</w:t>
      </w:r>
    </w:p>
    <w:p w14:paraId="4471265D" w14:textId="65AA2844" w:rsidR="00636C21" w:rsidRPr="00DD7BD1" w:rsidRDefault="00636C21" w:rsidP="00636C21">
      <w:pPr>
        <w:rPr>
          <w:rFonts w:ascii="Calibri" w:hAnsi="Calibri" w:cs="Calibri"/>
        </w:rPr>
      </w:pPr>
      <w:r w:rsidRPr="00DD7BD1">
        <w:rPr>
          <w:rFonts w:ascii="Calibri" w:hAnsi="Calibri" w:cs="Calibri"/>
        </w:rPr>
        <w:t xml:space="preserve">California has </w:t>
      </w:r>
      <w:hyperlink r:id="rId588"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0AF72531"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w:t>
      </w:r>
      <w:bookmarkStart w:id="58" w:name="_Hlk213072806"/>
      <w:r w:rsidRPr="00DD7BD1">
        <w:rPr>
          <w:rFonts w:cs="Calibri"/>
          <w:color w:val="auto"/>
          <w:szCs w:val="22"/>
        </w:rPr>
        <w:t xml:space="preserve">specific crimes </w:t>
      </w:r>
      <w:bookmarkEnd w:id="58"/>
      <w:r w:rsidRPr="00DD7BD1">
        <w:rPr>
          <w:rFonts w:cs="Calibri"/>
          <w:color w:val="auto"/>
          <w:szCs w:val="22"/>
        </w:rPr>
        <w:t>(or whose family member is a victim</w:t>
      </w:r>
      <w:bookmarkStart w:id="59" w:name="_Hlk213072827"/>
      <w:r w:rsidRPr="00DD7BD1">
        <w:rPr>
          <w:rFonts w:cs="Calibri"/>
          <w:color w:val="auto"/>
          <w:szCs w:val="22"/>
        </w:rPr>
        <w:t xml:space="preserve">) from taking time off to attend judicial proceedings </w:t>
      </w:r>
      <w:bookmarkEnd w:id="59"/>
      <w:r w:rsidRPr="00DD7BD1">
        <w:rPr>
          <w:rFonts w:cs="Calibri"/>
          <w:color w:val="auto"/>
          <w:szCs w:val="22"/>
        </w:rPr>
        <w:t xml:space="preserve">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465A8531" w14:textId="77777777" w:rsidR="00636C21" w:rsidRPr="00DD7BD1" w:rsidRDefault="00636C21" w:rsidP="00636C21">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w:t>
      </w:r>
      <w:bookmarkStart w:id="60" w:name="_Hlk213072739"/>
      <w:r w:rsidRPr="00DD7BD1">
        <w:rPr>
          <w:rFonts w:cs="Calibri"/>
          <w:color w:val="auto"/>
          <w:szCs w:val="22"/>
        </w:rPr>
        <w:t xml:space="preserve">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w:t>
      </w:r>
      <w:bookmarkEnd w:id="60"/>
      <w:r w:rsidRPr="00DD7BD1">
        <w:rPr>
          <w:rFonts w:cs="Calibri"/>
          <w:color w:val="auto"/>
          <w:szCs w:val="22"/>
        </w:rPr>
        <w:t>. The amendments clarify that victims of qualified acts of violence may also use paid sick leave under the law.</w:t>
      </w:r>
    </w:p>
    <w:p w14:paraId="3F54C49C" w14:textId="77777777" w:rsidR="00636C21" w:rsidRPr="00DD7BD1" w:rsidRDefault="00636C21" w:rsidP="00636C21">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3207691E"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61587292" w14:textId="16A9FF9A" w:rsidR="00636C21" w:rsidRPr="00DD7BD1" w:rsidRDefault="00636C21" w:rsidP="00636C21">
      <w:pPr>
        <w:pStyle w:val="BodyText"/>
        <w:spacing w:after="0" w:line="240" w:lineRule="auto"/>
        <w:jc w:val="center"/>
        <w:rPr>
          <w:rFonts w:cs="Calibri"/>
        </w:rPr>
      </w:pPr>
      <w:bookmarkStart w:id="61" w:name="_Hlk213072888"/>
      <w:r w:rsidRPr="00DD7BD1">
        <w:rPr>
          <w:rFonts w:cs="Calibri"/>
          <w:b/>
          <w:bCs/>
          <w:color w:val="auto"/>
          <w:sz w:val="28"/>
          <w:szCs w:val="28"/>
          <w:shd w:val="clear" w:color="auto" w:fill="FFFFFF"/>
          <w:lang w:val="en"/>
        </w:rPr>
        <w:t xml:space="preserve">State Amends Annual Pay Data Reporting Requirements – Jan 1, 2026 </w:t>
      </w:r>
      <w:bookmarkEnd w:id="61"/>
      <w:r w:rsidRPr="00DD7BD1">
        <w:rPr>
          <w:rFonts w:cs="Calibri"/>
          <w:b/>
          <w:bCs/>
          <w:color w:val="auto"/>
          <w:sz w:val="28"/>
          <w:szCs w:val="28"/>
          <w:shd w:val="clear" w:color="auto" w:fill="FFFFFF"/>
          <w:lang w:val="en"/>
        </w:rPr>
        <w:t>&amp; 2027</w:t>
      </w:r>
    </w:p>
    <w:p w14:paraId="6B2B2D8F" w14:textId="37176C78" w:rsidR="00636C21" w:rsidRPr="00DD7BD1" w:rsidRDefault="00636C21" w:rsidP="00636C21">
      <w:pPr>
        <w:rPr>
          <w:rFonts w:ascii="Calibri" w:hAnsi="Calibri" w:cs="Calibri"/>
        </w:rPr>
      </w:pPr>
      <w:r w:rsidRPr="00DD7BD1">
        <w:rPr>
          <w:rFonts w:ascii="Calibri" w:hAnsi="Calibri" w:cs="Calibri"/>
        </w:rPr>
        <w:t xml:space="preserve">On Oct. 13, 2025, California </w:t>
      </w:r>
      <w:hyperlink r:id="rId589"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bookmarkStart w:id="62" w:name="_Hlk213072937"/>
      <w:r w:rsidRPr="00DD7BD1">
        <w:rPr>
          <w:rFonts w:ascii="Calibri" w:hAnsi="Calibri" w:cs="Calibri"/>
          <w:b/>
          <w:bCs/>
        </w:rPr>
        <w:t>modify storage requirements</w:t>
      </w:r>
      <w:r w:rsidRPr="00DD7BD1">
        <w:rPr>
          <w:rFonts w:ascii="Calibri" w:hAnsi="Calibri" w:cs="Calibri"/>
        </w:rPr>
        <w:t xml:space="preserve"> </w:t>
      </w:r>
      <w:bookmarkEnd w:id="62"/>
      <w:r w:rsidRPr="00DD7BD1">
        <w:rPr>
          <w:rFonts w:ascii="Calibri" w:hAnsi="Calibri" w:cs="Calibri"/>
        </w:rPr>
        <w:t xml:space="preserve">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26ACA718" w14:textId="26AC326E" w:rsidR="00636C21" w:rsidRPr="00DD7BD1" w:rsidRDefault="00636C21" w:rsidP="00636C21">
      <w:pPr>
        <w:rPr>
          <w:rFonts w:ascii="Calibri" w:hAnsi="Calibri" w:cs="Calibri"/>
        </w:rPr>
      </w:pPr>
      <w:r w:rsidRPr="00DD7BD1">
        <w:rPr>
          <w:rFonts w:ascii="Calibri" w:hAnsi="Calibri" w:cs="Calibri"/>
        </w:rPr>
        <w:lastRenderedPageBreak/>
        <w:t>This annual workforce pay data report requirements is filed with the California Civil Rights Department (CRD) and  must include the number of employees by race, ethnicity and sex in each of 10 job categories.</w:t>
      </w:r>
    </w:p>
    <w:p w14:paraId="489317DD"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4E075273"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09F2E57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DD7BD1" w:rsidRDefault="00636C21" w:rsidP="00636C21">
      <w:pPr>
        <w:rPr>
          <w:rFonts w:ascii="Calibri" w:hAnsi="Calibri" w:cs="Calibri"/>
          <w:sz w:val="16"/>
          <w:szCs w:val="16"/>
        </w:rPr>
      </w:pPr>
    </w:p>
    <w:p w14:paraId="7AF40966"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2027</w:t>
      </w:r>
      <w:r w:rsidRPr="00DD7BD1">
        <w:rPr>
          <w:rFonts w:ascii="Calibri" w:hAnsi="Calibri" w:cs="Calibri"/>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Chief executives;</w:t>
      </w:r>
    </w:p>
    <w:p w14:paraId="0F570FA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Management occupations, except chief executives;</w:t>
      </w:r>
    </w:p>
    <w:p w14:paraId="19FF24C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Business and financial operations occupations;</w:t>
      </w:r>
    </w:p>
    <w:p w14:paraId="6C337E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Computer and mathematical occupations;</w:t>
      </w:r>
    </w:p>
    <w:p w14:paraId="0E8401A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Architecture and engineering occupations;</w:t>
      </w:r>
    </w:p>
    <w:p w14:paraId="7940BA09"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Life, physical and social science occupations;</w:t>
      </w:r>
    </w:p>
    <w:p w14:paraId="432DDEF5"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Community and social science occupations;</w:t>
      </w:r>
    </w:p>
    <w:p w14:paraId="51CF483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Legal occupations;</w:t>
      </w:r>
    </w:p>
    <w:p w14:paraId="1812B024"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Educational instruction and library occupations;</w:t>
      </w:r>
    </w:p>
    <w:p w14:paraId="1FFC0B1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Art, design, entertainment, sports and media occupations;</w:t>
      </w:r>
    </w:p>
    <w:p w14:paraId="2342BCD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practitioners and technical occupations;</w:t>
      </w:r>
    </w:p>
    <w:p w14:paraId="52542AA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support occupations;</w:t>
      </w:r>
    </w:p>
    <w:p w14:paraId="01F4FD4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Protective service occupations;</w:t>
      </w:r>
    </w:p>
    <w:p w14:paraId="2EA5072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Food preparation and serving-related occupations;</w:t>
      </w:r>
    </w:p>
    <w:p w14:paraId="0C110B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Building and ground cleaning and maintenance occupations;</w:t>
      </w:r>
    </w:p>
    <w:p w14:paraId="04EADA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Personal care and service occupations;</w:t>
      </w:r>
    </w:p>
    <w:p w14:paraId="40C822B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Sales and related occupations;</w:t>
      </w:r>
    </w:p>
    <w:p w14:paraId="58E977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Office and administrative support occupations;</w:t>
      </w:r>
    </w:p>
    <w:p w14:paraId="0F92286E"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Farming, fishing and forestry occupations;</w:t>
      </w:r>
    </w:p>
    <w:p w14:paraId="7525AF9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Construction and extraction occupations;</w:t>
      </w:r>
    </w:p>
    <w:p w14:paraId="41CD42F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Installation, maintenance and repair occupations;</w:t>
      </w:r>
    </w:p>
    <w:p w14:paraId="7A8DD55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Production occupations; and </w:t>
      </w:r>
    </w:p>
    <w:p w14:paraId="2E3F4B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Transportation and material moving occupations. </w:t>
      </w:r>
    </w:p>
    <w:p w14:paraId="4D3B3548" w14:textId="77777777" w:rsidR="00636C21" w:rsidRPr="00DD7BD1" w:rsidRDefault="00636C21" w:rsidP="00636C21">
      <w:pPr>
        <w:pStyle w:val="Bullet"/>
        <w:numPr>
          <w:ilvl w:val="0"/>
          <w:numId w:val="0"/>
        </w:numPr>
        <w:spacing w:line="240" w:lineRule="auto"/>
        <w:ind w:left="90"/>
        <w:rPr>
          <w:rFonts w:cs="Calibri"/>
          <w:sz w:val="16"/>
          <w:szCs w:val="16"/>
        </w:rPr>
      </w:pPr>
    </w:p>
    <w:p w14:paraId="59DAF955" w14:textId="0947E86C" w:rsidR="00636C21" w:rsidRPr="00DD7BD1" w:rsidRDefault="00636C21" w:rsidP="00636C2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Pr="00DD7BD1" w:rsidRDefault="00636C21" w:rsidP="00636C21">
      <w:pPr>
        <w:pStyle w:val="BodyText"/>
        <w:spacing w:after="0" w:line="240" w:lineRule="auto"/>
        <w:jc w:val="center"/>
        <w:rPr>
          <w:rFonts w:cs="Calibri"/>
        </w:rPr>
      </w:pPr>
      <w:bookmarkStart w:id="63" w:name="_Hlk213072960"/>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bookmarkEnd w:id="63"/>
    </w:p>
    <w:p w14:paraId="4077011D" w14:textId="77777777" w:rsidR="00636C21" w:rsidRPr="00DD7BD1" w:rsidRDefault="00636C21" w:rsidP="00636C21">
      <w:pPr>
        <w:rPr>
          <w:rFonts w:ascii="Calibri" w:hAnsi="Calibri" w:cs="Calibri"/>
        </w:rPr>
      </w:pPr>
      <w:r w:rsidRPr="00DD7BD1">
        <w:rPr>
          <w:rFonts w:ascii="Calibri" w:hAnsi="Calibri" w:cs="Calibri"/>
        </w:rPr>
        <w:t xml:space="preserve">On Oct. 8, 2025, California </w:t>
      </w:r>
      <w:hyperlink r:id="rId590"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0729F43" w14:textId="77777777" w:rsidR="00636C21" w:rsidRPr="00DD7BD1" w:rsidRDefault="00636C21" w:rsidP="00636C2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1E90B012" w14:textId="64EA3D8B" w:rsidR="00636C21" w:rsidRPr="00DD7BD1" w:rsidRDefault="00636C21" w:rsidP="00636C2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5EBD564C" w14:textId="743308EC" w:rsidR="00636C21" w:rsidRPr="00DD7BD1" w:rsidRDefault="00636C21" w:rsidP="00636C21">
      <w:pPr>
        <w:rPr>
          <w:rFonts w:ascii="Calibri" w:hAnsi="Calibri" w:cs="Calibri"/>
        </w:rPr>
      </w:pPr>
      <w:r w:rsidRPr="00DD7BD1">
        <w:rPr>
          <w:rFonts w:ascii="Calibri" w:hAnsi="Calibri" w:cs="Calibri"/>
        </w:rPr>
        <w:lastRenderedPageBreak/>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590295D"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668FC3FA"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345E3CF1"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E54AB57"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313DEE84"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63D1ACF1" w14:textId="77777777" w:rsidR="00AA6284" w:rsidRDefault="00AA6284" w:rsidP="00636C21">
      <w:pPr>
        <w:jc w:val="center"/>
        <w:rPr>
          <w:rFonts w:ascii="Calibri" w:hAnsi="Calibri" w:cs="Calibri"/>
          <w:b/>
          <w:bCs/>
          <w:sz w:val="28"/>
          <w:szCs w:val="28"/>
          <w:shd w:val="clear" w:color="auto" w:fill="FFFFFF"/>
          <w:lang w:val="en"/>
        </w:rPr>
      </w:pPr>
    </w:p>
    <w:p w14:paraId="2CF701E4" w14:textId="782CA563" w:rsidR="00636C21" w:rsidRPr="00DD7BD1" w:rsidRDefault="00636C21" w:rsidP="00636C21">
      <w:pPr>
        <w:jc w:val="center"/>
        <w:rPr>
          <w:rFonts w:ascii="Calibri" w:hAnsi="Calibri" w:cs="Calibri"/>
        </w:rPr>
      </w:pPr>
      <w:r w:rsidRPr="00DD7BD1">
        <w:rPr>
          <w:rFonts w:ascii="Calibri" w:hAnsi="Calibri" w:cs="Calibri"/>
          <w:b/>
          <w:bCs/>
          <w:sz w:val="28"/>
          <w:szCs w:val="28"/>
          <w:shd w:val="clear" w:color="auto" w:fill="FFFFFF"/>
          <w:lang w:val="en"/>
        </w:rPr>
        <w:t xml:space="preserve">State </w:t>
      </w:r>
      <w:bookmarkStart w:id="64" w:name="_Hlk213073016"/>
      <w:r w:rsidRPr="00DD7BD1">
        <w:rPr>
          <w:rFonts w:ascii="Calibri" w:hAnsi="Calibri" w:cs="Calibri"/>
          <w:b/>
          <w:bCs/>
          <w:sz w:val="28"/>
          <w:szCs w:val="28"/>
          <w:shd w:val="clear" w:color="auto" w:fill="FFFFFF"/>
          <w:lang w:val="en"/>
        </w:rPr>
        <w:t xml:space="preserve">Bans TRAPs &amp; Stay-or-Pay Provisions – </w:t>
      </w:r>
      <w:r w:rsidRPr="00DD7BD1">
        <w:rPr>
          <w:rFonts w:ascii="Calibri" w:hAnsi="Calibri" w:cs="Calibri"/>
          <w:b/>
          <w:bCs/>
          <w:color w:val="C00000"/>
          <w:sz w:val="28"/>
          <w:szCs w:val="28"/>
          <w:shd w:val="clear" w:color="auto" w:fill="FFFFFF"/>
          <w:lang w:val="en"/>
        </w:rPr>
        <w:t>Jan 1, 2026</w:t>
      </w:r>
    </w:p>
    <w:bookmarkEnd w:id="64"/>
    <w:p w14:paraId="5ECA6B6E" w14:textId="6D854EB2" w:rsidR="00636C21" w:rsidRPr="00DD7BD1" w:rsidRDefault="00636C21" w:rsidP="00636C21">
      <w:pPr>
        <w:rPr>
          <w:rFonts w:ascii="Calibri" w:hAnsi="Calibri" w:cs="Calibri"/>
          <w:b/>
          <w:bCs/>
        </w:rPr>
      </w:pPr>
      <w:r w:rsidRPr="00DD7BD1">
        <w:rPr>
          <w:rFonts w:ascii="Calibri" w:hAnsi="Calibri" w:cs="Calibri"/>
        </w:rPr>
        <w:t xml:space="preserve">On Oct. 13, 2025, California passed a </w:t>
      </w:r>
      <w:hyperlink r:id="rId591" w:history="1">
        <w:r w:rsidRPr="00DD7BD1">
          <w:rPr>
            <w:rStyle w:val="Hyperlink"/>
            <w:rFonts w:ascii="Calibri" w:hAnsi="Calibri" w:cs="Calibri"/>
          </w:rPr>
          <w:t>bill</w:t>
        </w:r>
      </w:hyperlink>
      <w:r w:rsidRPr="00DD7BD1">
        <w:rPr>
          <w:rFonts w:ascii="Calibri" w:hAnsi="Calibri" w:cs="Calibri"/>
        </w:rPr>
        <w:t xml:space="preserve"> to </w:t>
      </w:r>
      <w:bookmarkStart w:id="65" w:name="_Hlk213073049"/>
      <w:r w:rsidRPr="00DD7BD1">
        <w:rPr>
          <w:rFonts w:ascii="Calibri" w:hAnsi="Calibri" w:cs="Calibri"/>
        </w:rPr>
        <w:t>ban certain training and retention repayment provisions (TRAPs) and other stay-or-pay provisions in employment contracts</w:t>
      </w:r>
      <w:bookmarkEnd w:id="65"/>
      <w:r w:rsidRPr="00DD7BD1">
        <w:rPr>
          <w:rFonts w:ascii="Calibri" w:hAnsi="Calibri" w:cs="Calibri"/>
        </w:rPr>
        <w:t xml:space="preserve">.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16883C4C" w14:textId="77777777" w:rsidR="00636C21" w:rsidRPr="00DD7BD1" w:rsidRDefault="00636C21" w:rsidP="00636C21">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037DE13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0F35B7E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21BA05F6" w14:textId="77777777" w:rsidR="00636C21" w:rsidRPr="00DD7BD1" w:rsidRDefault="00636C21" w:rsidP="00636C21">
      <w:pPr>
        <w:pStyle w:val="Bullet"/>
        <w:numPr>
          <w:ilvl w:val="0"/>
          <w:numId w:val="0"/>
        </w:numPr>
        <w:spacing w:line="240" w:lineRule="auto"/>
        <w:rPr>
          <w:rFonts w:cs="Calibri"/>
          <w:b/>
          <w:bCs/>
          <w:color w:val="auto"/>
          <w:sz w:val="16"/>
          <w:szCs w:val="16"/>
        </w:rPr>
      </w:pPr>
    </w:p>
    <w:p w14:paraId="7883856E" w14:textId="77777777" w:rsidR="00636C21" w:rsidRPr="00DD7BD1" w:rsidRDefault="00636C21" w:rsidP="00636C21">
      <w:pPr>
        <w:pStyle w:val="Bullet"/>
        <w:numPr>
          <w:ilvl w:val="0"/>
          <w:numId w:val="0"/>
        </w:numPr>
        <w:spacing w:line="240" w:lineRule="auto"/>
        <w:rPr>
          <w:rFonts w:cs="Calibri"/>
          <w:b/>
          <w:bCs/>
          <w:color w:val="auto"/>
          <w:szCs w:val="22"/>
        </w:rPr>
      </w:pPr>
      <w:r w:rsidRPr="00DD7BD1">
        <w:rPr>
          <w:rFonts w:cs="Calibri"/>
          <w:b/>
          <w:bCs/>
          <w:color w:val="auto"/>
          <w:szCs w:val="22"/>
        </w:rPr>
        <w:t>Exceptions</w:t>
      </w:r>
    </w:p>
    <w:p w14:paraId="68A2CFB5" w14:textId="77777777" w:rsidR="00636C21" w:rsidRPr="00DD7BD1" w:rsidRDefault="00636C21" w:rsidP="00636C21">
      <w:pPr>
        <w:pStyle w:val="Bullet2"/>
        <w:spacing w:after="0" w:line="240" w:lineRule="auto"/>
        <w:ind w:left="0" w:firstLine="0"/>
        <w:rPr>
          <w:rFonts w:cs="Calibri"/>
          <w:color w:val="auto"/>
          <w:szCs w:val="22"/>
        </w:rPr>
      </w:pPr>
      <w:r w:rsidRPr="00DD7BD1">
        <w:rPr>
          <w:rFonts w:cs="Calibri"/>
          <w:color w:val="auto"/>
          <w:szCs w:val="22"/>
        </w:rPr>
        <w:t>The new law does not apply to contracts:</w:t>
      </w:r>
    </w:p>
    <w:p w14:paraId="4907519B" w14:textId="77777777" w:rsidR="00636C21" w:rsidRPr="00DD7BD1" w:rsidRDefault="00636C21" w:rsidP="00636C21">
      <w:pPr>
        <w:pStyle w:val="Bullet"/>
        <w:spacing w:line="240" w:lineRule="auto"/>
        <w:ind w:left="576" w:hanging="288"/>
        <w:rPr>
          <w:rFonts w:cs="Calibri"/>
          <w:color w:val="auto"/>
          <w:szCs w:val="22"/>
        </w:rPr>
      </w:pPr>
      <w:proofErr w:type="gramStart"/>
      <w:r w:rsidRPr="00DD7BD1">
        <w:rPr>
          <w:rFonts w:cs="Calibri"/>
          <w:color w:val="auto"/>
          <w:szCs w:val="22"/>
        </w:rPr>
        <w:t>Entered into</w:t>
      </w:r>
      <w:proofErr w:type="gramEnd"/>
      <w:r w:rsidRPr="00DD7BD1">
        <w:rPr>
          <w:rFonts w:cs="Calibri"/>
          <w:color w:val="auto"/>
          <w:szCs w:val="22"/>
        </w:rPr>
        <w:t xml:space="preserve"> under a loan repayment assistance or forgiveness program; </w:t>
      </w:r>
    </w:p>
    <w:p w14:paraId="38D2950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repayment of the cost of tuition for a transferable credential if:</w:t>
      </w:r>
    </w:p>
    <w:p w14:paraId="01AB1E3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It is offered separately from any employment contract; </w:t>
      </w:r>
    </w:p>
    <w:p w14:paraId="1CB29EB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obtaining of the credential is not a condition of employment;</w:t>
      </w:r>
    </w:p>
    <w:p w14:paraId="0B807715"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specifies the repayment amount before the worker agrees to the contract, and such amount does not exceed the cost of the credential;</w:t>
      </w:r>
    </w:p>
    <w:p w14:paraId="5A65108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requires repayment only if the worker resigns voluntarily or is terminated for misconduct;</w:t>
      </w:r>
    </w:p>
    <w:p w14:paraId="48FA6A5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enrollment in approved apprenticeship programs;</w:t>
      </w:r>
    </w:p>
    <w:p w14:paraId="49CDAE78"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For discretionary or unearned monetary payments (including financial bonuses) at the outset of employment that are not tied to job performance, if:</w:t>
      </w:r>
    </w:p>
    <w:p w14:paraId="72AB13E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terms are set forth in a separate agreement;</w:t>
      </w:r>
    </w:p>
    <w:p w14:paraId="2827446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employee is notified of the right to consult an attorney and given at least five business days to do so;</w:t>
      </w:r>
    </w:p>
    <w:p w14:paraId="057737C0"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lastRenderedPageBreak/>
        <w:t xml:space="preserve">Any repayment obligation for early separation is not subject to interest accrual and is prorated for the remainder of the retention period, up to two years from the receipt of payment; </w:t>
      </w:r>
    </w:p>
    <w:p w14:paraId="49A2738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worker may defer payment to the end of the retention period without any repayment obligation; and</w:t>
      </w:r>
    </w:p>
    <w:p w14:paraId="7837C7E7"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is only required if the employee voluntarily resigns or is terminated for misconduct; or</w:t>
      </w:r>
    </w:p>
    <w:p w14:paraId="1745FEE9" w14:textId="1C330CF8"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Related to leasing, financing or purchasing residential property. </w:t>
      </w:r>
    </w:p>
    <w:p w14:paraId="03EFCC8C" w14:textId="69D760FD" w:rsidR="00636C21" w:rsidRPr="00DD7BD1" w:rsidRDefault="00636C21" w:rsidP="00636C21">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DD7BD1" w:rsidRDefault="00636C21" w:rsidP="00636C21">
      <w:pPr>
        <w:jc w:val="center"/>
        <w:rPr>
          <w:rFonts w:ascii="Calibri" w:hAnsi="Calibri" w:cs="Calibri"/>
        </w:rPr>
      </w:pPr>
      <w:bookmarkStart w:id="66" w:name="_Hlk213073084"/>
      <w:r w:rsidRPr="00DD7BD1">
        <w:rPr>
          <w:rFonts w:ascii="Calibri" w:hAnsi="Calibri" w:cs="Calibri"/>
          <w:b/>
          <w:bCs/>
          <w:sz w:val="28"/>
          <w:szCs w:val="28"/>
          <w:shd w:val="clear" w:color="auto" w:fill="FFFFFF"/>
          <w:lang w:val="en"/>
        </w:rPr>
        <w:t xml:space="preserve">Immigration Rights Notice &amp; Named Emergency Designee – </w:t>
      </w:r>
      <w:r w:rsidRPr="00DD7BD1">
        <w:rPr>
          <w:rFonts w:ascii="Calibri" w:hAnsi="Calibri" w:cs="Calibri"/>
          <w:b/>
          <w:bCs/>
          <w:color w:val="C00000"/>
          <w:sz w:val="28"/>
          <w:szCs w:val="28"/>
          <w:shd w:val="clear" w:color="auto" w:fill="FFFFFF"/>
          <w:lang w:val="en"/>
        </w:rPr>
        <w:t>Feb 1 &amp; Mar 30, 2026</w:t>
      </w:r>
      <w:bookmarkEnd w:id="66"/>
    </w:p>
    <w:p w14:paraId="499767BA" w14:textId="77777777" w:rsidR="00636C21" w:rsidRPr="00DD7BD1" w:rsidRDefault="00636C21" w:rsidP="00636C21">
      <w:pPr>
        <w:rPr>
          <w:rFonts w:ascii="Calibri" w:hAnsi="Calibri" w:cs="Calibri"/>
        </w:rPr>
      </w:pPr>
      <w:r w:rsidRPr="00DD7BD1">
        <w:rPr>
          <w:rFonts w:ascii="Calibri" w:hAnsi="Calibri" w:cs="Calibri"/>
        </w:rPr>
        <w:t xml:space="preserve">On Oct. 12, 2025, California </w:t>
      </w:r>
      <w:bookmarkStart w:id="67" w:name="_Hlk212796906"/>
      <w:r w:rsidRPr="00DD7BD1">
        <w:rPr>
          <w:rFonts w:ascii="Calibri" w:hAnsi="Calibri" w:cs="Calibri"/>
        </w:rPr>
        <w:fldChar w:fldCharType="begin"/>
      </w:r>
      <w:r w:rsidRPr="00DD7BD1">
        <w:rPr>
          <w:rFonts w:ascii="Calibri" w:hAnsi="Calibri" w:cs="Calibri"/>
        </w:rPr>
        <w:instrText>HYPERLINK "https://leginfo.legislature.ca.gov/faces/billNavClient.xhtml?bill_id=202520260SB294"</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rPr>
        <w:t>enacted</w:t>
      </w:r>
      <w:r w:rsidRPr="00DD7BD1">
        <w:rPr>
          <w:rFonts w:ascii="Calibri" w:hAnsi="Calibri" w:cs="Calibri"/>
        </w:rPr>
        <w:fldChar w:fldCharType="end"/>
      </w:r>
      <w:r w:rsidRPr="00DD7BD1">
        <w:rPr>
          <w:rFonts w:ascii="Calibri" w:hAnsi="Calibri" w:cs="Calibri"/>
        </w:rPr>
        <w:t xml:space="preserve"> </w:t>
      </w:r>
      <w:bookmarkEnd w:id="67"/>
      <w:r w:rsidRPr="00DD7BD1">
        <w:rPr>
          <w:rFonts w:ascii="Calibri" w:hAnsi="Calibri" w:cs="Calibri"/>
        </w:rPr>
        <w:t xml:space="preserve">the Workplace Know Your Rights Act (Act), which requires employers to provide each current employee with an </w:t>
      </w:r>
      <w:r w:rsidRPr="00DD7BD1">
        <w:rPr>
          <w:rFonts w:ascii="Calibri" w:hAnsi="Calibri" w:cs="Calibri"/>
          <w:b/>
          <w:bCs/>
        </w:rPr>
        <w:t>annual stand-alone written notice</w:t>
      </w:r>
      <w:r w:rsidRPr="00DD7BD1">
        <w:rPr>
          <w:rFonts w:ascii="Calibri" w:hAnsi="Calibri" w:cs="Calibri"/>
        </w:rPr>
        <w:t xml:space="preserve"> of specified workers’ protections against unfair immigration-related practices and their constitutional rights when interacting with law enforcement in the workplace. </w:t>
      </w:r>
    </w:p>
    <w:p w14:paraId="5073229C"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Labor Commission will prepare a template notice by Jan. 1, 2026. </w:t>
      </w:r>
    </w:p>
    <w:p w14:paraId="6C03A4EB"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first notice must be provided to employees on or before </w:t>
      </w:r>
      <w:r w:rsidRPr="00DD7BD1">
        <w:rPr>
          <w:rFonts w:ascii="Calibri" w:hAnsi="Calibri" w:cs="Calibri"/>
          <w:b/>
          <w:bCs/>
        </w:rPr>
        <w:t>Feb. 1, 2026</w:t>
      </w:r>
      <w:r w:rsidRPr="00DD7BD1">
        <w:rPr>
          <w:rFonts w:ascii="Calibri" w:hAnsi="Calibri" w:cs="Calibri"/>
        </w:rPr>
        <w:t xml:space="preserve">.  </w:t>
      </w:r>
    </w:p>
    <w:p w14:paraId="7C4274DB" w14:textId="6EF28B50"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ETC will provide the Notice once it is published.</w:t>
      </w:r>
    </w:p>
    <w:p w14:paraId="1C89F670"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Designated Emergency Contact</w:t>
      </w:r>
    </w:p>
    <w:p w14:paraId="73BFEA58" w14:textId="77777777" w:rsidR="00636C21" w:rsidRPr="00DD7BD1" w:rsidRDefault="00636C21" w:rsidP="00636C21">
      <w:pPr>
        <w:rPr>
          <w:rFonts w:ascii="Calibri" w:hAnsi="Calibri" w:cs="Calibri"/>
        </w:rPr>
      </w:pPr>
      <w:r w:rsidRPr="00DD7BD1">
        <w:rPr>
          <w:rFonts w:ascii="Calibri" w:hAnsi="Calibri" w:cs="Calibri"/>
        </w:rPr>
        <w:t xml:space="preserve">If requested by an employee, employers must notify the </w:t>
      </w:r>
      <w:r w:rsidRPr="00DD7BD1">
        <w:rPr>
          <w:rFonts w:ascii="Calibri" w:hAnsi="Calibri" w:cs="Calibri"/>
          <w:b/>
          <w:bCs/>
        </w:rPr>
        <w:t>employee’s designated emergency contact in the event the employee is arrested or detained at work</w:t>
      </w:r>
      <w:r w:rsidRPr="00DD7BD1">
        <w:rPr>
          <w:rFonts w:ascii="Calibri" w:hAnsi="Calibri" w:cs="Calibri"/>
        </w:rPr>
        <w:t xml:space="preserve">. </w:t>
      </w:r>
    </w:p>
    <w:p w14:paraId="248E32FF" w14:textId="77777777" w:rsidR="00636C21" w:rsidRPr="00DD7BD1" w:rsidRDefault="00636C21" w:rsidP="00636C21">
      <w:pPr>
        <w:rPr>
          <w:rFonts w:ascii="Calibri" w:hAnsi="Calibri" w:cs="Calibri"/>
        </w:rPr>
      </w:pPr>
      <w:r w:rsidRPr="00DD7BD1">
        <w:rPr>
          <w:rFonts w:ascii="Calibri" w:hAnsi="Calibri" w:cs="Calibri"/>
        </w:rPr>
        <w:t xml:space="preserve">Employers must give employees the opportunity to designate an emergency contact no later than </w:t>
      </w:r>
      <w:r w:rsidRPr="00DD7BD1">
        <w:rPr>
          <w:rFonts w:ascii="Calibri" w:hAnsi="Calibri" w:cs="Calibri"/>
          <w:b/>
          <w:bCs/>
        </w:rPr>
        <w:t>March 30, 2026</w:t>
      </w:r>
      <w:r w:rsidRPr="00DD7BD1">
        <w:rPr>
          <w:rFonts w:ascii="Calibri" w:hAnsi="Calibri" w:cs="Calibri"/>
        </w:rPr>
        <w:t xml:space="preserve"> (or at the time of hire for employees hired after that date). </w:t>
      </w:r>
    </w:p>
    <w:p w14:paraId="0C64B9F6" w14:textId="4DBB42FB" w:rsidR="00636C21" w:rsidRPr="00DD7BD1" w:rsidRDefault="00636C21" w:rsidP="00636C21">
      <w:pPr>
        <w:rPr>
          <w:rFonts w:ascii="Calibri" w:hAnsi="Calibri" w:cs="Calibri"/>
        </w:rPr>
      </w:pPr>
      <w:r w:rsidRPr="00DD7BD1">
        <w:rPr>
          <w:rFonts w:ascii="Calibri" w:hAnsi="Calibri" w:cs="Calibri"/>
        </w:rPr>
        <w:t>In designating an emergency contact, employees must be allowed to indicate whether the emergency contact should be notified if the employee is arrested or detained on their worksite, or during the performance of the employee’s job duties away from the worksite.</w:t>
      </w:r>
    </w:p>
    <w:p w14:paraId="0F3EDCA0" w14:textId="4A3137B0" w:rsidR="00636C21" w:rsidRPr="00DD7BD1" w:rsidRDefault="00636C21" w:rsidP="00636C21">
      <w:pPr>
        <w:jc w:val="center"/>
        <w:rPr>
          <w:rFonts w:ascii="Calibri" w:hAnsi="Calibri" w:cs="Calibri"/>
        </w:rPr>
      </w:pPr>
      <w:bookmarkStart w:id="68" w:name="_Hlk213073102"/>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bookmarkEnd w:id="68"/>
    </w:p>
    <w:p w14:paraId="6DF41A3A" w14:textId="4D479210"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92"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89F1689" w14:textId="77777777" w:rsidR="00636C21" w:rsidRPr="00DD7BD1" w:rsidRDefault="00636C21" w:rsidP="00636C21">
      <w:pPr>
        <w:rPr>
          <w:rFonts w:ascii="Calibri" w:hAnsi="Calibri" w:cs="Calibri"/>
          <w:b/>
          <w:bCs/>
          <w:shd w:val="clear" w:color="auto" w:fill="FFFFFF"/>
        </w:rPr>
      </w:pPr>
      <w:r w:rsidRPr="00DD7BD1">
        <w:rPr>
          <w:rFonts w:ascii="Calibri" w:hAnsi="Calibri" w:cs="Calibri"/>
          <w:b/>
          <w:bCs/>
          <w:shd w:val="clear" w:color="auto" w:fill="FFFFFF"/>
        </w:rPr>
        <w:t>Overview</w:t>
      </w:r>
    </w:p>
    <w:p w14:paraId="4C4C7B4B" w14:textId="679B5638"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28E36E16" w14:textId="77777777"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380302BB"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 description of CalFresh, the statewide food assistance program, the CalFresh benefits helpline and a link to the CalFresh internet website; and</w:t>
      </w:r>
    </w:p>
    <w:p w14:paraId="4BB6E5FA" w14:textId="19564C0C"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4C3F5C4E" w14:textId="331F24BF"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5C4E7A4" w14:textId="7568A528" w:rsidR="00636C21" w:rsidRPr="00DD7BD1" w:rsidRDefault="00636C21" w:rsidP="00636C21">
      <w:pPr>
        <w:jc w:val="center"/>
        <w:rPr>
          <w:rFonts w:ascii="Calibri" w:hAnsi="Calibri" w:cs="Calibri"/>
        </w:rPr>
      </w:pPr>
      <w:bookmarkStart w:id="69" w:name="_Hlk213073123"/>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bookmarkEnd w:id="69"/>
    </w:p>
    <w:p w14:paraId="726FD06A" w14:textId="720BBF7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93"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DD7BD1" w:rsidRDefault="00636C21" w:rsidP="00636C21">
      <w:pPr>
        <w:rPr>
          <w:rFonts w:ascii="Calibri" w:hAnsi="Calibri" w:cs="Calibri"/>
          <w:b/>
          <w:bCs/>
          <w:shd w:val="clear" w:color="auto" w:fill="FFFFFF"/>
          <w:lang w:val="en"/>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DD7BD1" w:rsidRDefault="00A85628" w:rsidP="00A85628">
      <w:pPr>
        <w:spacing w:before="11"/>
        <w:ind w:left="1257"/>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Adopts New Employment AI Regulations – </w:t>
      </w:r>
      <w:r w:rsidRPr="00DD7BD1">
        <w:rPr>
          <w:rFonts w:ascii="Calibri" w:hAnsi="Calibri" w:cs="Calibri"/>
          <w:b/>
          <w:bCs/>
          <w:color w:val="C00000"/>
          <w:sz w:val="28"/>
          <w:szCs w:val="28"/>
          <w:shd w:val="clear" w:color="auto" w:fill="FFFFFF"/>
          <w:lang w:val="en"/>
        </w:rPr>
        <w:t>Eff Oct 1, 2025</w:t>
      </w:r>
    </w:p>
    <w:p w14:paraId="62D1CE82" w14:textId="77777777" w:rsidR="00A85628" w:rsidRPr="00DD7BD1" w:rsidRDefault="00A85628" w:rsidP="00A85628">
      <w:pPr>
        <w:pStyle w:val="BodyText"/>
        <w:spacing w:after="0" w:line="240" w:lineRule="auto"/>
        <w:rPr>
          <w:rFonts w:cs="Calibri"/>
          <w:b/>
          <w:bCs/>
          <w:color w:val="auto"/>
          <w:szCs w:val="22"/>
        </w:rPr>
      </w:pPr>
      <w:r w:rsidRPr="00DD7BD1">
        <w:rPr>
          <w:rFonts w:cs="Calibri"/>
          <w:b/>
          <w:bCs/>
          <w:color w:val="auto"/>
          <w:szCs w:val="22"/>
          <w:highlight w:val="lightGray"/>
        </w:rPr>
        <w:t>Employer Takeaways:</w:t>
      </w:r>
    </w:p>
    <w:p w14:paraId="25EC48BD" w14:textId="77777777" w:rsidR="00A85628" w:rsidRPr="00DD7BD1" w:rsidRDefault="00A85628" w:rsidP="00A85628">
      <w:pPr>
        <w:pStyle w:val="BodyText"/>
        <w:spacing w:before="10" w:line="247" w:lineRule="auto"/>
        <w:ind w:right="-90"/>
        <w:jc w:val="left"/>
        <w:rPr>
          <w:rFonts w:cs="Calibri"/>
          <w:color w:val="auto"/>
          <w:szCs w:val="22"/>
        </w:rPr>
      </w:pPr>
      <w:r w:rsidRPr="00DD7BD1">
        <w:rPr>
          <w:rFonts w:cs="Calibri"/>
          <w:color w:val="auto"/>
          <w:w w:val="110"/>
          <w:szCs w:val="22"/>
        </w:rPr>
        <w:t>Employers that</w:t>
      </w:r>
      <w:r w:rsidRPr="00DD7BD1">
        <w:rPr>
          <w:rFonts w:cs="Calibri"/>
          <w:color w:val="auto"/>
          <w:spacing w:val="-4"/>
          <w:w w:val="110"/>
          <w:szCs w:val="22"/>
        </w:rPr>
        <w:t xml:space="preserve"> </w:t>
      </w:r>
      <w:r w:rsidRPr="00DD7BD1">
        <w:rPr>
          <w:rFonts w:cs="Calibri"/>
          <w:color w:val="auto"/>
          <w:w w:val="110"/>
          <w:szCs w:val="22"/>
        </w:rPr>
        <w:t>use automated</w:t>
      </w:r>
      <w:r w:rsidRPr="00DD7BD1">
        <w:rPr>
          <w:rFonts w:cs="Calibri"/>
          <w:color w:val="auto"/>
          <w:spacing w:val="-4"/>
          <w:w w:val="110"/>
          <w:szCs w:val="22"/>
        </w:rPr>
        <w:t xml:space="preserve"> </w:t>
      </w:r>
      <w:r w:rsidRPr="00DD7BD1">
        <w:rPr>
          <w:rFonts w:cs="Calibri"/>
          <w:color w:val="auto"/>
          <w:w w:val="110"/>
          <w:szCs w:val="22"/>
        </w:rPr>
        <w:t>decision</w:t>
      </w:r>
      <w:r w:rsidRPr="00DD7BD1">
        <w:rPr>
          <w:rFonts w:cs="Calibri"/>
          <w:color w:val="auto"/>
          <w:spacing w:val="-3"/>
          <w:w w:val="110"/>
          <w:szCs w:val="22"/>
        </w:rPr>
        <w:t xml:space="preserve"> </w:t>
      </w:r>
      <w:r w:rsidRPr="00DD7BD1">
        <w:rPr>
          <w:rFonts w:cs="Calibri"/>
          <w:color w:val="auto"/>
          <w:w w:val="110"/>
          <w:szCs w:val="22"/>
        </w:rPr>
        <w:t>systems (ADS)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3"/>
          <w:w w:val="110"/>
          <w:szCs w:val="22"/>
        </w:rPr>
        <w:t xml:space="preserve"> </w:t>
      </w:r>
      <w:r w:rsidRPr="00DD7BD1">
        <w:rPr>
          <w:rFonts w:cs="Calibri"/>
          <w:color w:val="auto"/>
          <w:w w:val="110"/>
          <w:szCs w:val="22"/>
        </w:rPr>
        <w:t>making employment</w:t>
      </w:r>
      <w:r w:rsidRPr="00DD7BD1">
        <w:rPr>
          <w:rFonts w:cs="Calibri"/>
          <w:color w:val="auto"/>
          <w:spacing w:val="-5"/>
          <w:w w:val="110"/>
          <w:szCs w:val="22"/>
        </w:rPr>
        <w:t xml:space="preserve"> </w:t>
      </w:r>
      <w:r w:rsidRPr="00DD7BD1">
        <w:rPr>
          <w:rFonts w:cs="Calibri"/>
          <w:color w:val="auto"/>
          <w:w w:val="110"/>
          <w:szCs w:val="22"/>
        </w:rPr>
        <w:t>decisions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3"/>
          <w:w w:val="110"/>
          <w:szCs w:val="22"/>
        </w:rPr>
        <w:t xml:space="preserve"> </w:t>
      </w:r>
      <w:r w:rsidRPr="00DD7BD1">
        <w:rPr>
          <w:rFonts w:cs="Calibri"/>
          <w:color w:val="auto"/>
          <w:w w:val="110"/>
          <w:szCs w:val="22"/>
        </w:rPr>
        <w:t>vendors whose products</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used</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arena</w:t>
      </w:r>
      <w:r w:rsidRPr="00DD7BD1">
        <w:rPr>
          <w:rFonts w:cs="Calibri"/>
          <w:color w:val="auto"/>
          <w:spacing w:val="-17"/>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take</w:t>
      </w:r>
      <w:r w:rsidRPr="00DD7BD1">
        <w:rPr>
          <w:rFonts w:cs="Calibri"/>
          <w:color w:val="auto"/>
          <w:spacing w:val="-14"/>
          <w:w w:val="110"/>
          <w:szCs w:val="22"/>
        </w:rPr>
        <w:t xml:space="preserve"> </w:t>
      </w:r>
      <w:r w:rsidRPr="00DD7BD1">
        <w:rPr>
          <w:rFonts w:cs="Calibri"/>
          <w:color w:val="auto"/>
          <w:w w:val="110"/>
          <w:szCs w:val="22"/>
        </w:rPr>
        <w:t>concrete</w:t>
      </w:r>
      <w:r w:rsidRPr="00DD7BD1">
        <w:rPr>
          <w:rFonts w:cs="Calibri"/>
          <w:color w:val="auto"/>
          <w:spacing w:val="-16"/>
          <w:w w:val="110"/>
          <w:szCs w:val="22"/>
        </w:rPr>
        <w:t xml:space="preserve"> </w:t>
      </w:r>
      <w:r w:rsidRPr="00DD7BD1">
        <w:rPr>
          <w:rFonts w:cs="Calibri"/>
          <w:color w:val="auto"/>
          <w:w w:val="110"/>
          <w:szCs w:val="22"/>
        </w:rPr>
        <w:t>steps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prepare</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implementation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the new Regulations on October 1, including:</w:t>
      </w:r>
    </w:p>
    <w:p w14:paraId="74AF49A2" w14:textId="77777777" w:rsidR="00A85628" w:rsidRPr="00DD7BD1"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Calibri" w:hAnsi="Calibri" w:cs="Calibri"/>
        </w:rPr>
      </w:pPr>
      <w:r w:rsidRPr="00DD7BD1">
        <w:rPr>
          <w:rFonts w:ascii="Calibri" w:hAnsi="Calibri" w:cs="Calibri"/>
          <w:w w:val="110"/>
        </w:rPr>
        <w:t>Identify</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ADS</w:t>
      </w:r>
      <w:r w:rsidRPr="00DD7BD1">
        <w:rPr>
          <w:rFonts w:ascii="Calibri" w:hAnsi="Calibri" w:cs="Calibri"/>
          <w:spacing w:val="-12"/>
          <w:w w:val="110"/>
        </w:rPr>
        <w:t xml:space="preserve"> </w:t>
      </w:r>
      <w:r w:rsidRPr="00DD7BD1">
        <w:rPr>
          <w:rFonts w:ascii="Calibri" w:hAnsi="Calibri" w:cs="Calibri"/>
          <w:w w:val="110"/>
        </w:rPr>
        <w:t>systems</w:t>
      </w:r>
      <w:r w:rsidRPr="00DD7BD1">
        <w:rPr>
          <w:rFonts w:ascii="Calibri" w:hAnsi="Calibri" w:cs="Calibri"/>
          <w:spacing w:val="-13"/>
          <w:w w:val="110"/>
        </w:rPr>
        <w:t xml:space="preserve"> </w:t>
      </w:r>
      <w:r w:rsidRPr="00DD7BD1">
        <w:rPr>
          <w:rFonts w:ascii="Calibri" w:hAnsi="Calibri" w:cs="Calibri"/>
          <w:w w:val="110"/>
        </w:rPr>
        <w:t>used</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0"/>
          <w:w w:val="110"/>
        </w:rPr>
        <w:t xml:space="preserve"> </w:t>
      </w:r>
      <w:r w:rsidRPr="00DD7BD1">
        <w:rPr>
          <w:rFonts w:ascii="Calibri" w:hAnsi="Calibri" w:cs="Calibri"/>
          <w:w w:val="110"/>
        </w:rPr>
        <w:t>decision-</w:t>
      </w:r>
      <w:r w:rsidRPr="00DD7BD1">
        <w:rPr>
          <w:rFonts w:ascii="Calibri" w:hAnsi="Calibri" w:cs="Calibri"/>
          <w:spacing w:val="-2"/>
          <w:w w:val="110"/>
        </w:rPr>
        <w:t>making;</w:t>
      </w:r>
    </w:p>
    <w:p w14:paraId="03A8B6EE" w14:textId="77777777" w:rsidR="00A85628" w:rsidRPr="00DD7BD1"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Calibri" w:hAnsi="Calibri" w:cs="Calibri"/>
        </w:rPr>
      </w:pPr>
      <w:r w:rsidRPr="00DD7BD1">
        <w:rPr>
          <w:rFonts w:ascii="Calibri" w:hAnsi="Calibri" w:cs="Calibri"/>
        </w:rPr>
        <w:t>Review</w:t>
      </w:r>
      <w:r w:rsidRPr="00DD7BD1">
        <w:rPr>
          <w:rFonts w:ascii="Calibri" w:hAnsi="Calibri" w:cs="Calibri"/>
          <w:spacing w:val="31"/>
        </w:rPr>
        <w:t xml:space="preserve"> </w:t>
      </w:r>
      <w:r w:rsidRPr="00DD7BD1">
        <w:rPr>
          <w:rFonts w:ascii="Calibri" w:hAnsi="Calibri" w:cs="Calibri"/>
        </w:rPr>
        <w:t>&amp;</w:t>
      </w:r>
      <w:r w:rsidRPr="00DD7BD1">
        <w:rPr>
          <w:rFonts w:ascii="Calibri" w:hAnsi="Calibri" w:cs="Calibri"/>
          <w:spacing w:val="28"/>
        </w:rPr>
        <w:t xml:space="preserve"> </w:t>
      </w:r>
      <w:r w:rsidRPr="00DD7BD1">
        <w:rPr>
          <w:rFonts w:ascii="Calibri" w:hAnsi="Calibri" w:cs="Calibri"/>
        </w:rPr>
        <w:t>amend</w:t>
      </w:r>
      <w:r w:rsidRPr="00DD7BD1">
        <w:rPr>
          <w:rFonts w:ascii="Calibri" w:hAnsi="Calibri" w:cs="Calibri"/>
          <w:spacing w:val="30"/>
        </w:rPr>
        <w:t xml:space="preserve"> </w:t>
      </w:r>
      <w:r w:rsidRPr="00DD7BD1">
        <w:rPr>
          <w:rFonts w:ascii="Calibri" w:hAnsi="Calibri" w:cs="Calibri"/>
        </w:rPr>
        <w:t>record</w:t>
      </w:r>
      <w:r w:rsidRPr="00DD7BD1">
        <w:rPr>
          <w:rFonts w:ascii="Calibri" w:hAnsi="Calibri" w:cs="Calibri"/>
          <w:spacing w:val="29"/>
        </w:rPr>
        <w:t xml:space="preserve"> </w:t>
      </w:r>
      <w:r w:rsidRPr="00DD7BD1">
        <w:rPr>
          <w:rFonts w:ascii="Calibri" w:hAnsi="Calibri" w:cs="Calibri"/>
        </w:rPr>
        <w:t>retention</w:t>
      </w:r>
      <w:r w:rsidRPr="00DD7BD1">
        <w:rPr>
          <w:rFonts w:ascii="Calibri" w:hAnsi="Calibri" w:cs="Calibri"/>
          <w:spacing w:val="27"/>
        </w:rPr>
        <w:t xml:space="preserve"> </w:t>
      </w:r>
      <w:r w:rsidRPr="00DD7BD1">
        <w:rPr>
          <w:rFonts w:ascii="Calibri" w:hAnsi="Calibri" w:cs="Calibri"/>
        </w:rPr>
        <w:t>policies</w:t>
      </w:r>
      <w:r w:rsidRPr="00DD7BD1">
        <w:rPr>
          <w:rFonts w:ascii="Calibri" w:hAnsi="Calibri" w:cs="Calibri"/>
          <w:spacing w:val="29"/>
        </w:rPr>
        <w:t xml:space="preserve"> </w:t>
      </w:r>
      <w:r w:rsidRPr="00DD7BD1">
        <w:rPr>
          <w:rFonts w:ascii="Calibri" w:hAnsi="Calibri" w:cs="Calibri"/>
        </w:rPr>
        <w:t>to</w:t>
      </w:r>
      <w:r w:rsidRPr="00DD7BD1">
        <w:rPr>
          <w:rFonts w:ascii="Calibri" w:hAnsi="Calibri" w:cs="Calibri"/>
          <w:spacing w:val="30"/>
        </w:rPr>
        <w:t xml:space="preserve"> </w:t>
      </w:r>
      <w:r w:rsidRPr="00DD7BD1">
        <w:rPr>
          <w:rFonts w:ascii="Calibri" w:hAnsi="Calibri" w:cs="Calibri"/>
        </w:rPr>
        <w:t>ensure</w:t>
      </w:r>
      <w:r w:rsidRPr="00DD7BD1">
        <w:rPr>
          <w:rFonts w:ascii="Calibri" w:hAnsi="Calibri" w:cs="Calibri"/>
          <w:spacing w:val="28"/>
        </w:rPr>
        <w:t xml:space="preserve"> </w:t>
      </w:r>
      <w:r w:rsidRPr="00DD7BD1">
        <w:rPr>
          <w:rFonts w:ascii="Calibri" w:hAnsi="Calibri" w:cs="Calibri"/>
        </w:rPr>
        <w:t>records</w:t>
      </w:r>
      <w:r w:rsidRPr="00DD7BD1">
        <w:rPr>
          <w:rFonts w:ascii="Calibri" w:hAnsi="Calibri" w:cs="Calibri"/>
          <w:spacing w:val="30"/>
        </w:rPr>
        <w:t xml:space="preserve"> </w:t>
      </w:r>
      <w:r w:rsidRPr="00DD7BD1">
        <w:rPr>
          <w:rFonts w:ascii="Calibri" w:hAnsi="Calibri" w:cs="Calibri"/>
        </w:rPr>
        <w:t>are</w:t>
      </w:r>
      <w:r w:rsidRPr="00DD7BD1">
        <w:rPr>
          <w:rFonts w:ascii="Calibri" w:hAnsi="Calibri" w:cs="Calibri"/>
          <w:spacing w:val="25"/>
        </w:rPr>
        <w:t xml:space="preserve"> </w:t>
      </w:r>
      <w:r w:rsidRPr="00DD7BD1">
        <w:rPr>
          <w:rFonts w:ascii="Calibri" w:hAnsi="Calibri" w:cs="Calibri"/>
        </w:rPr>
        <w:t>retained</w:t>
      </w:r>
      <w:r w:rsidRPr="00DD7BD1">
        <w:rPr>
          <w:rFonts w:ascii="Calibri" w:hAnsi="Calibri" w:cs="Calibri"/>
          <w:spacing w:val="29"/>
        </w:rPr>
        <w:t xml:space="preserve"> </w:t>
      </w:r>
      <w:r w:rsidRPr="00DD7BD1">
        <w:rPr>
          <w:rFonts w:ascii="Calibri" w:hAnsi="Calibri" w:cs="Calibri"/>
        </w:rPr>
        <w:t>for</w:t>
      </w:r>
      <w:r w:rsidRPr="00DD7BD1">
        <w:rPr>
          <w:rFonts w:ascii="Calibri" w:hAnsi="Calibri" w:cs="Calibri"/>
          <w:spacing w:val="28"/>
        </w:rPr>
        <w:t xml:space="preserve"> </w:t>
      </w:r>
      <w:r w:rsidRPr="00DD7BD1">
        <w:rPr>
          <w:rFonts w:ascii="Calibri" w:hAnsi="Calibri" w:cs="Calibri"/>
        </w:rPr>
        <w:t>at</w:t>
      </w:r>
      <w:r w:rsidRPr="00DD7BD1">
        <w:rPr>
          <w:rFonts w:ascii="Calibri" w:hAnsi="Calibri" w:cs="Calibri"/>
          <w:spacing w:val="28"/>
        </w:rPr>
        <w:t xml:space="preserve"> </w:t>
      </w:r>
      <w:r w:rsidRPr="00DD7BD1">
        <w:rPr>
          <w:rFonts w:ascii="Calibri" w:hAnsi="Calibri" w:cs="Calibri"/>
        </w:rPr>
        <w:t>least</w:t>
      </w:r>
      <w:r w:rsidRPr="00DD7BD1">
        <w:rPr>
          <w:rFonts w:ascii="Calibri" w:hAnsi="Calibri" w:cs="Calibri"/>
          <w:spacing w:val="33"/>
        </w:rPr>
        <w:t xml:space="preserve"> </w:t>
      </w:r>
      <w:r w:rsidRPr="00DD7BD1">
        <w:rPr>
          <w:rFonts w:ascii="Calibri" w:hAnsi="Calibri" w:cs="Calibri"/>
        </w:rPr>
        <w:t>4</w:t>
      </w:r>
      <w:r w:rsidRPr="00DD7BD1">
        <w:rPr>
          <w:rFonts w:ascii="Calibri" w:hAnsi="Calibri" w:cs="Calibri"/>
          <w:spacing w:val="27"/>
        </w:rPr>
        <w:t xml:space="preserve"> </w:t>
      </w:r>
      <w:r w:rsidRPr="00DD7BD1">
        <w:rPr>
          <w:rFonts w:ascii="Calibri" w:hAnsi="Calibri" w:cs="Calibri"/>
          <w:spacing w:val="-2"/>
        </w:rPr>
        <w:t>years;</w:t>
      </w:r>
    </w:p>
    <w:p w14:paraId="7A7E6B4D" w14:textId="77777777" w:rsidR="00A85628" w:rsidRPr="00DD7BD1"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Calibri" w:hAnsi="Calibri" w:cs="Calibri"/>
        </w:rPr>
      </w:pPr>
      <w:r w:rsidRPr="00DD7BD1">
        <w:rPr>
          <w:rFonts w:ascii="Calibri" w:hAnsi="Calibri" w:cs="Calibri"/>
          <w:w w:val="110"/>
        </w:rPr>
        <w:t>Ensure</w:t>
      </w:r>
      <w:r w:rsidRPr="00DD7BD1">
        <w:rPr>
          <w:rFonts w:ascii="Calibri" w:hAnsi="Calibri" w:cs="Calibri"/>
          <w:spacing w:val="-12"/>
          <w:w w:val="110"/>
        </w:rPr>
        <w:t xml:space="preserve"> </w:t>
      </w:r>
      <w:r w:rsidRPr="00DD7BD1">
        <w:rPr>
          <w:rFonts w:ascii="Calibri" w:hAnsi="Calibri" w:cs="Calibri"/>
          <w:w w:val="110"/>
        </w:rPr>
        <w:t>HR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12"/>
          <w:w w:val="110"/>
        </w:rPr>
        <w:t xml:space="preserve"> </w:t>
      </w:r>
      <w:r w:rsidRPr="00DD7BD1">
        <w:rPr>
          <w:rFonts w:ascii="Calibri" w:hAnsi="Calibri" w:cs="Calibri"/>
          <w:w w:val="110"/>
        </w:rPr>
        <w:t>managers</w:t>
      </w:r>
      <w:r w:rsidRPr="00DD7BD1">
        <w:rPr>
          <w:rFonts w:ascii="Calibri" w:hAnsi="Calibri" w:cs="Calibri"/>
          <w:spacing w:val="-10"/>
          <w:w w:val="110"/>
        </w:rPr>
        <w:t xml:space="preserve"> </w:t>
      </w:r>
      <w:r w:rsidRPr="00DD7BD1">
        <w:rPr>
          <w:rFonts w:ascii="Calibri" w:hAnsi="Calibri" w:cs="Calibri"/>
          <w:w w:val="110"/>
        </w:rPr>
        <w:t>are</w:t>
      </w:r>
      <w:r w:rsidRPr="00DD7BD1">
        <w:rPr>
          <w:rFonts w:ascii="Calibri" w:hAnsi="Calibri" w:cs="Calibri"/>
          <w:spacing w:val="-13"/>
          <w:w w:val="110"/>
        </w:rPr>
        <w:t xml:space="preserve"> </w:t>
      </w:r>
      <w:r w:rsidRPr="00DD7BD1">
        <w:rPr>
          <w:rFonts w:ascii="Calibri" w:hAnsi="Calibri" w:cs="Calibri"/>
          <w:w w:val="110"/>
        </w:rPr>
        <w:t>aware</w:t>
      </w:r>
      <w:r w:rsidRPr="00DD7BD1">
        <w:rPr>
          <w:rFonts w:ascii="Calibri" w:hAnsi="Calibri" w:cs="Calibri"/>
          <w:spacing w:val="-13"/>
          <w:w w:val="110"/>
        </w:rPr>
        <w:t xml:space="preserve"> </w:t>
      </w:r>
      <w:r w:rsidRPr="00DD7BD1">
        <w:rPr>
          <w:rFonts w:ascii="Calibri" w:hAnsi="Calibri" w:cs="Calibri"/>
          <w:w w:val="110"/>
        </w:rPr>
        <w:t>that</w:t>
      </w:r>
      <w:r w:rsidRPr="00DD7BD1">
        <w:rPr>
          <w:rFonts w:ascii="Calibri" w:hAnsi="Calibri" w:cs="Calibri"/>
          <w:spacing w:val="-14"/>
          <w:w w:val="110"/>
        </w:rPr>
        <w:t xml:space="preserve"> </w:t>
      </w:r>
      <w:r w:rsidRPr="00DD7BD1">
        <w:rPr>
          <w:rFonts w:ascii="Calibri" w:hAnsi="Calibri" w:cs="Calibri"/>
          <w:w w:val="110"/>
        </w:rPr>
        <w:t>accommodations</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4"/>
          <w:w w:val="110"/>
        </w:rPr>
        <w:t xml:space="preserve"> </w:t>
      </w:r>
      <w:r w:rsidRPr="00DD7BD1">
        <w:rPr>
          <w:rFonts w:ascii="Calibri" w:hAnsi="Calibri" w:cs="Calibri"/>
          <w:w w:val="110"/>
        </w:rPr>
        <w:t>disability</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religion</w:t>
      </w:r>
      <w:r w:rsidRPr="00DD7BD1">
        <w:rPr>
          <w:rFonts w:ascii="Calibri" w:hAnsi="Calibri" w:cs="Calibri"/>
          <w:spacing w:val="-12"/>
          <w:w w:val="110"/>
        </w:rPr>
        <w:t xml:space="preserve"> </w:t>
      </w:r>
      <w:r w:rsidRPr="00DD7BD1">
        <w:rPr>
          <w:rFonts w:ascii="Calibri" w:hAnsi="Calibri" w:cs="Calibri"/>
          <w:w w:val="110"/>
        </w:rPr>
        <w:t>might</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required</w:t>
      </w:r>
      <w:r w:rsidRPr="00DD7BD1">
        <w:rPr>
          <w:rFonts w:ascii="Calibri" w:hAnsi="Calibri" w:cs="Calibri"/>
          <w:spacing w:val="-10"/>
          <w:w w:val="110"/>
        </w:rPr>
        <w:t xml:space="preserve"> </w:t>
      </w:r>
      <w:r w:rsidRPr="00DD7BD1">
        <w:rPr>
          <w:rFonts w:ascii="Calibri" w:hAnsi="Calibri" w:cs="Calibri"/>
          <w:w w:val="110"/>
        </w:rPr>
        <w:t xml:space="preserve">when using an ADS in employment decisions/ Update anti-discrimination and reasonable accommodation </w:t>
      </w:r>
      <w:r w:rsidRPr="00DD7BD1">
        <w:rPr>
          <w:rFonts w:ascii="Calibri" w:hAnsi="Calibri" w:cs="Calibri"/>
          <w:w w:val="115"/>
        </w:rPr>
        <w:t>policies</w:t>
      </w:r>
      <w:r w:rsidRPr="00DD7BD1">
        <w:rPr>
          <w:rFonts w:ascii="Calibri" w:hAnsi="Calibri" w:cs="Calibri"/>
          <w:spacing w:val="-7"/>
          <w:w w:val="115"/>
        </w:rPr>
        <w:t xml:space="preserve"> </w:t>
      </w:r>
      <w:r w:rsidRPr="00DD7BD1">
        <w:rPr>
          <w:rFonts w:ascii="Calibri" w:hAnsi="Calibri" w:cs="Calibri"/>
          <w:w w:val="115"/>
        </w:rPr>
        <w:t>to</w:t>
      </w:r>
      <w:r w:rsidRPr="00DD7BD1">
        <w:rPr>
          <w:rFonts w:ascii="Calibri" w:hAnsi="Calibri" w:cs="Calibri"/>
          <w:spacing w:val="-8"/>
          <w:w w:val="115"/>
        </w:rPr>
        <w:t xml:space="preserve"> </w:t>
      </w:r>
      <w:r w:rsidRPr="00DD7BD1">
        <w:rPr>
          <w:rFonts w:ascii="Calibri" w:hAnsi="Calibri" w:cs="Calibri"/>
          <w:w w:val="115"/>
        </w:rPr>
        <w:t>address</w:t>
      </w:r>
      <w:r w:rsidRPr="00DD7BD1">
        <w:rPr>
          <w:rFonts w:ascii="Calibri" w:hAnsi="Calibri" w:cs="Calibri"/>
          <w:spacing w:val="-6"/>
          <w:w w:val="115"/>
        </w:rPr>
        <w:t xml:space="preserve"> </w:t>
      </w:r>
      <w:r w:rsidRPr="00DD7BD1">
        <w:rPr>
          <w:rFonts w:ascii="Calibri" w:hAnsi="Calibri" w:cs="Calibri"/>
          <w:w w:val="115"/>
        </w:rPr>
        <w:t>the</w:t>
      </w:r>
      <w:r w:rsidRPr="00DD7BD1">
        <w:rPr>
          <w:rFonts w:ascii="Calibri" w:hAnsi="Calibri" w:cs="Calibri"/>
          <w:spacing w:val="-9"/>
          <w:w w:val="115"/>
        </w:rPr>
        <w:t xml:space="preserve"> </w:t>
      </w:r>
      <w:r w:rsidRPr="00DD7BD1">
        <w:rPr>
          <w:rFonts w:ascii="Calibri" w:hAnsi="Calibri" w:cs="Calibri"/>
          <w:w w:val="115"/>
        </w:rPr>
        <w:t>use</w:t>
      </w:r>
      <w:r w:rsidRPr="00DD7BD1">
        <w:rPr>
          <w:rFonts w:ascii="Calibri" w:hAnsi="Calibri" w:cs="Calibri"/>
          <w:spacing w:val="-8"/>
          <w:w w:val="115"/>
        </w:rPr>
        <w:t xml:space="preserve"> </w:t>
      </w:r>
      <w:r w:rsidRPr="00DD7BD1">
        <w:rPr>
          <w:rFonts w:ascii="Calibri" w:hAnsi="Calibri" w:cs="Calibri"/>
          <w:w w:val="115"/>
        </w:rPr>
        <w:t>of</w:t>
      </w:r>
      <w:r w:rsidRPr="00DD7BD1">
        <w:rPr>
          <w:rFonts w:ascii="Calibri" w:hAnsi="Calibri" w:cs="Calibri"/>
          <w:spacing w:val="-9"/>
          <w:w w:val="115"/>
        </w:rPr>
        <w:t xml:space="preserve"> </w:t>
      </w:r>
      <w:r w:rsidRPr="00DD7BD1">
        <w:rPr>
          <w:rFonts w:ascii="Calibri" w:hAnsi="Calibri" w:cs="Calibri"/>
          <w:w w:val="115"/>
        </w:rPr>
        <w:t>ADS</w:t>
      </w:r>
      <w:r w:rsidRPr="00DD7BD1">
        <w:rPr>
          <w:rFonts w:ascii="Calibri" w:hAnsi="Calibri" w:cs="Calibri"/>
          <w:spacing w:val="-8"/>
          <w:w w:val="115"/>
        </w:rPr>
        <w:t xml:space="preserve"> </w:t>
      </w:r>
      <w:r w:rsidRPr="00DD7BD1">
        <w:rPr>
          <w:rFonts w:ascii="Calibri" w:hAnsi="Calibri" w:cs="Calibri"/>
          <w:w w:val="115"/>
        </w:rPr>
        <w:t>systems;</w:t>
      </w:r>
    </w:p>
    <w:p w14:paraId="5EE75491" w14:textId="77777777" w:rsidR="00A85628" w:rsidRPr="00DD7BD1"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Calibri" w:hAnsi="Calibri" w:cs="Calibri"/>
        </w:rPr>
      </w:pPr>
      <w:r w:rsidRPr="00DD7BD1">
        <w:rPr>
          <w:rFonts w:ascii="Calibri" w:hAnsi="Calibri" w:cs="Calibri"/>
          <w:spacing w:val="-2"/>
          <w:w w:val="115"/>
        </w:rPr>
        <w:t>Perform anti-bias</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10"/>
          <w:w w:val="115"/>
        </w:rPr>
        <w:t xml:space="preserve"> </w:t>
      </w:r>
      <w:r w:rsidRPr="00DD7BD1">
        <w:rPr>
          <w:rFonts w:ascii="Calibri" w:hAnsi="Calibri" w:cs="Calibri"/>
          <w:spacing w:val="-2"/>
          <w:w w:val="115"/>
        </w:rPr>
        <w:t>establishing</w:t>
      </w:r>
      <w:r w:rsidRPr="00DD7BD1">
        <w:rPr>
          <w:rFonts w:ascii="Calibri" w:hAnsi="Calibri" w:cs="Calibri"/>
          <w:spacing w:val="-8"/>
          <w:w w:val="115"/>
        </w:rPr>
        <w:t xml:space="preserve"> </w:t>
      </w:r>
      <w:r w:rsidRPr="00DD7BD1">
        <w:rPr>
          <w:rFonts w:ascii="Calibri" w:hAnsi="Calibri" w:cs="Calibri"/>
          <w:spacing w:val="-2"/>
          <w:w w:val="115"/>
        </w:rPr>
        <w:t>a</w:t>
      </w:r>
      <w:r w:rsidRPr="00DD7BD1">
        <w:rPr>
          <w:rFonts w:ascii="Calibri" w:hAnsi="Calibri" w:cs="Calibri"/>
          <w:spacing w:val="-7"/>
          <w:w w:val="115"/>
        </w:rPr>
        <w:t xml:space="preserve"> </w:t>
      </w:r>
      <w:r w:rsidRPr="00DD7BD1">
        <w:rPr>
          <w:rFonts w:ascii="Calibri" w:hAnsi="Calibri" w:cs="Calibri"/>
          <w:spacing w:val="-2"/>
          <w:w w:val="115"/>
        </w:rPr>
        <w:t>plan</w:t>
      </w:r>
      <w:r w:rsidRPr="00DD7BD1">
        <w:rPr>
          <w:rFonts w:ascii="Calibri" w:hAnsi="Calibri" w:cs="Calibri"/>
          <w:spacing w:val="-8"/>
          <w:w w:val="115"/>
        </w:rPr>
        <w:t xml:space="preserve"> </w:t>
      </w:r>
      <w:r w:rsidRPr="00DD7BD1">
        <w:rPr>
          <w:rFonts w:ascii="Calibri" w:hAnsi="Calibri" w:cs="Calibri"/>
          <w:spacing w:val="-2"/>
          <w:w w:val="115"/>
        </w:rPr>
        <w:t>outlining</w:t>
      </w:r>
      <w:r w:rsidRPr="00DD7BD1">
        <w:rPr>
          <w:rFonts w:ascii="Calibri" w:hAnsi="Calibri" w:cs="Calibri"/>
          <w:spacing w:val="-6"/>
          <w:w w:val="115"/>
        </w:rPr>
        <w:t xml:space="preserve"> </w:t>
      </w:r>
      <w:r w:rsidRPr="00DD7BD1">
        <w:rPr>
          <w:rFonts w:ascii="Calibri" w:hAnsi="Calibri" w:cs="Calibri"/>
          <w:spacing w:val="-2"/>
          <w:w w:val="115"/>
        </w:rPr>
        <w:t>the</w:t>
      </w:r>
      <w:r w:rsidRPr="00DD7BD1">
        <w:rPr>
          <w:rFonts w:ascii="Calibri" w:hAnsi="Calibri" w:cs="Calibri"/>
          <w:spacing w:val="-8"/>
          <w:w w:val="115"/>
        </w:rPr>
        <w:t xml:space="preserve"> </w:t>
      </w:r>
      <w:r w:rsidRPr="00DD7BD1">
        <w:rPr>
          <w:rFonts w:ascii="Calibri" w:hAnsi="Calibri" w:cs="Calibri"/>
          <w:spacing w:val="-2"/>
          <w:w w:val="115"/>
        </w:rPr>
        <w:t>frequency</w:t>
      </w:r>
      <w:r w:rsidRPr="00DD7BD1">
        <w:rPr>
          <w:rFonts w:ascii="Calibri" w:hAnsi="Calibri" w:cs="Calibri"/>
          <w:spacing w:val="-6"/>
          <w:w w:val="115"/>
        </w:rPr>
        <w:t xml:space="preserve"> </w:t>
      </w:r>
      <w:r w:rsidRPr="00DD7BD1">
        <w:rPr>
          <w:rFonts w:ascii="Calibri" w:hAnsi="Calibri" w:cs="Calibri"/>
          <w:spacing w:val="-2"/>
          <w:w w:val="115"/>
        </w:rPr>
        <w:t>and</w:t>
      </w:r>
      <w:r w:rsidRPr="00DD7BD1">
        <w:rPr>
          <w:rFonts w:ascii="Calibri" w:hAnsi="Calibri" w:cs="Calibri"/>
          <w:spacing w:val="-6"/>
          <w:w w:val="115"/>
        </w:rPr>
        <w:t xml:space="preserve"> </w:t>
      </w:r>
      <w:r w:rsidRPr="00DD7BD1">
        <w:rPr>
          <w:rFonts w:ascii="Calibri" w:hAnsi="Calibri" w:cs="Calibri"/>
          <w:spacing w:val="-2"/>
          <w:w w:val="115"/>
        </w:rPr>
        <w:t>nature</w:t>
      </w:r>
      <w:r w:rsidRPr="00DD7BD1">
        <w:rPr>
          <w:rFonts w:ascii="Calibri" w:hAnsi="Calibri" w:cs="Calibri"/>
          <w:spacing w:val="-8"/>
          <w:w w:val="115"/>
        </w:rPr>
        <w:t xml:space="preserve"> </w:t>
      </w:r>
      <w:r w:rsidRPr="00DD7BD1">
        <w:rPr>
          <w:rFonts w:ascii="Calibri" w:hAnsi="Calibri" w:cs="Calibri"/>
          <w:spacing w:val="-2"/>
          <w:w w:val="115"/>
        </w:rPr>
        <w:t>of</w:t>
      </w:r>
      <w:r w:rsidRPr="00DD7BD1">
        <w:rPr>
          <w:rFonts w:ascii="Calibri" w:hAnsi="Calibri" w:cs="Calibri"/>
          <w:spacing w:val="-10"/>
          <w:w w:val="115"/>
        </w:rPr>
        <w:t xml:space="preserve"> </w:t>
      </w:r>
      <w:r w:rsidRPr="00DD7BD1">
        <w:rPr>
          <w:rFonts w:ascii="Calibri" w:hAnsi="Calibri" w:cs="Calibri"/>
          <w:spacing w:val="-2"/>
          <w:w w:val="115"/>
        </w:rPr>
        <w:t>such</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7"/>
          <w:w w:val="115"/>
        </w:rPr>
        <w:t xml:space="preserve"> </w:t>
      </w:r>
      <w:r w:rsidRPr="00DD7BD1">
        <w:rPr>
          <w:rFonts w:ascii="Calibri" w:hAnsi="Calibri" w:cs="Calibri"/>
          <w:spacing w:val="-2"/>
          <w:w w:val="115"/>
        </w:rPr>
        <w:t xml:space="preserve">and </w:t>
      </w:r>
      <w:r w:rsidRPr="00DD7BD1">
        <w:rPr>
          <w:rFonts w:ascii="Calibri" w:hAnsi="Calibri" w:cs="Calibri"/>
          <w:w w:val="110"/>
        </w:rPr>
        <w:t>documenting</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testing</w:t>
      </w:r>
      <w:r w:rsidRPr="00DD7BD1">
        <w:rPr>
          <w:rFonts w:ascii="Calibri" w:hAnsi="Calibri" w:cs="Calibri"/>
          <w:spacing w:val="-4"/>
          <w:w w:val="110"/>
        </w:rPr>
        <w:t xml:space="preserve"> </w:t>
      </w:r>
      <w:r w:rsidRPr="00DD7BD1">
        <w:rPr>
          <w:rFonts w:ascii="Calibri" w:hAnsi="Calibri" w:cs="Calibri"/>
          <w:w w:val="110"/>
        </w:rPr>
        <w:t>process/criteria,</w:t>
      </w:r>
      <w:r w:rsidRPr="00DD7BD1">
        <w:rPr>
          <w:rFonts w:ascii="Calibri" w:hAnsi="Calibri" w:cs="Calibri"/>
          <w:spacing w:val="-3"/>
          <w:w w:val="110"/>
        </w:rPr>
        <w:t xml:space="preserve"> </w:t>
      </w:r>
      <w:r w:rsidRPr="00DD7BD1">
        <w:rPr>
          <w:rFonts w:ascii="Calibri" w:hAnsi="Calibri" w:cs="Calibri"/>
          <w:w w:val="110"/>
        </w:rPr>
        <w:t>results,</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steps</w:t>
      </w:r>
      <w:r w:rsidRPr="00DD7BD1">
        <w:rPr>
          <w:rFonts w:ascii="Calibri" w:hAnsi="Calibri" w:cs="Calibri"/>
          <w:spacing w:val="-4"/>
          <w:w w:val="110"/>
        </w:rPr>
        <w:t xml:space="preserve"> </w:t>
      </w:r>
      <w:r w:rsidRPr="00DD7BD1">
        <w:rPr>
          <w:rFonts w:ascii="Calibri" w:hAnsi="Calibri" w:cs="Calibri"/>
          <w:w w:val="110"/>
        </w:rPr>
        <w:t>taken</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address</w:t>
      </w:r>
      <w:r w:rsidRPr="00DD7BD1">
        <w:rPr>
          <w:rFonts w:ascii="Calibri" w:hAnsi="Calibri" w:cs="Calibri"/>
          <w:spacing w:val="-4"/>
          <w:w w:val="110"/>
        </w:rPr>
        <w:t xml:space="preserve"> </w:t>
      </w:r>
      <w:r w:rsidRPr="00DD7BD1">
        <w:rPr>
          <w:rFonts w:ascii="Calibri" w:hAnsi="Calibri" w:cs="Calibri"/>
          <w:w w:val="110"/>
        </w:rPr>
        <w:t>results,</w:t>
      </w:r>
      <w:r w:rsidRPr="00DD7BD1">
        <w:rPr>
          <w:rFonts w:ascii="Calibri" w:hAnsi="Calibri" w:cs="Calibri"/>
          <w:spacing w:val="-3"/>
          <w:w w:val="110"/>
        </w:rPr>
        <w:t xml:space="preserve"> </w:t>
      </w:r>
      <w:r w:rsidRPr="00DD7BD1">
        <w:rPr>
          <w:rFonts w:ascii="Calibri" w:hAnsi="Calibri" w:cs="Calibri"/>
          <w:w w:val="110"/>
        </w:rPr>
        <w:t>as</w:t>
      </w:r>
      <w:r w:rsidRPr="00DD7BD1">
        <w:rPr>
          <w:rFonts w:ascii="Calibri" w:hAnsi="Calibri" w:cs="Calibri"/>
          <w:spacing w:val="-2"/>
          <w:w w:val="110"/>
        </w:rPr>
        <w:t xml:space="preserve"> </w:t>
      </w:r>
      <w:r w:rsidRPr="00DD7BD1">
        <w:rPr>
          <w:rFonts w:ascii="Calibri" w:hAnsi="Calibri" w:cs="Calibri"/>
          <w:w w:val="110"/>
        </w:rPr>
        <w:t>appropriate;</w:t>
      </w:r>
      <w:r w:rsidRPr="00DD7BD1">
        <w:rPr>
          <w:rFonts w:ascii="Calibri" w:hAnsi="Calibri" w:cs="Calibri"/>
          <w:spacing w:val="-3"/>
          <w:w w:val="110"/>
        </w:rPr>
        <w:t xml:space="preserve"> </w:t>
      </w:r>
      <w:r w:rsidRPr="00DD7BD1">
        <w:rPr>
          <w:rFonts w:ascii="Calibri" w:hAnsi="Calibri" w:cs="Calibri"/>
          <w:w w:val="110"/>
        </w:rPr>
        <w:t>and</w:t>
      </w:r>
    </w:p>
    <w:p w14:paraId="6BA43895" w14:textId="77777777" w:rsidR="00A85628" w:rsidRPr="00DD7BD1" w:rsidRDefault="00A85628" w:rsidP="00A85628">
      <w:pPr>
        <w:pStyle w:val="BodyText"/>
        <w:spacing w:before="195" w:line="249" w:lineRule="auto"/>
        <w:ind w:right="-90"/>
        <w:jc w:val="left"/>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California</w:t>
      </w:r>
      <w:r w:rsidRPr="00DD7BD1">
        <w:rPr>
          <w:rFonts w:cs="Calibri"/>
          <w:color w:val="auto"/>
          <w:spacing w:val="-10"/>
          <w:w w:val="110"/>
          <w:szCs w:val="22"/>
        </w:rPr>
        <w:t xml:space="preserve"> </w:t>
      </w:r>
      <w:r w:rsidRPr="00DD7BD1">
        <w:rPr>
          <w:rFonts w:cs="Calibri"/>
          <w:color w:val="auto"/>
          <w:w w:val="110"/>
          <w:szCs w:val="22"/>
        </w:rPr>
        <w:t>Civil</w:t>
      </w:r>
      <w:r w:rsidRPr="00DD7BD1">
        <w:rPr>
          <w:rFonts w:cs="Calibri"/>
          <w:color w:val="auto"/>
          <w:spacing w:val="-9"/>
          <w:w w:val="110"/>
          <w:szCs w:val="22"/>
        </w:rPr>
        <w:t xml:space="preserve"> </w:t>
      </w:r>
      <w:r w:rsidRPr="00DD7BD1">
        <w:rPr>
          <w:rFonts w:cs="Calibri"/>
          <w:color w:val="auto"/>
          <w:w w:val="110"/>
          <w:szCs w:val="22"/>
        </w:rPr>
        <w:t>Rights</w:t>
      </w:r>
      <w:r w:rsidRPr="00DD7BD1">
        <w:rPr>
          <w:rFonts w:cs="Calibri"/>
          <w:color w:val="auto"/>
          <w:spacing w:val="-7"/>
          <w:w w:val="110"/>
          <w:szCs w:val="22"/>
        </w:rPr>
        <w:t xml:space="preserve"> </w:t>
      </w:r>
      <w:r w:rsidRPr="00DD7BD1">
        <w:rPr>
          <w:rFonts w:cs="Calibri"/>
          <w:color w:val="auto"/>
          <w:w w:val="110"/>
          <w:szCs w:val="22"/>
        </w:rPr>
        <w:t>Council</w:t>
      </w:r>
      <w:r w:rsidRPr="00DD7BD1">
        <w:rPr>
          <w:rFonts w:cs="Calibri"/>
          <w:color w:val="auto"/>
          <w:spacing w:val="-9"/>
          <w:w w:val="110"/>
          <w:szCs w:val="22"/>
        </w:rPr>
        <w:t xml:space="preserve"> </w:t>
      </w:r>
      <w:r w:rsidRPr="00DD7BD1">
        <w:rPr>
          <w:rFonts w:cs="Calibri"/>
          <w:color w:val="auto"/>
          <w:w w:val="110"/>
          <w:szCs w:val="22"/>
        </w:rPr>
        <w:t>(CRC)</w:t>
      </w:r>
      <w:r w:rsidRPr="00DD7BD1">
        <w:rPr>
          <w:rFonts w:cs="Calibri"/>
          <w:color w:val="auto"/>
          <w:spacing w:val="-10"/>
          <w:w w:val="110"/>
          <w:szCs w:val="22"/>
        </w:rPr>
        <w:t xml:space="preserve"> </w:t>
      </w:r>
      <w:r w:rsidRPr="00DD7BD1">
        <w:rPr>
          <w:rFonts w:cs="Calibri"/>
          <w:color w:val="auto"/>
          <w:w w:val="110"/>
          <w:szCs w:val="22"/>
        </w:rPr>
        <w:t>recently</w:t>
      </w:r>
      <w:r w:rsidRPr="00DD7BD1">
        <w:rPr>
          <w:rFonts w:cs="Calibri"/>
          <w:color w:val="auto"/>
          <w:spacing w:val="-4"/>
          <w:w w:val="110"/>
          <w:szCs w:val="22"/>
        </w:rPr>
        <w:t xml:space="preserve"> </w:t>
      </w:r>
      <w:hyperlink r:id="rId594">
        <w:r w:rsidRPr="00DD7BD1">
          <w:rPr>
            <w:rFonts w:cs="Calibri"/>
            <w:color w:val="0000FF"/>
            <w:w w:val="110"/>
            <w:szCs w:val="22"/>
            <w:u w:val="single" w:color="0000FF"/>
          </w:rPr>
          <w:t>announced</w:t>
        </w:r>
      </w:hyperlink>
      <w:r w:rsidRPr="00DD7BD1">
        <w:rPr>
          <w:rFonts w:cs="Calibri"/>
          <w:color w:val="0000FF"/>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has</w:t>
      </w:r>
      <w:r w:rsidRPr="00DD7BD1">
        <w:rPr>
          <w:rFonts w:cs="Calibri"/>
          <w:color w:val="auto"/>
          <w:spacing w:val="-7"/>
          <w:w w:val="110"/>
          <w:szCs w:val="22"/>
        </w:rPr>
        <w:t xml:space="preserve"> </w:t>
      </w:r>
      <w:r w:rsidRPr="00DD7BD1">
        <w:rPr>
          <w:rFonts w:cs="Calibri"/>
          <w:color w:val="auto"/>
          <w:w w:val="110"/>
          <w:szCs w:val="22"/>
        </w:rPr>
        <w:t>finalized</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clarify</w:t>
      </w:r>
      <w:r w:rsidRPr="00DD7BD1">
        <w:rPr>
          <w:rFonts w:cs="Calibri"/>
          <w:color w:val="auto"/>
          <w:spacing w:val="-7"/>
          <w:w w:val="110"/>
          <w:szCs w:val="22"/>
        </w:rPr>
        <w:t xml:space="preserve"> </w:t>
      </w:r>
      <w:r w:rsidRPr="00DD7BD1">
        <w:rPr>
          <w:rFonts w:cs="Calibri"/>
          <w:color w:val="auto"/>
          <w:w w:val="110"/>
          <w:szCs w:val="22"/>
        </w:rPr>
        <w:t>how California’s</w:t>
      </w:r>
      <w:r w:rsidRPr="00DD7BD1">
        <w:rPr>
          <w:rFonts w:cs="Calibri"/>
          <w:color w:val="auto"/>
          <w:spacing w:val="-2"/>
          <w:w w:val="110"/>
          <w:szCs w:val="22"/>
        </w:rPr>
        <w:t xml:space="preserve"> </w:t>
      </w:r>
      <w:r w:rsidRPr="00DD7BD1">
        <w:rPr>
          <w:rFonts w:cs="Calibri"/>
          <w:color w:val="auto"/>
          <w:w w:val="110"/>
          <w:szCs w:val="22"/>
        </w:rPr>
        <w:t>anti-discrimination</w:t>
      </w:r>
      <w:r w:rsidRPr="00DD7BD1">
        <w:rPr>
          <w:rFonts w:cs="Calibri"/>
          <w:color w:val="auto"/>
          <w:spacing w:val="-3"/>
          <w:w w:val="110"/>
          <w:szCs w:val="22"/>
        </w:rPr>
        <w:t xml:space="preserve"> </w:t>
      </w:r>
      <w:r w:rsidRPr="00DD7BD1">
        <w:rPr>
          <w:rFonts w:cs="Calibri"/>
          <w:color w:val="auto"/>
          <w:w w:val="110"/>
          <w:szCs w:val="22"/>
        </w:rPr>
        <w:t>laws</w:t>
      </w:r>
      <w:r w:rsidRPr="00DD7BD1">
        <w:rPr>
          <w:rFonts w:cs="Calibri"/>
          <w:color w:val="auto"/>
          <w:spacing w:val="-2"/>
          <w:w w:val="110"/>
          <w:szCs w:val="22"/>
        </w:rPr>
        <w:t xml:space="preserve"> </w:t>
      </w:r>
      <w:r w:rsidRPr="00DD7BD1">
        <w:rPr>
          <w:rFonts w:cs="Calibri"/>
          <w:color w:val="auto"/>
          <w:w w:val="110"/>
          <w:szCs w:val="22"/>
        </w:rPr>
        <w:t>apply to the</w:t>
      </w:r>
      <w:r w:rsidRPr="00DD7BD1">
        <w:rPr>
          <w:rFonts w:cs="Calibri"/>
          <w:color w:val="auto"/>
          <w:spacing w:val="-2"/>
          <w:w w:val="110"/>
          <w:szCs w:val="22"/>
        </w:rPr>
        <w:t xml:space="preserve"> </w:t>
      </w:r>
      <w:r w:rsidRPr="00DD7BD1">
        <w:rPr>
          <w:rFonts w:cs="Calibri"/>
          <w:color w:val="auto"/>
          <w:w w:val="110"/>
          <w:szCs w:val="22"/>
        </w:rPr>
        <w:t>use</w:t>
      </w:r>
      <w:r w:rsidRPr="00DD7BD1">
        <w:rPr>
          <w:rFonts w:cs="Calibri"/>
          <w:color w:val="auto"/>
          <w:spacing w:val="-2"/>
          <w:w w:val="110"/>
          <w:szCs w:val="22"/>
        </w:rPr>
        <w:t xml:space="preserve"> </w:t>
      </w:r>
      <w:r w:rsidRPr="00DD7BD1">
        <w:rPr>
          <w:rFonts w:cs="Calibri"/>
          <w:color w:val="auto"/>
          <w:w w:val="110"/>
          <w:szCs w:val="22"/>
        </w:rPr>
        <w:t>of artificial</w:t>
      </w:r>
      <w:r w:rsidRPr="00DD7BD1">
        <w:rPr>
          <w:rFonts w:cs="Calibri"/>
          <w:color w:val="auto"/>
          <w:spacing w:val="-2"/>
          <w:w w:val="110"/>
          <w:szCs w:val="22"/>
        </w:rPr>
        <w:t xml:space="preserve"> </w:t>
      </w:r>
      <w:r w:rsidRPr="00DD7BD1">
        <w:rPr>
          <w:rFonts w:cs="Calibri"/>
          <w:color w:val="auto"/>
          <w:w w:val="110"/>
          <w:szCs w:val="22"/>
        </w:rPr>
        <w:t>intelligence (AI) and automated decision</w:t>
      </w:r>
      <w:r w:rsidRPr="00DD7BD1">
        <w:rPr>
          <w:rFonts w:cs="Calibri"/>
          <w:color w:val="auto"/>
          <w:spacing w:val="-2"/>
          <w:w w:val="110"/>
          <w:szCs w:val="22"/>
        </w:rPr>
        <w:t xml:space="preserve"> </w:t>
      </w:r>
      <w:r w:rsidRPr="00DD7BD1">
        <w:rPr>
          <w:rFonts w:cs="Calibri"/>
          <w:color w:val="auto"/>
          <w:w w:val="110"/>
          <w:szCs w:val="22"/>
        </w:rPr>
        <w:t>systems (ADSs) in employment decision-making (the “Regulations”).</w:t>
      </w:r>
    </w:p>
    <w:p w14:paraId="161B9A47" w14:textId="77777777" w:rsidR="00A85628" w:rsidRPr="00DD7BD1" w:rsidRDefault="00A85628" w:rsidP="00A85628">
      <w:pPr>
        <w:pStyle w:val="BodyText"/>
        <w:spacing w:before="188" w:line="247" w:lineRule="auto"/>
        <w:ind w:right="-90"/>
        <w:jc w:val="left"/>
        <w:rPr>
          <w:rFonts w:cs="Calibri"/>
          <w:szCs w:val="22"/>
        </w:rPr>
      </w:pPr>
      <w:r w:rsidRPr="00DD7BD1">
        <w:rPr>
          <w:rFonts w:cs="Calibri"/>
          <w:color w:val="auto"/>
          <w:w w:val="110"/>
          <w:szCs w:val="22"/>
        </w:rPr>
        <w:t>The</w:t>
      </w:r>
      <w:r w:rsidRPr="00DD7BD1">
        <w:rPr>
          <w:rFonts w:cs="Calibri"/>
          <w:spacing w:val="-6"/>
          <w:w w:val="110"/>
          <w:szCs w:val="22"/>
        </w:rPr>
        <w:t xml:space="preserve"> </w:t>
      </w:r>
      <w:hyperlink r:id="rId595">
        <w:r w:rsidRPr="00DD7BD1">
          <w:rPr>
            <w:rFonts w:cs="Calibri"/>
            <w:color w:val="0000FF"/>
            <w:w w:val="110"/>
            <w:szCs w:val="22"/>
            <w:u w:val="single" w:color="0000FF"/>
          </w:rPr>
          <w:t>Regulations</w:t>
        </w:r>
      </w:hyperlink>
      <w:r w:rsidRPr="00DD7BD1">
        <w:rPr>
          <w:rFonts w:cs="Calibri"/>
          <w:color w:val="0000FF"/>
          <w:spacing w:val="-1"/>
          <w:w w:val="110"/>
          <w:szCs w:val="22"/>
        </w:rPr>
        <w:t xml:space="preserve"> </w:t>
      </w:r>
      <w:r w:rsidRPr="00DD7BD1">
        <w:rPr>
          <w:rFonts w:cs="Calibri"/>
          <w:color w:val="auto"/>
          <w:w w:val="110"/>
          <w:szCs w:val="22"/>
        </w:rPr>
        <w:t>amend</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existing</w:t>
      </w:r>
      <w:r w:rsidRPr="00DD7BD1">
        <w:rPr>
          <w:rFonts w:cs="Calibri"/>
          <w:color w:val="auto"/>
          <w:spacing w:val="-4"/>
          <w:w w:val="110"/>
          <w:szCs w:val="22"/>
        </w:rPr>
        <w:t xml:space="preserve"> </w:t>
      </w:r>
      <w:r w:rsidRPr="00DD7BD1">
        <w:rPr>
          <w:rFonts w:cs="Calibri"/>
          <w:color w:val="auto"/>
          <w:w w:val="110"/>
          <w:szCs w:val="22"/>
        </w:rPr>
        <w:t>regulatory</w:t>
      </w:r>
      <w:r w:rsidRPr="00DD7BD1">
        <w:rPr>
          <w:rFonts w:cs="Calibri"/>
          <w:color w:val="auto"/>
          <w:spacing w:val="-4"/>
          <w:w w:val="110"/>
          <w:szCs w:val="22"/>
        </w:rPr>
        <w:t xml:space="preserve"> </w:t>
      </w:r>
      <w:r w:rsidRPr="00DD7BD1">
        <w:rPr>
          <w:rFonts w:cs="Calibri"/>
          <w:color w:val="auto"/>
          <w:w w:val="110"/>
          <w:szCs w:val="22"/>
        </w:rPr>
        <w:t>framework</w:t>
      </w:r>
      <w:r w:rsidRPr="00DD7BD1">
        <w:rPr>
          <w:rFonts w:cs="Calibri"/>
          <w:color w:val="auto"/>
          <w:spacing w:val="-2"/>
          <w:w w:val="110"/>
          <w:szCs w:val="22"/>
        </w:rPr>
        <w:t xml:space="preserve"> </w:t>
      </w:r>
      <w:r w:rsidRPr="00DD7BD1">
        <w:rPr>
          <w:rFonts w:cs="Calibri"/>
          <w:color w:val="auto"/>
          <w:w w:val="110"/>
          <w:szCs w:val="22"/>
        </w:rPr>
        <w:t>providing</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use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6"/>
          <w:w w:val="110"/>
          <w:szCs w:val="22"/>
        </w:rPr>
        <w:t xml:space="preserve"> </w:t>
      </w:r>
      <w:r w:rsidRPr="00DD7BD1">
        <w:rPr>
          <w:rFonts w:cs="Calibri"/>
          <w:color w:val="auto"/>
          <w:w w:val="110"/>
          <w:szCs w:val="22"/>
        </w:rPr>
        <w:t>ADS</w:t>
      </w:r>
      <w:r w:rsidRPr="00DD7BD1">
        <w:rPr>
          <w:rFonts w:cs="Calibri"/>
          <w:color w:val="auto"/>
          <w:spacing w:val="-6"/>
          <w:w w:val="110"/>
          <w:szCs w:val="22"/>
        </w:rPr>
        <w:t xml:space="preserve"> </w:t>
      </w:r>
      <w:r w:rsidRPr="00DD7BD1">
        <w:rPr>
          <w:rFonts w:cs="Calibri"/>
          <w:color w:val="auto"/>
          <w:w w:val="110"/>
          <w:szCs w:val="22"/>
        </w:rPr>
        <w:t>(including</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spacing w:val="-2"/>
          <w:w w:val="115"/>
          <w:szCs w:val="22"/>
        </w:rPr>
        <w:t>making</w:t>
      </w:r>
      <w:r w:rsidRPr="00DD7BD1">
        <w:rPr>
          <w:rFonts w:cs="Calibri"/>
          <w:color w:val="auto"/>
          <w:spacing w:val="-13"/>
          <w:w w:val="115"/>
          <w:szCs w:val="22"/>
        </w:rPr>
        <w:t xml:space="preserve"> </w:t>
      </w:r>
      <w:r w:rsidRPr="00DD7BD1">
        <w:rPr>
          <w:rFonts w:cs="Calibri"/>
          <w:color w:val="auto"/>
          <w:spacing w:val="-2"/>
          <w:w w:val="115"/>
          <w:szCs w:val="22"/>
        </w:rPr>
        <w:t>employment</w:t>
      </w:r>
      <w:r w:rsidRPr="00DD7BD1">
        <w:rPr>
          <w:rFonts w:cs="Calibri"/>
          <w:color w:val="auto"/>
          <w:spacing w:val="-14"/>
          <w:w w:val="115"/>
          <w:szCs w:val="22"/>
        </w:rPr>
        <w:t xml:space="preserve"> </w:t>
      </w:r>
      <w:r w:rsidRPr="00DD7BD1">
        <w:rPr>
          <w:rFonts w:cs="Calibri"/>
          <w:color w:val="auto"/>
          <w:spacing w:val="-2"/>
          <w:w w:val="115"/>
          <w:szCs w:val="22"/>
        </w:rPr>
        <w:t>decisions</w:t>
      </w:r>
      <w:r w:rsidRPr="00DD7BD1">
        <w:rPr>
          <w:rFonts w:cs="Calibri"/>
          <w:color w:val="auto"/>
          <w:spacing w:val="-7"/>
          <w:w w:val="115"/>
          <w:szCs w:val="22"/>
        </w:rPr>
        <w:t xml:space="preserve"> </w:t>
      </w:r>
      <w:r w:rsidRPr="00DD7BD1">
        <w:rPr>
          <w:rFonts w:cs="Calibri"/>
          <w:b/>
          <w:color w:val="auto"/>
          <w:spacing w:val="-2"/>
          <w:w w:val="115"/>
          <w:szCs w:val="22"/>
        </w:rPr>
        <w:t>can</w:t>
      </w:r>
      <w:r w:rsidRPr="00DD7BD1">
        <w:rPr>
          <w:rFonts w:cs="Calibri"/>
          <w:b/>
          <w:color w:val="auto"/>
          <w:spacing w:val="-13"/>
          <w:w w:val="115"/>
          <w:szCs w:val="22"/>
        </w:rPr>
        <w:t xml:space="preserve"> </w:t>
      </w:r>
      <w:r w:rsidRPr="00DD7BD1">
        <w:rPr>
          <w:rFonts w:cs="Calibri"/>
          <w:color w:val="auto"/>
          <w:spacing w:val="-2"/>
          <w:w w:val="115"/>
          <w:szCs w:val="22"/>
        </w:rPr>
        <w:t>violate</w:t>
      </w:r>
      <w:r w:rsidRPr="00DD7BD1">
        <w:rPr>
          <w:rFonts w:cs="Calibri"/>
          <w:color w:val="auto"/>
          <w:spacing w:val="-14"/>
          <w:w w:val="115"/>
          <w:szCs w:val="22"/>
        </w:rPr>
        <w:t xml:space="preserve"> </w:t>
      </w:r>
      <w:r w:rsidRPr="00DD7BD1">
        <w:rPr>
          <w:rFonts w:cs="Calibri"/>
          <w:color w:val="auto"/>
          <w:spacing w:val="-2"/>
          <w:w w:val="115"/>
          <w:szCs w:val="22"/>
        </w:rPr>
        <w:t>California</w:t>
      </w:r>
      <w:r w:rsidRPr="00DD7BD1">
        <w:rPr>
          <w:rFonts w:cs="Calibri"/>
          <w:color w:val="auto"/>
          <w:spacing w:val="-12"/>
          <w:w w:val="115"/>
          <w:szCs w:val="22"/>
        </w:rPr>
        <w:t xml:space="preserve"> </w:t>
      </w:r>
      <w:r w:rsidRPr="00DD7BD1">
        <w:rPr>
          <w:rFonts w:cs="Calibri"/>
          <w:color w:val="auto"/>
          <w:spacing w:val="-2"/>
          <w:w w:val="115"/>
          <w:szCs w:val="22"/>
        </w:rPr>
        <w:t>law</w:t>
      </w:r>
      <w:r w:rsidRPr="00DD7BD1">
        <w:rPr>
          <w:rFonts w:cs="Calibri"/>
          <w:color w:val="auto"/>
          <w:spacing w:val="-12"/>
          <w:w w:val="115"/>
          <w:szCs w:val="22"/>
        </w:rPr>
        <w:t xml:space="preserve"> </w:t>
      </w:r>
      <w:r w:rsidRPr="00DD7BD1">
        <w:rPr>
          <w:rFonts w:cs="Calibri"/>
          <w:color w:val="auto"/>
          <w:spacing w:val="-2"/>
          <w:w w:val="115"/>
          <w:szCs w:val="22"/>
        </w:rPr>
        <w:t>if</w:t>
      </w:r>
      <w:r w:rsidRPr="00DD7BD1">
        <w:rPr>
          <w:rFonts w:cs="Calibri"/>
          <w:color w:val="auto"/>
          <w:spacing w:val="-12"/>
          <w:w w:val="115"/>
          <w:szCs w:val="22"/>
        </w:rPr>
        <w:t xml:space="preserve"> </w:t>
      </w:r>
      <w:r w:rsidRPr="00DD7BD1">
        <w:rPr>
          <w:rFonts w:cs="Calibri"/>
          <w:color w:val="auto"/>
          <w:spacing w:val="-2"/>
          <w:w w:val="115"/>
          <w:szCs w:val="22"/>
        </w:rPr>
        <w:t>such</w:t>
      </w:r>
      <w:r w:rsidRPr="00DD7BD1">
        <w:rPr>
          <w:rFonts w:cs="Calibri"/>
          <w:color w:val="auto"/>
          <w:spacing w:val="-14"/>
          <w:w w:val="115"/>
          <w:szCs w:val="22"/>
        </w:rPr>
        <w:t xml:space="preserve"> </w:t>
      </w:r>
      <w:r w:rsidRPr="00DD7BD1">
        <w:rPr>
          <w:rFonts w:cs="Calibri"/>
          <w:color w:val="auto"/>
          <w:spacing w:val="-2"/>
          <w:w w:val="115"/>
          <w:szCs w:val="22"/>
        </w:rPr>
        <w:t>tools</w:t>
      </w:r>
      <w:r w:rsidRPr="00DD7BD1">
        <w:rPr>
          <w:rFonts w:cs="Calibri"/>
          <w:color w:val="auto"/>
          <w:spacing w:val="-11"/>
          <w:w w:val="115"/>
          <w:szCs w:val="22"/>
        </w:rPr>
        <w:t xml:space="preserve"> </w:t>
      </w:r>
      <w:r w:rsidRPr="00DD7BD1">
        <w:rPr>
          <w:rFonts w:cs="Calibri"/>
          <w:color w:val="auto"/>
          <w:spacing w:val="-2"/>
          <w:w w:val="115"/>
          <w:szCs w:val="22"/>
        </w:rPr>
        <w:t>discriminate</w:t>
      </w:r>
      <w:r w:rsidRPr="00DD7BD1">
        <w:rPr>
          <w:rFonts w:cs="Calibri"/>
          <w:color w:val="auto"/>
          <w:spacing w:val="-11"/>
          <w:w w:val="115"/>
          <w:szCs w:val="22"/>
        </w:rPr>
        <w:t xml:space="preserve"> </w:t>
      </w:r>
      <w:r w:rsidRPr="00DD7BD1">
        <w:rPr>
          <w:rFonts w:cs="Calibri"/>
          <w:color w:val="auto"/>
          <w:spacing w:val="-2"/>
          <w:w w:val="115"/>
          <w:szCs w:val="22"/>
        </w:rPr>
        <w:t>against</w:t>
      </w:r>
      <w:r w:rsidRPr="00DD7BD1">
        <w:rPr>
          <w:rFonts w:cs="Calibri"/>
          <w:color w:val="auto"/>
          <w:spacing w:val="-12"/>
          <w:w w:val="115"/>
          <w:szCs w:val="22"/>
        </w:rPr>
        <w:t xml:space="preserve"> </w:t>
      </w:r>
      <w:r w:rsidRPr="00DD7BD1">
        <w:rPr>
          <w:rFonts w:cs="Calibri"/>
          <w:color w:val="auto"/>
          <w:spacing w:val="-2"/>
          <w:w w:val="115"/>
          <w:szCs w:val="22"/>
        </w:rPr>
        <w:t>employees</w:t>
      </w:r>
      <w:r w:rsidRPr="00DD7BD1">
        <w:rPr>
          <w:rFonts w:cs="Calibri"/>
          <w:color w:val="auto"/>
          <w:spacing w:val="-13"/>
          <w:w w:val="115"/>
          <w:szCs w:val="22"/>
        </w:rPr>
        <w:t xml:space="preserve"> </w:t>
      </w:r>
      <w:r w:rsidRPr="00DD7BD1">
        <w:rPr>
          <w:rFonts w:cs="Calibri"/>
          <w:color w:val="auto"/>
          <w:spacing w:val="-2"/>
          <w:w w:val="115"/>
          <w:szCs w:val="22"/>
        </w:rPr>
        <w:t xml:space="preserve">or </w:t>
      </w:r>
      <w:r w:rsidRPr="00DD7BD1">
        <w:rPr>
          <w:rFonts w:cs="Calibri"/>
          <w:color w:val="auto"/>
          <w:w w:val="110"/>
          <w:szCs w:val="22"/>
        </w:rPr>
        <w:t>applicants –</w:t>
      </w:r>
      <w:r w:rsidRPr="00DD7BD1">
        <w:rPr>
          <w:rFonts w:cs="Calibri"/>
          <w:color w:val="auto"/>
          <w:spacing w:val="-2"/>
          <w:w w:val="110"/>
          <w:szCs w:val="22"/>
        </w:rPr>
        <w:t xml:space="preserve"> </w:t>
      </w:r>
      <w:r w:rsidRPr="00DD7BD1">
        <w:rPr>
          <w:rFonts w:cs="Calibri"/>
          <w:color w:val="auto"/>
          <w:w w:val="110"/>
          <w:szCs w:val="22"/>
        </w:rPr>
        <w:t>either</w:t>
      </w:r>
      <w:r w:rsidRPr="00DD7BD1">
        <w:rPr>
          <w:rFonts w:cs="Calibri"/>
          <w:color w:val="auto"/>
          <w:spacing w:val="-1"/>
          <w:w w:val="110"/>
          <w:szCs w:val="22"/>
        </w:rPr>
        <w:t xml:space="preserve"> </w:t>
      </w:r>
      <w:r w:rsidRPr="00DD7BD1">
        <w:rPr>
          <w:rFonts w:cs="Calibri"/>
          <w:color w:val="auto"/>
          <w:w w:val="110"/>
          <w:szCs w:val="22"/>
        </w:rPr>
        <w:t>directly or</w:t>
      </w:r>
      <w:r w:rsidRPr="00DD7BD1">
        <w:rPr>
          <w:rFonts w:cs="Calibri"/>
          <w:color w:val="auto"/>
          <w:spacing w:val="-2"/>
          <w:w w:val="110"/>
          <w:szCs w:val="22"/>
        </w:rPr>
        <w:t xml:space="preserve"> </w:t>
      </w:r>
      <w:r w:rsidRPr="00DD7BD1">
        <w:rPr>
          <w:rFonts w:cs="Calibri"/>
          <w:color w:val="auto"/>
          <w:w w:val="110"/>
          <w:szCs w:val="22"/>
        </w:rPr>
        <w:t>due to disparate impact –</w:t>
      </w:r>
      <w:r w:rsidRPr="00DD7BD1">
        <w:rPr>
          <w:rFonts w:cs="Calibri"/>
          <w:color w:val="auto"/>
          <w:spacing w:val="-2"/>
          <w:w w:val="110"/>
          <w:szCs w:val="22"/>
        </w:rPr>
        <w:t xml:space="preserve"> </w:t>
      </w:r>
      <w:r w:rsidRPr="00DD7BD1">
        <w:rPr>
          <w:rFonts w:cs="Calibri"/>
          <w:color w:val="auto"/>
          <w:w w:val="110"/>
          <w:szCs w:val="22"/>
        </w:rPr>
        <w:t>on the</w:t>
      </w:r>
      <w:r w:rsidRPr="00DD7BD1">
        <w:rPr>
          <w:rFonts w:cs="Calibri"/>
          <w:color w:val="auto"/>
          <w:spacing w:val="-1"/>
          <w:w w:val="110"/>
          <w:szCs w:val="22"/>
        </w:rPr>
        <w:t xml:space="preserve"> </w:t>
      </w:r>
      <w:r w:rsidRPr="00DD7BD1">
        <w:rPr>
          <w:rFonts w:cs="Calibri"/>
          <w:color w:val="auto"/>
          <w:w w:val="110"/>
          <w:szCs w:val="22"/>
        </w:rPr>
        <w:t>basis of</w:t>
      </w:r>
      <w:r w:rsidRPr="00DD7BD1">
        <w:rPr>
          <w:rFonts w:cs="Calibri"/>
          <w:color w:val="auto"/>
          <w:spacing w:val="-1"/>
          <w:w w:val="110"/>
          <w:szCs w:val="22"/>
        </w:rPr>
        <w:t xml:space="preserve"> </w:t>
      </w:r>
      <w:r w:rsidRPr="00DD7BD1">
        <w:rPr>
          <w:rFonts w:cs="Calibri"/>
          <w:color w:val="auto"/>
          <w:w w:val="110"/>
          <w:szCs w:val="22"/>
        </w:rPr>
        <w:t>protected characteristics (including race, age,</w:t>
      </w:r>
      <w:r w:rsidRPr="00DD7BD1">
        <w:rPr>
          <w:rFonts w:cs="Calibri"/>
          <w:color w:val="auto"/>
          <w:spacing w:val="-4"/>
          <w:w w:val="110"/>
          <w:szCs w:val="22"/>
        </w:rPr>
        <w:t xml:space="preserve"> </w:t>
      </w:r>
      <w:r w:rsidRPr="00DD7BD1">
        <w:rPr>
          <w:rFonts w:cs="Calibri"/>
          <w:color w:val="auto"/>
          <w:w w:val="110"/>
          <w:szCs w:val="22"/>
        </w:rPr>
        <w:t>religious</w:t>
      </w:r>
      <w:r w:rsidRPr="00DD7BD1">
        <w:rPr>
          <w:rFonts w:cs="Calibri"/>
          <w:color w:val="auto"/>
          <w:spacing w:val="-3"/>
          <w:w w:val="110"/>
          <w:szCs w:val="22"/>
        </w:rPr>
        <w:t xml:space="preserve"> </w:t>
      </w:r>
      <w:r w:rsidRPr="00DD7BD1">
        <w:rPr>
          <w:rFonts w:cs="Calibri"/>
          <w:color w:val="auto"/>
          <w:w w:val="110"/>
          <w:szCs w:val="22"/>
        </w:rPr>
        <w:t>creed,</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6"/>
          <w:w w:val="110"/>
          <w:szCs w:val="22"/>
        </w:rPr>
        <w:t xml:space="preserve"> </w:t>
      </w:r>
      <w:r w:rsidRPr="00DD7BD1">
        <w:rPr>
          <w:rFonts w:cs="Calibri"/>
          <w:color w:val="auto"/>
          <w:w w:val="110"/>
          <w:szCs w:val="22"/>
        </w:rPr>
        <w:t>origin,</w:t>
      </w:r>
      <w:r w:rsidRPr="00DD7BD1">
        <w:rPr>
          <w:rFonts w:cs="Calibri"/>
          <w:color w:val="auto"/>
          <w:spacing w:val="-6"/>
          <w:w w:val="110"/>
          <w:szCs w:val="22"/>
        </w:rPr>
        <w:t xml:space="preserve"> </w:t>
      </w:r>
      <w:r w:rsidRPr="00DD7BD1">
        <w:rPr>
          <w:rFonts w:cs="Calibri"/>
          <w:color w:val="auto"/>
          <w:w w:val="110"/>
          <w:szCs w:val="22"/>
        </w:rPr>
        <w:t>gender,</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disability).</w:t>
      </w:r>
      <w:r w:rsidRPr="00DD7BD1">
        <w:rPr>
          <w:rFonts w:cs="Calibri"/>
          <w:color w:val="auto"/>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 xml:space="preserve">Regulations </w:t>
      </w:r>
      <w:r w:rsidRPr="00DD7BD1">
        <w:rPr>
          <w:rFonts w:cs="Calibri"/>
          <w:color w:val="auto"/>
          <w:w w:val="110"/>
          <w:szCs w:val="22"/>
          <w:u w:val="single"/>
        </w:rPr>
        <w:t>apply</w:t>
      </w:r>
      <w:r w:rsidRPr="00DD7BD1">
        <w:rPr>
          <w:rFonts w:cs="Calibri"/>
          <w:color w:val="auto"/>
          <w:spacing w:val="-3"/>
          <w:w w:val="110"/>
          <w:szCs w:val="22"/>
          <w:u w:val="single"/>
        </w:rPr>
        <w:t xml:space="preserve"> </w:t>
      </w:r>
      <w:r w:rsidRPr="00DD7BD1">
        <w:rPr>
          <w:rFonts w:cs="Calibri"/>
          <w:color w:val="auto"/>
          <w:w w:val="110"/>
          <w:szCs w:val="22"/>
          <w:u w:val="single"/>
        </w:rPr>
        <w:t>to</w:t>
      </w:r>
      <w:r w:rsidRPr="00DD7BD1">
        <w:rPr>
          <w:rFonts w:cs="Calibri"/>
          <w:color w:val="auto"/>
          <w:spacing w:val="-3"/>
          <w:w w:val="110"/>
          <w:szCs w:val="22"/>
          <w:u w:val="single"/>
        </w:rPr>
        <w:t xml:space="preserve"> </w:t>
      </w:r>
      <w:r w:rsidRPr="00DD7BD1">
        <w:rPr>
          <w:rFonts w:cs="Calibri"/>
          <w:color w:val="auto"/>
          <w:w w:val="110"/>
          <w:szCs w:val="22"/>
          <w:u w:val="single"/>
        </w:rPr>
        <w:t>all</w:t>
      </w:r>
      <w:r w:rsidRPr="00DD7BD1">
        <w:rPr>
          <w:rFonts w:cs="Calibri"/>
          <w:color w:val="auto"/>
          <w:spacing w:val="-5"/>
          <w:w w:val="110"/>
          <w:szCs w:val="22"/>
          <w:u w:val="single"/>
        </w:rPr>
        <w:t xml:space="preserve"> </w:t>
      </w:r>
      <w:r w:rsidRPr="00DD7BD1">
        <w:rPr>
          <w:rFonts w:cs="Calibri"/>
          <w:color w:val="auto"/>
          <w:w w:val="110"/>
          <w:szCs w:val="22"/>
          <w:u w:val="single"/>
        </w:rPr>
        <w:t>employers</w:t>
      </w:r>
      <w:r w:rsidRPr="00DD7BD1">
        <w:rPr>
          <w:rFonts w:cs="Calibri"/>
          <w:color w:val="auto"/>
          <w:w w:val="110"/>
          <w:szCs w:val="22"/>
        </w:rPr>
        <w:t xml:space="preserve"> in California</w:t>
      </w:r>
      <w:r w:rsidRPr="00DD7BD1">
        <w:rPr>
          <w:rFonts w:cs="Calibri"/>
          <w:color w:val="auto"/>
          <w:spacing w:val="-5"/>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3"/>
          <w:w w:val="110"/>
          <w:szCs w:val="22"/>
        </w:rPr>
        <w:t xml:space="preserve"> </w:t>
      </w:r>
      <w:r w:rsidRPr="00DD7BD1">
        <w:rPr>
          <w:rFonts w:cs="Calibri"/>
          <w:color w:val="auto"/>
          <w:w w:val="110"/>
          <w:szCs w:val="22"/>
        </w:rPr>
        <w:t>“artificial</w:t>
      </w:r>
      <w:r w:rsidRPr="00DD7BD1">
        <w:rPr>
          <w:rFonts w:cs="Calibri"/>
          <w:color w:val="auto"/>
          <w:spacing w:val="-6"/>
          <w:w w:val="110"/>
          <w:szCs w:val="22"/>
        </w:rPr>
        <w:t xml:space="preserve"> </w:t>
      </w:r>
      <w:r w:rsidRPr="00DD7BD1">
        <w:rPr>
          <w:rFonts w:cs="Calibri"/>
          <w:color w:val="auto"/>
          <w:w w:val="110"/>
          <w:szCs w:val="22"/>
        </w:rPr>
        <w:t>intelligence,</w:t>
      </w:r>
      <w:r w:rsidRPr="00DD7BD1">
        <w:rPr>
          <w:rFonts w:cs="Calibri"/>
          <w:color w:val="auto"/>
          <w:spacing w:val="-7"/>
          <w:w w:val="110"/>
          <w:szCs w:val="22"/>
        </w:rPr>
        <w:t xml:space="preserve"> </w:t>
      </w:r>
      <w:r w:rsidRPr="00DD7BD1">
        <w:rPr>
          <w:rFonts w:cs="Calibri"/>
          <w:color w:val="auto"/>
          <w:w w:val="110"/>
          <w:szCs w:val="22"/>
        </w:rPr>
        <w:t>machine-learning,</w:t>
      </w:r>
      <w:r w:rsidRPr="00DD7BD1">
        <w:rPr>
          <w:rFonts w:cs="Calibri"/>
          <w:color w:val="auto"/>
          <w:spacing w:val="-5"/>
          <w:w w:val="110"/>
          <w:szCs w:val="22"/>
        </w:rPr>
        <w:t xml:space="preserve"> </w:t>
      </w:r>
      <w:r w:rsidRPr="00DD7BD1">
        <w:rPr>
          <w:rFonts w:cs="Calibri"/>
          <w:color w:val="auto"/>
          <w:w w:val="110"/>
          <w:szCs w:val="22"/>
        </w:rPr>
        <w:t>algorithms,</w:t>
      </w:r>
      <w:r w:rsidRPr="00DD7BD1">
        <w:rPr>
          <w:rFonts w:cs="Calibri"/>
          <w:color w:val="auto"/>
          <w:spacing w:val="-5"/>
          <w:w w:val="110"/>
          <w:szCs w:val="22"/>
        </w:rPr>
        <w:t xml:space="preserve"> </w:t>
      </w:r>
      <w:r w:rsidRPr="00DD7BD1">
        <w:rPr>
          <w:rFonts w:cs="Calibri"/>
          <w:color w:val="auto"/>
          <w:w w:val="110"/>
          <w:szCs w:val="22"/>
        </w:rPr>
        <w:t>statistics,</w:t>
      </w:r>
      <w:r w:rsidRPr="00DD7BD1">
        <w:rPr>
          <w:rFonts w:cs="Calibri"/>
          <w:color w:val="auto"/>
          <w:spacing w:val="-5"/>
          <w:w w:val="110"/>
          <w:szCs w:val="22"/>
        </w:rPr>
        <w:t xml:space="preserve"> </w:t>
      </w:r>
      <w:r w:rsidRPr="00DD7BD1">
        <w:rPr>
          <w:rFonts w:cs="Calibri"/>
          <w:color w:val="auto"/>
          <w:w w:val="110"/>
          <w:szCs w:val="22"/>
        </w:rPr>
        <w:t>and/or</w:t>
      </w:r>
      <w:r w:rsidRPr="00DD7BD1">
        <w:rPr>
          <w:rFonts w:cs="Calibri"/>
          <w:color w:val="auto"/>
          <w:spacing w:val="-7"/>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data</w:t>
      </w:r>
      <w:r w:rsidRPr="00DD7BD1">
        <w:rPr>
          <w:rFonts w:cs="Calibri"/>
          <w:color w:val="auto"/>
          <w:spacing w:val="-10"/>
          <w:w w:val="110"/>
          <w:szCs w:val="22"/>
        </w:rPr>
        <w:t xml:space="preserve"> </w:t>
      </w:r>
      <w:r w:rsidRPr="00DD7BD1">
        <w:rPr>
          <w:rFonts w:cs="Calibri"/>
          <w:color w:val="auto"/>
          <w:w w:val="110"/>
          <w:szCs w:val="22"/>
        </w:rPr>
        <w:t>processing”</w:t>
      </w:r>
      <w:r w:rsidRPr="00DD7BD1">
        <w:rPr>
          <w:rFonts w:cs="Calibri"/>
          <w:color w:val="auto"/>
          <w:spacing w:val="-3"/>
          <w:w w:val="110"/>
          <w:szCs w:val="22"/>
        </w:rPr>
        <w:t xml:space="preserve"> </w:t>
      </w:r>
      <w:r w:rsidRPr="00DD7BD1">
        <w:rPr>
          <w:rFonts w:cs="Calibri"/>
          <w:color w:val="auto"/>
          <w:w w:val="110"/>
          <w:szCs w:val="22"/>
        </w:rPr>
        <w:t>to facilitate</w:t>
      </w:r>
      <w:r w:rsidRPr="00DD7BD1">
        <w:rPr>
          <w:rFonts w:cs="Calibri"/>
          <w:color w:val="auto"/>
          <w:spacing w:val="-3"/>
          <w:w w:val="110"/>
          <w:szCs w:val="22"/>
        </w:rPr>
        <w:t xml:space="preserve"> </w:t>
      </w:r>
      <w:r w:rsidRPr="00DD7BD1">
        <w:rPr>
          <w:rFonts w:cs="Calibri"/>
          <w:color w:val="auto"/>
          <w:w w:val="110"/>
          <w:szCs w:val="22"/>
        </w:rPr>
        <w:t>human</w:t>
      </w:r>
      <w:r w:rsidRPr="00DD7BD1">
        <w:rPr>
          <w:rFonts w:cs="Calibri"/>
          <w:color w:val="auto"/>
          <w:spacing w:val="-5"/>
          <w:w w:val="110"/>
          <w:szCs w:val="22"/>
        </w:rPr>
        <w:t xml:space="preserve"> </w:t>
      </w:r>
      <w:r w:rsidRPr="00DD7BD1">
        <w:rPr>
          <w:rFonts w:cs="Calibri"/>
          <w:color w:val="auto"/>
          <w:w w:val="110"/>
          <w:szCs w:val="22"/>
        </w:rPr>
        <w:t>decision-making</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respect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recruitment,</w:t>
      </w:r>
      <w:r w:rsidRPr="00DD7BD1">
        <w:rPr>
          <w:rFonts w:cs="Calibri"/>
          <w:color w:val="auto"/>
          <w:spacing w:val="-5"/>
          <w:w w:val="110"/>
          <w:szCs w:val="22"/>
        </w:rPr>
        <w:t xml:space="preserve"> </w:t>
      </w:r>
      <w:r w:rsidRPr="00DD7BD1">
        <w:rPr>
          <w:rFonts w:cs="Calibri"/>
          <w:color w:val="auto"/>
          <w:w w:val="110"/>
          <w:szCs w:val="22"/>
        </w:rPr>
        <w:t>hiring,</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
          <w:w w:val="110"/>
          <w:szCs w:val="22"/>
        </w:rPr>
        <w:t xml:space="preserve"> </w:t>
      </w:r>
      <w:r w:rsidRPr="00DD7BD1">
        <w:rPr>
          <w:rFonts w:cs="Calibri"/>
          <w:color w:val="auto"/>
          <w:w w:val="110"/>
          <w:szCs w:val="22"/>
        </w:rPr>
        <w:t>promotion</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job</w:t>
      </w:r>
      <w:r w:rsidRPr="00DD7BD1">
        <w:rPr>
          <w:rFonts w:cs="Calibri"/>
          <w:color w:val="auto"/>
          <w:spacing w:val="-3"/>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 xml:space="preserve">or </w:t>
      </w:r>
      <w:r w:rsidRPr="00DD7BD1">
        <w:rPr>
          <w:rFonts w:cs="Calibri"/>
          <w:color w:val="auto"/>
          <w:spacing w:val="-2"/>
          <w:w w:val="115"/>
          <w:szCs w:val="22"/>
        </w:rPr>
        <w:t>employees.</w:t>
      </w:r>
    </w:p>
    <w:p w14:paraId="3BFA49DE"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Prohibited Discrimination Due to Use of an ADS and Reasonable Accommodations</w:t>
      </w:r>
    </w:p>
    <w:p w14:paraId="0BF0ACB5" w14:textId="77777777" w:rsidR="00A85628" w:rsidRPr="00DD7BD1" w:rsidRDefault="00A85628" w:rsidP="00A85628">
      <w:pPr>
        <w:pStyle w:val="BodyText"/>
        <w:spacing w:before="9" w:line="249" w:lineRule="auto"/>
        <w:ind w:right="-90"/>
        <w:jc w:val="left"/>
        <w:rPr>
          <w:rFonts w:cs="Calibri"/>
          <w:color w:val="auto"/>
          <w:szCs w:val="22"/>
        </w:rPr>
      </w:pPr>
      <w:r w:rsidRPr="00DD7BD1">
        <w:rPr>
          <w:rFonts w:cs="Calibri"/>
          <w:color w:val="auto"/>
          <w:w w:val="110"/>
          <w:szCs w:val="22"/>
        </w:rPr>
        <w:t>The regulations</w:t>
      </w:r>
      <w:r w:rsidRPr="00DD7BD1">
        <w:rPr>
          <w:rFonts w:cs="Calibri"/>
          <w:color w:val="auto"/>
          <w:spacing w:val="-1"/>
          <w:w w:val="110"/>
          <w:szCs w:val="22"/>
        </w:rPr>
        <w:t xml:space="preserve"> </w:t>
      </w:r>
      <w:r w:rsidRPr="00DD7BD1">
        <w:rPr>
          <w:rFonts w:cs="Calibri"/>
          <w:color w:val="auto"/>
          <w:w w:val="110"/>
          <w:szCs w:val="22"/>
        </w:rPr>
        <w:t>prohibit</w:t>
      </w:r>
      <w:r w:rsidRPr="00DD7BD1">
        <w:rPr>
          <w:rFonts w:cs="Calibri"/>
          <w:color w:val="auto"/>
          <w:spacing w:val="-2"/>
          <w:w w:val="110"/>
          <w:szCs w:val="22"/>
        </w:rPr>
        <w:t xml:space="preserve"> </w:t>
      </w:r>
      <w:r w:rsidRPr="00DD7BD1">
        <w:rPr>
          <w:rFonts w:cs="Calibri"/>
          <w:color w:val="auto"/>
          <w:w w:val="110"/>
          <w:szCs w:val="22"/>
        </w:rPr>
        <w:t>employers from</w:t>
      </w:r>
      <w:r w:rsidRPr="00DD7BD1">
        <w:rPr>
          <w:rFonts w:cs="Calibri"/>
          <w:color w:val="auto"/>
          <w:spacing w:val="-1"/>
          <w:w w:val="110"/>
          <w:szCs w:val="22"/>
        </w:rPr>
        <w:t xml:space="preserve"> </w:t>
      </w:r>
      <w:r w:rsidRPr="00DD7BD1">
        <w:rPr>
          <w:rFonts w:cs="Calibri"/>
          <w:color w:val="auto"/>
          <w:w w:val="110"/>
          <w:szCs w:val="22"/>
        </w:rPr>
        <w:t>using</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ADS</w:t>
      </w:r>
      <w:r w:rsidRPr="00DD7BD1">
        <w:rPr>
          <w:rFonts w:cs="Calibri"/>
          <w:color w:val="auto"/>
          <w:spacing w:val="-1"/>
          <w:w w:val="110"/>
          <w:szCs w:val="22"/>
        </w:rPr>
        <w:t xml:space="preserve"> </w:t>
      </w:r>
      <w:r w:rsidRPr="00DD7BD1">
        <w:rPr>
          <w:rFonts w:cs="Calibri"/>
          <w:color w:val="auto"/>
          <w:w w:val="110"/>
          <w:szCs w:val="22"/>
        </w:rPr>
        <w:t>or</w:t>
      </w:r>
      <w:r w:rsidRPr="00DD7BD1">
        <w:rPr>
          <w:rFonts w:cs="Calibri"/>
          <w:color w:val="auto"/>
          <w:spacing w:val="-2"/>
          <w:w w:val="110"/>
          <w:szCs w:val="22"/>
        </w:rPr>
        <w:t xml:space="preserve"> </w:t>
      </w:r>
      <w:r w:rsidRPr="00DD7BD1">
        <w:rPr>
          <w:rFonts w:cs="Calibri"/>
          <w:color w:val="auto"/>
          <w:w w:val="110"/>
          <w:szCs w:val="22"/>
        </w:rPr>
        <w:t>selection criteria</w:t>
      </w:r>
      <w:r w:rsidRPr="00DD7BD1">
        <w:rPr>
          <w:rFonts w:cs="Calibri"/>
          <w:color w:val="auto"/>
          <w:spacing w:val="-2"/>
          <w:w w:val="110"/>
          <w:szCs w:val="22"/>
        </w:rPr>
        <w:t xml:space="preserve"> </w:t>
      </w:r>
      <w:r w:rsidRPr="00DD7BD1">
        <w:rPr>
          <w:rFonts w:cs="Calibri"/>
          <w:color w:val="auto"/>
          <w:w w:val="110"/>
          <w:szCs w:val="22"/>
        </w:rPr>
        <w:t>(including a</w:t>
      </w:r>
      <w:r w:rsidRPr="00DD7BD1">
        <w:rPr>
          <w:rFonts w:cs="Calibri"/>
          <w:color w:val="auto"/>
          <w:spacing w:val="-2"/>
          <w:w w:val="110"/>
          <w:szCs w:val="22"/>
        </w:rPr>
        <w:t xml:space="preserve"> </w:t>
      </w:r>
      <w:r w:rsidRPr="00DD7BD1">
        <w:rPr>
          <w:rFonts w:cs="Calibri"/>
          <w:color w:val="auto"/>
          <w:w w:val="110"/>
          <w:szCs w:val="22"/>
        </w:rPr>
        <w:t xml:space="preserve">qualification standard, employment test, or proxy) that </w:t>
      </w:r>
      <w:proofErr w:type="gramStart"/>
      <w:r w:rsidRPr="00DD7BD1">
        <w:rPr>
          <w:rFonts w:cs="Calibri"/>
          <w:color w:val="auto"/>
          <w:w w:val="110"/>
          <w:szCs w:val="22"/>
        </w:rPr>
        <w:t>discriminates</w:t>
      </w:r>
      <w:proofErr w:type="gramEnd"/>
      <w:r w:rsidRPr="00DD7BD1">
        <w:rPr>
          <w:rFonts w:cs="Calibri"/>
          <w:color w:val="auto"/>
          <w:w w:val="110"/>
          <w:szCs w:val="22"/>
        </w:rPr>
        <w:t xml:space="preserve"> against applicants or employees based on protected categories defined</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FEHA.</w:t>
      </w:r>
      <w:r w:rsidRPr="00DD7BD1">
        <w:rPr>
          <w:rFonts w:cs="Calibri"/>
          <w:color w:val="auto"/>
          <w:spacing w:val="-12"/>
          <w:w w:val="110"/>
          <w:szCs w:val="22"/>
        </w:rPr>
        <w:t xml:space="preserve"> </w:t>
      </w:r>
      <w:r w:rsidRPr="00DD7BD1">
        <w:rPr>
          <w:rFonts w:cs="Calibri"/>
          <w:color w:val="auto"/>
          <w:w w:val="120"/>
          <w:szCs w:val="22"/>
        </w:rPr>
        <w:t>§</w:t>
      </w:r>
      <w:r w:rsidRPr="00DD7BD1">
        <w:rPr>
          <w:rFonts w:cs="Calibri"/>
          <w:color w:val="auto"/>
          <w:spacing w:val="-17"/>
          <w:w w:val="120"/>
          <w:szCs w:val="22"/>
        </w:rPr>
        <w:t xml:space="preserve"> </w:t>
      </w:r>
      <w:r w:rsidRPr="00DD7BD1">
        <w:rPr>
          <w:rFonts w:cs="Calibri"/>
          <w:color w:val="auto"/>
          <w:w w:val="110"/>
          <w:szCs w:val="22"/>
        </w:rPr>
        <w:t>11009(f).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term</w:t>
      </w:r>
      <w:r w:rsidRPr="00DD7BD1">
        <w:rPr>
          <w:rFonts w:cs="Calibri"/>
          <w:color w:val="auto"/>
          <w:spacing w:val="-11"/>
          <w:w w:val="110"/>
          <w:szCs w:val="22"/>
        </w:rPr>
        <w:t xml:space="preserve"> </w:t>
      </w:r>
      <w:r w:rsidRPr="00DD7BD1">
        <w:rPr>
          <w:rFonts w:cs="Calibri"/>
          <w:color w:val="auto"/>
          <w:w w:val="110"/>
          <w:szCs w:val="22"/>
        </w:rPr>
        <w:t>“proxy”</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9"/>
          <w:w w:val="110"/>
          <w:szCs w:val="22"/>
        </w:rPr>
        <w:t xml:space="preserve"> </w:t>
      </w:r>
      <w:r w:rsidRPr="00DD7BD1">
        <w:rPr>
          <w:rFonts w:cs="Calibri"/>
          <w:color w:val="auto"/>
          <w:w w:val="110"/>
          <w:szCs w:val="22"/>
        </w:rPr>
        <w:t>newly</w:t>
      </w:r>
      <w:r w:rsidRPr="00DD7BD1">
        <w:rPr>
          <w:rFonts w:cs="Calibri"/>
          <w:color w:val="auto"/>
          <w:spacing w:val="-11"/>
          <w:w w:val="110"/>
          <w:szCs w:val="22"/>
        </w:rPr>
        <w:t xml:space="preserve"> </w:t>
      </w:r>
      <w:r w:rsidRPr="00DD7BD1">
        <w:rPr>
          <w:rFonts w:cs="Calibri"/>
          <w:color w:val="auto"/>
          <w:w w:val="110"/>
          <w:szCs w:val="22"/>
        </w:rPr>
        <w:t>defined</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characteristic</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category</w:t>
      </w:r>
      <w:r w:rsidRPr="00DD7BD1">
        <w:rPr>
          <w:rFonts w:cs="Calibri"/>
          <w:color w:val="auto"/>
          <w:spacing w:val="-9"/>
          <w:w w:val="110"/>
          <w:szCs w:val="22"/>
        </w:rPr>
        <w:t xml:space="preserve"> </w:t>
      </w:r>
      <w:r w:rsidRPr="00DD7BD1">
        <w:rPr>
          <w:rFonts w:cs="Calibri"/>
          <w:color w:val="auto"/>
          <w:w w:val="110"/>
          <w:szCs w:val="22"/>
        </w:rPr>
        <w:t>closely correlated</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7"/>
          <w:w w:val="110"/>
          <w:szCs w:val="22"/>
        </w:rPr>
        <w:t xml:space="preserve"> </w:t>
      </w:r>
      <w:r w:rsidRPr="00DD7BD1">
        <w:rPr>
          <w:rFonts w:cs="Calibri"/>
          <w:color w:val="auto"/>
          <w:w w:val="110"/>
          <w:szCs w:val="22"/>
        </w:rPr>
        <w:t>category</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6"/>
          <w:w w:val="110"/>
          <w:szCs w:val="22"/>
        </w:rPr>
        <w:t xml:space="preserve"> </w:t>
      </w:r>
      <w:r w:rsidRPr="00DD7BD1">
        <w:rPr>
          <w:rFonts w:cs="Calibri"/>
          <w:color w:val="auto"/>
          <w:w w:val="110"/>
          <w:szCs w:val="22"/>
        </w:rPr>
        <w:t>FEHA.</w:t>
      </w:r>
      <w:r w:rsidRPr="00DD7BD1">
        <w:rPr>
          <w:rFonts w:cs="Calibri"/>
          <w:color w:val="auto"/>
          <w:spacing w:val="-17"/>
          <w:w w:val="110"/>
          <w:szCs w:val="22"/>
        </w:rPr>
        <w:t xml:space="preserve"> </w:t>
      </w:r>
      <w:r w:rsidRPr="00DD7BD1">
        <w:rPr>
          <w:rFonts w:cs="Calibri"/>
          <w:color w:val="auto"/>
          <w:w w:val="120"/>
          <w:szCs w:val="22"/>
        </w:rPr>
        <w:t>§</w:t>
      </w:r>
      <w:r w:rsidRPr="00DD7BD1">
        <w:rPr>
          <w:rFonts w:cs="Calibri"/>
          <w:color w:val="auto"/>
          <w:spacing w:val="-19"/>
          <w:w w:val="120"/>
          <w:szCs w:val="22"/>
        </w:rPr>
        <w:t xml:space="preserve"> </w:t>
      </w:r>
      <w:r w:rsidRPr="00DD7BD1">
        <w:rPr>
          <w:rFonts w:cs="Calibri"/>
          <w:color w:val="auto"/>
          <w:w w:val="110"/>
          <w:szCs w:val="22"/>
        </w:rPr>
        <w:t>11008(l).</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further</w:t>
      </w:r>
      <w:r w:rsidRPr="00DD7BD1">
        <w:rPr>
          <w:rFonts w:cs="Calibri"/>
          <w:color w:val="auto"/>
          <w:spacing w:val="-16"/>
          <w:w w:val="110"/>
          <w:szCs w:val="22"/>
        </w:rPr>
        <w:t xml:space="preserve"> </w:t>
      </w:r>
      <w:r w:rsidRPr="00DD7BD1">
        <w:rPr>
          <w:rFonts w:cs="Calibri"/>
          <w:color w:val="auto"/>
          <w:w w:val="110"/>
          <w:szCs w:val="22"/>
        </w:rPr>
        <w:t>make</w:t>
      </w:r>
      <w:r w:rsidRPr="00DD7BD1">
        <w:rPr>
          <w:rFonts w:cs="Calibri"/>
          <w:color w:val="auto"/>
          <w:spacing w:val="-17"/>
          <w:w w:val="110"/>
          <w:szCs w:val="22"/>
        </w:rPr>
        <w:t xml:space="preserve"> </w:t>
      </w:r>
      <w:r w:rsidRPr="00DD7BD1">
        <w:rPr>
          <w:rFonts w:cs="Calibri"/>
          <w:color w:val="auto"/>
          <w:w w:val="110"/>
          <w:szCs w:val="22"/>
        </w:rPr>
        <w:t>clear</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use of facially neutral ADS selection tools that have an “adverse impact” on applicants or employees based on a protected</w:t>
      </w:r>
      <w:r w:rsidRPr="00DD7BD1">
        <w:rPr>
          <w:rFonts w:cs="Calibri"/>
          <w:color w:val="auto"/>
          <w:spacing w:val="-10"/>
          <w:w w:val="110"/>
          <w:szCs w:val="22"/>
        </w:rPr>
        <w:t xml:space="preserve"> </w:t>
      </w:r>
      <w:r w:rsidRPr="00DD7BD1">
        <w:rPr>
          <w:rFonts w:cs="Calibri"/>
          <w:color w:val="auto"/>
          <w:w w:val="110"/>
          <w:szCs w:val="22"/>
        </w:rPr>
        <w:t>characteristic</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8"/>
          <w:w w:val="110"/>
          <w:szCs w:val="22"/>
        </w:rPr>
        <w:t xml:space="preserve"> </w:t>
      </w:r>
      <w:r w:rsidRPr="00DD7BD1">
        <w:rPr>
          <w:rFonts w:cs="Calibri"/>
          <w:color w:val="auto"/>
          <w:w w:val="110"/>
          <w:szCs w:val="22"/>
        </w:rPr>
        <w:t>impermissible</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0"/>
          <w:w w:val="110"/>
          <w:szCs w:val="22"/>
        </w:rPr>
        <w:t xml:space="preserve"> </w:t>
      </w:r>
      <w:r w:rsidRPr="00DD7BD1">
        <w:rPr>
          <w:rFonts w:cs="Calibri"/>
          <w:color w:val="auto"/>
          <w:w w:val="110"/>
          <w:szCs w:val="22"/>
        </w:rPr>
        <w:t>FEHA</w:t>
      </w:r>
      <w:r w:rsidRPr="00DD7BD1">
        <w:rPr>
          <w:rFonts w:cs="Calibri"/>
          <w:color w:val="auto"/>
          <w:spacing w:val="-9"/>
          <w:w w:val="110"/>
          <w:szCs w:val="22"/>
        </w:rPr>
        <w:t xml:space="preserve"> </w:t>
      </w:r>
      <w:r w:rsidRPr="00DD7BD1">
        <w:rPr>
          <w:rFonts w:cs="Calibri"/>
          <w:color w:val="auto"/>
          <w:w w:val="110"/>
          <w:szCs w:val="22"/>
        </w:rPr>
        <w:t>unless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entity</w:t>
      </w:r>
      <w:r w:rsidRPr="00DD7BD1">
        <w:rPr>
          <w:rFonts w:cs="Calibri"/>
          <w:color w:val="auto"/>
          <w:spacing w:val="-7"/>
          <w:w w:val="110"/>
          <w:szCs w:val="22"/>
        </w:rPr>
        <w:t xml:space="preserve"> </w:t>
      </w:r>
      <w:r w:rsidRPr="00DD7BD1">
        <w:rPr>
          <w:rFonts w:cs="Calibri"/>
          <w:color w:val="auto"/>
          <w:w w:val="110"/>
          <w:szCs w:val="22"/>
        </w:rPr>
        <w:t>can</w:t>
      </w:r>
      <w:r w:rsidRPr="00DD7BD1">
        <w:rPr>
          <w:rFonts w:cs="Calibri"/>
          <w:color w:val="auto"/>
          <w:spacing w:val="-9"/>
          <w:w w:val="110"/>
          <w:szCs w:val="22"/>
        </w:rPr>
        <w:t xml:space="preserve"> </w:t>
      </w:r>
      <w:r w:rsidRPr="00DD7BD1">
        <w:rPr>
          <w:rFonts w:cs="Calibri"/>
          <w:color w:val="auto"/>
          <w:w w:val="110"/>
          <w:szCs w:val="22"/>
        </w:rPr>
        <w:t>show</w:t>
      </w:r>
      <w:r w:rsidRPr="00DD7BD1">
        <w:rPr>
          <w:rFonts w:cs="Calibri"/>
          <w:color w:val="auto"/>
          <w:spacing w:val="-11"/>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the selectin</w:t>
      </w:r>
      <w:r w:rsidRPr="00DD7BD1">
        <w:rPr>
          <w:rFonts w:cs="Calibri"/>
          <w:color w:val="auto"/>
          <w:spacing w:val="-2"/>
          <w:w w:val="110"/>
          <w:szCs w:val="22"/>
        </w:rPr>
        <w:t xml:space="preserve"> </w:t>
      </w:r>
      <w:r w:rsidRPr="00DD7BD1">
        <w:rPr>
          <w:rFonts w:cs="Calibri"/>
          <w:color w:val="auto"/>
          <w:w w:val="110"/>
          <w:szCs w:val="22"/>
        </w:rPr>
        <w:t>practice</w:t>
      </w:r>
      <w:r w:rsidRPr="00DD7BD1">
        <w:rPr>
          <w:rFonts w:cs="Calibri"/>
          <w:color w:val="auto"/>
          <w:spacing w:val="-2"/>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“job-related and consistent</w:t>
      </w:r>
      <w:r w:rsidRPr="00DD7BD1">
        <w:rPr>
          <w:rFonts w:cs="Calibri"/>
          <w:color w:val="auto"/>
          <w:spacing w:val="-2"/>
          <w:w w:val="110"/>
          <w:szCs w:val="22"/>
        </w:rPr>
        <w:t xml:space="preserve"> </w:t>
      </w:r>
      <w:r w:rsidRPr="00DD7BD1">
        <w:rPr>
          <w:rFonts w:cs="Calibri"/>
          <w:color w:val="auto"/>
          <w:w w:val="110"/>
          <w:szCs w:val="22"/>
        </w:rPr>
        <w:t>with business</w:t>
      </w:r>
      <w:r w:rsidRPr="00DD7BD1">
        <w:rPr>
          <w:rFonts w:cs="Calibri"/>
          <w:color w:val="auto"/>
          <w:spacing w:val="-1"/>
          <w:w w:val="110"/>
          <w:szCs w:val="22"/>
        </w:rPr>
        <w:t xml:space="preserve"> </w:t>
      </w:r>
      <w:r w:rsidRPr="00DD7BD1">
        <w:rPr>
          <w:rFonts w:cs="Calibri"/>
          <w:color w:val="auto"/>
          <w:w w:val="110"/>
          <w:szCs w:val="22"/>
        </w:rPr>
        <w:t>necessity.”</w:t>
      </w:r>
      <w:r w:rsidRPr="00DD7BD1">
        <w:rPr>
          <w:rFonts w:cs="Calibri"/>
          <w:color w:val="auto"/>
          <w:spacing w:val="-2"/>
          <w:w w:val="110"/>
          <w:szCs w:val="22"/>
        </w:rPr>
        <w:t xml:space="preserve"> </w:t>
      </w:r>
      <w:r w:rsidRPr="00DD7BD1">
        <w:rPr>
          <w:rFonts w:cs="Calibri"/>
          <w:color w:val="auto"/>
          <w:w w:val="120"/>
          <w:szCs w:val="22"/>
        </w:rPr>
        <w:t>§</w:t>
      </w:r>
      <w:r w:rsidRPr="00DD7BD1">
        <w:rPr>
          <w:rFonts w:cs="Calibri"/>
          <w:color w:val="auto"/>
          <w:spacing w:val="-8"/>
          <w:w w:val="120"/>
          <w:szCs w:val="22"/>
        </w:rPr>
        <w:t xml:space="preserve"> </w:t>
      </w:r>
      <w:r w:rsidRPr="00DD7BD1">
        <w:rPr>
          <w:rFonts w:cs="Calibri"/>
          <w:color w:val="auto"/>
          <w:w w:val="110"/>
          <w:szCs w:val="22"/>
        </w:rPr>
        <w:t>11017(e).</w:t>
      </w:r>
      <w:r w:rsidRPr="00DD7BD1">
        <w:rPr>
          <w:rFonts w:cs="Calibri"/>
          <w:color w:val="auto"/>
          <w:spacing w:val="-2"/>
          <w:w w:val="110"/>
          <w:szCs w:val="22"/>
        </w:rPr>
        <w:t xml:space="preserve"> </w:t>
      </w:r>
      <w:r w:rsidRPr="00DD7BD1">
        <w:rPr>
          <w:rFonts w:cs="Calibri"/>
          <w:color w:val="auto"/>
          <w:w w:val="110"/>
          <w:szCs w:val="22"/>
        </w:rPr>
        <w:t>Thus, as with</w:t>
      </w:r>
      <w:r w:rsidRPr="00DD7BD1">
        <w:rPr>
          <w:rFonts w:cs="Calibri"/>
          <w:color w:val="auto"/>
          <w:spacing w:val="-1"/>
          <w:w w:val="110"/>
          <w:szCs w:val="22"/>
        </w:rPr>
        <w:t xml:space="preserve"> </w:t>
      </w:r>
      <w:r w:rsidRPr="00DD7BD1">
        <w:rPr>
          <w:rFonts w:cs="Calibri"/>
          <w:color w:val="auto"/>
          <w:w w:val="110"/>
          <w:szCs w:val="22"/>
        </w:rPr>
        <w:t>other</w:t>
      </w:r>
      <w:r w:rsidRPr="00DD7BD1">
        <w:rPr>
          <w:rFonts w:cs="Calibri"/>
          <w:color w:val="auto"/>
          <w:spacing w:val="-2"/>
          <w:w w:val="110"/>
          <w:szCs w:val="22"/>
        </w:rPr>
        <w:t xml:space="preserve"> </w:t>
      </w:r>
      <w:r w:rsidRPr="00DD7BD1">
        <w:rPr>
          <w:rFonts w:cs="Calibri"/>
          <w:color w:val="auto"/>
          <w:w w:val="110"/>
          <w:szCs w:val="22"/>
        </w:rPr>
        <w:t>selection criteria used in</w:t>
      </w:r>
      <w:r w:rsidRPr="00DD7BD1">
        <w:rPr>
          <w:rFonts w:cs="Calibri"/>
          <w:color w:val="auto"/>
          <w:spacing w:val="-2"/>
          <w:w w:val="110"/>
          <w:szCs w:val="22"/>
        </w:rPr>
        <w:t xml:space="preserve"> </w:t>
      </w:r>
      <w:r w:rsidRPr="00DD7BD1">
        <w:rPr>
          <w:rFonts w:cs="Calibri"/>
          <w:color w:val="auto"/>
          <w:w w:val="110"/>
          <w:szCs w:val="22"/>
        </w:rPr>
        <w:t>making</w:t>
      </w:r>
      <w:r w:rsidRPr="00DD7BD1">
        <w:rPr>
          <w:rFonts w:cs="Calibri"/>
          <w:color w:val="auto"/>
          <w:spacing w:val="-1"/>
          <w:w w:val="110"/>
          <w:szCs w:val="22"/>
        </w:rPr>
        <w:t xml:space="preserve"> </w:t>
      </w:r>
      <w:r w:rsidRPr="00DD7BD1">
        <w:rPr>
          <w:rFonts w:cs="Calibri"/>
          <w:color w:val="auto"/>
          <w:w w:val="110"/>
          <w:szCs w:val="22"/>
        </w:rPr>
        <w:t xml:space="preserve">employment </w:t>
      </w:r>
      <w:r w:rsidRPr="00DD7BD1">
        <w:rPr>
          <w:rFonts w:cs="Calibri"/>
          <w:color w:val="auto"/>
          <w:w w:val="110"/>
          <w:szCs w:val="22"/>
        </w:rPr>
        <w:lastRenderedPageBreak/>
        <w:t>decisions,</w:t>
      </w:r>
      <w:r w:rsidRPr="00DD7BD1">
        <w:rPr>
          <w:rFonts w:cs="Calibri"/>
          <w:color w:val="auto"/>
          <w:spacing w:val="-2"/>
          <w:w w:val="110"/>
          <w:szCs w:val="22"/>
        </w:rPr>
        <w:t xml:space="preserve"> </w:t>
      </w:r>
      <w:r w:rsidRPr="00DD7BD1">
        <w:rPr>
          <w:rFonts w:cs="Calibri"/>
          <w:color w:val="auto"/>
          <w:w w:val="110"/>
          <w:szCs w:val="22"/>
        </w:rPr>
        <w:t>even if an employer does</w:t>
      </w:r>
      <w:r w:rsidRPr="00DD7BD1">
        <w:rPr>
          <w:rFonts w:cs="Calibri"/>
          <w:color w:val="auto"/>
          <w:spacing w:val="-1"/>
          <w:w w:val="110"/>
          <w:szCs w:val="22"/>
        </w:rPr>
        <w:t xml:space="preserve"> </w:t>
      </w:r>
      <w:r w:rsidRPr="00DD7BD1">
        <w:rPr>
          <w:rFonts w:cs="Calibri"/>
          <w:color w:val="auto"/>
          <w:w w:val="110"/>
          <w:szCs w:val="22"/>
        </w:rPr>
        <w:t>not intentionally</w:t>
      </w:r>
      <w:r w:rsidRPr="00DD7BD1">
        <w:rPr>
          <w:rFonts w:cs="Calibri"/>
          <w:color w:val="auto"/>
          <w:spacing w:val="-1"/>
          <w:w w:val="110"/>
          <w:szCs w:val="22"/>
        </w:rPr>
        <w:t xml:space="preserve"> </w:t>
      </w:r>
      <w:r w:rsidRPr="00DD7BD1">
        <w:rPr>
          <w:rFonts w:cs="Calibri"/>
          <w:color w:val="auto"/>
          <w:w w:val="110"/>
          <w:szCs w:val="22"/>
        </w:rPr>
        <w:t>use an</w:t>
      </w:r>
      <w:r w:rsidRPr="00DD7BD1">
        <w:rPr>
          <w:rFonts w:cs="Calibri"/>
          <w:color w:val="auto"/>
          <w:spacing w:val="-2"/>
          <w:w w:val="110"/>
          <w:szCs w:val="22"/>
        </w:rPr>
        <w:t xml:space="preserve"> </w:t>
      </w:r>
      <w:r w:rsidRPr="00DD7BD1">
        <w:rPr>
          <w:rFonts w:cs="Calibri"/>
          <w:color w:val="auto"/>
          <w:w w:val="110"/>
          <w:szCs w:val="22"/>
        </w:rPr>
        <w:t>ADS (including AI)</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discriminate</w:t>
      </w:r>
      <w:r w:rsidRPr="00DD7BD1">
        <w:rPr>
          <w:rFonts w:cs="Calibri"/>
          <w:color w:val="auto"/>
          <w:spacing w:val="-11"/>
          <w:w w:val="110"/>
          <w:szCs w:val="22"/>
        </w:rPr>
        <w:t xml:space="preserve"> </w:t>
      </w:r>
      <w:r w:rsidRPr="00DD7BD1">
        <w:rPr>
          <w:rFonts w:cs="Calibri"/>
          <w:color w:val="auto"/>
          <w:w w:val="110"/>
          <w:szCs w:val="22"/>
        </w:rPr>
        <w:t>among</w:t>
      </w:r>
      <w:r w:rsidRPr="00DD7BD1">
        <w:rPr>
          <w:rFonts w:cs="Calibri"/>
          <w:color w:val="auto"/>
          <w:spacing w:val="-9"/>
          <w:w w:val="110"/>
          <w:szCs w:val="22"/>
        </w:rPr>
        <w:t xml:space="preserve"> </w:t>
      </w:r>
      <w:r w:rsidRPr="00DD7BD1">
        <w:rPr>
          <w:rFonts w:cs="Calibri"/>
          <w:color w:val="auto"/>
          <w:w w:val="110"/>
          <w:szCs w:val="22"/>
        </w:rPr>
        <w:t>applicants</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liable</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violating</w:t>
      </w:r>
      <w:r w:rsidRPr="00DD7BD1">
        <w:rPr>
          <w:rFonts w:cs="Calibri"/>
          <w:color w:val="auto"/>
          <w:spacing w:val="-9"/>
          <w:w w:val="110"/>
          <w:szCs w:val="22"/>
        </w:rPr>
        <w:t xml:space="preserve"> </w:t>
      </w:r>
      <w:r w:rsidRPr="00DD7BD1">
        <w:rPr>
          <w:rFonts w:cs="Calibri"/>
          <w:color w:val="auto"/>
          <w:w w:val="110"/>
          <w:szCs w:val="22"/>
        </w:rPr>
        <w:t>FEHA</w:t>
      </w:r>
      <w:r w:rsidRPr="00DD7BD1">
        <w:rPr>
          <w:rFonts w:cs="Calibri"/>
          <w:color w:val="auto"/>
          <w:spacing w:val="-10"/>
          <w:w w:val="110"/>
          <w:szCs w:val="22"/>
        </w:rPr>
        <w:t xml:space="preserve"> </w:t>
      </w:r>
      <w:r w:rsidRPr="00DD7BD1">
        <w:rPr>
          <w:rFonts w:cs="Calibri"/>
          <w:color w:val="auto"/>
          <w:w w:val="110"/>
          <w:szCs w:val="22"/>
        </w:rPr>
        <w:t>if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ADS</w:t>
      </w:r>
      <w:r w:rsidRPr="00DD7BD1">
        <w:rPr>
          <w:rFonts w:cs="Calibri"/>
          <w:color w:val="auto"/>
          <w:spacing w:val="-9"/>
          <w:w w:val="110"/>
          <w:szCs w:val="22"/>
        </w:rPr>
        <w:t xml:space="preserve"> </w:t>
      </w:r>
      <w:r w:rsidRPr="00DD7BD1">
        <w:rPr>
          <w:rFonts w:cs="Calibri"/>
          <w:color w:val="auto"/>
          <w:w w:val="110"/>
          <w:szCs w:val="22"/>
        </w:rPr>
        <w:t>creates disparate impact.</w:t>
      </w:r>
    </w:p>
    <w:p w14:paraId="2B1E542D" w14:textId="77777777" w:rsidR="00A85628" w:rsidRPr="00DD7BD1" w:rsidRDefault="00A85628" w:rsidP="00A85628">
      <w:pPr>
        <w:pStyle w:val="BodyText"/>
        <w:spacing w:line="249" w:lineRule="auto"/>
        <w:ind w:right="-180"/>
        <w:jc w:val="left"/>
        <w:rPr>
          <w:rFonts w:cs="Calibri"/>
          <w:color w:val="auto"/>
          <w:szCs w:val="22"/>
        </w:rPr>
      </w:pP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caution</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example,</w:t>
      </w:r>
      <w:r w:rsidRPr="00DD7BD1">
        <w:rPr>
          <w:rFonts w:cs="Calibri"/>
          <w:color w:val="auto"/>
          <w:spacing w:val="-8"/>
          <w:w w:val="110"/>
          <w:szCs w:val="22"/>
        </w:rPr>
        <w:t xml:space="preserve"> </w:t>
      </w:r>
      <w:r w:rsidRPr="00DD7BD1">
        <w:rPr>
          <w:rFonts w:cs="Calibri"/>
          <w:color w:val="auto"/>
          <w:w w:val="110"/>
          <w:szCs w:val="22"/>
        </w:rPr>
        <w:t>measures</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applicant’s</w:t>
      </w:r>
      <w:r w:rsidRPr="00DD7BD1">
        <w:rPr>
          <w:rFonts w:cs="Calibri"/>
          <w:color w:val="auto"/>
          <w:spacing w:val="-7"/>
          <w:w w:val="110"/>
          <w:szCs w:val="22"/>
        </w:rPr>
        <w:t xml:space="preserve"> </w:t>
      </w:r>
      <w:r w:rsidRPr="00DD7BD1">
        <w:rPr>
          <w:rFonts w:cs="Calibri"/>
          <w:color w:val="auto"/>
          <w:w w:val="110"/>
          <w:szCs w:val="22"/>
        </w:rPr>
        <w:t>skill,</w:t>
      </w:r>
      <w:r w:rsidRPr="00DD7BD1">
        <w:rPr>
          <w:rFonts w:cs="Calibri"/>
          <w:color w:val="auto"/>
          <w:spacing w:val="-5"/>
          <w:w w:val="110"/>
          <w:szCs w:val="22"/>
        </w:rPr>
        <w:t xml:space="preserve"> </w:t>
      </w:r>
      <w:r w:rsidRPr="00DD7BD1">
        <w:rPr>
          <w:rFonts w:cs="Calibri"/>
          <w:color w:val="auto"/>
          <w:w w:val="110"/>
          <w:szCs w:val="22"/>
        </w:rPr>
        <w:t>dexterity,</w:t>
      </w:r>
      <w:r w:rsidRPr="00DD7BD1">
        <w:rPr>
          <w:rFonts w:cs="Calibri"/>
          <w:color w:val="auto"/>
          <w:spacing w:val="-5"/>
          <w:w w:val="110"/>
          <w:szCs w:val="22"/>
        </w:rPr>
        <w:t xml:space="preserve"> </w:t>
      </w:r>
      <w:r w:rsidRPr="00DD7BD1">
        <w:rPr>
          <w:rFonts w:cs="Calibri"/>
          <w:color w:val="auto"/>
          <w:w w:val="110"/>
          <w:szCs w:val="22"/>
        </w:rPr>
        <w:t>reaction time, and/or other</w:t>
      </w:r>
      <w:r w:rsidRPr="00DD7BD1">
        <w:rPr>
          <w:rFonts w:cs="Calibri"/>
          <w:color w:val="auto"/>
          <w:spacing w:val="-1"/>
          <w:w w:val="110"/>
          <w:szCs w:val="22"/>
        </w:rPr>
        <w:t xml:space="preserve"> </w:t>
      </w:r>
      <w:r w:rsidRPr="00DD7BD1">
        <w:rPr>
          <w:rFonts w:cs="Calibri"/>
          <w:color w:val="auto"/>
          <w:w w:val="110"/>
          <w:szCs w:val="22"/>
        </w:rPr>
        <w:t>abilities or characteristics may</w:t>
      </w:r>
      <w:r w:rsidRPr="00DD7BD1">
        <w:rPr>
          <w:rFonts w:cs="Calibri"/>
          <w:color w:val="auto"/>
          <w:spacing w:val="-1"/>
          <w:w w:val="110"/>
          <w:szCs w:val="22"/>
        </w:rPr>
        <w:t xml:space="preserve"> </w:t>
      </w:r>
      <w:r w:rsidRPr="00DD7BD1">
        <w:rPr>
          <w:rFonts w:cs="Calibri"/>
          <w:color w:val="auto"/>
          <w:w w:val="110"/>
          <w:szCs w:val="22"/>
        </w:rPr>
        <w:t>discriminate against</w:t>
      </w:r>
      <w:r w:rsidRPr="00DD7BD1">
        <w:rPr>
          <w:rFonts w:cs="Calibri"/>
          <w:color w:val="auto"/>
          <w:spacing w:val="-1"/>
          <w:w w:val="110"/>
          <w:szCs w:val="22"/>
        </w:rPr>
        <w:t xml:space="preserve"> </w:t>
      </w:r>
      <w:r w:rsidRPr="00DD7BD1">
        <w:rPr>
          <w:rFonts w:cs="Calibri"/>
          <w:color w:val="auto"/>
          <w:w w:val="110"/>
          <w:szCs w:val="22"/>
        </w:rPr>
        <w:t>individuals with certain disability or other protected</w:t>
      </w:r>
      <w:r w:rsidRPr="00DD7BD1">
        <w:rPr>
          <w:rFonts w:cs="Calibri"/>
          <w:color w:val="auto"/>
          <w:spacing w:val="-7"/>
          <w:w w:val="110"/>
          <w:szCs w:val="22"/>
        </w:rPr>
        <w:t xml:space="preserve"> </w:t>
      </w:r>
      <w:r w:rsidRPr="00DD7BD1">
        <w:rPr>
          <w:rFonts w:cs="Calibri"/>
          <w:color w:val="auto"/>
          <w:w w:val="110"/>
          <w:szCs w:val="22"/>
        </w:rPr>
        <w:t>characteristics.</w:t>
      </w:r>
      <w:r w:rsidRPr="00DD7BD1">
        <w:rPr>
          <w:rFonts w:cs="Calibri"/>
          <w:color w:val="auto"/>
          <w:spacing w:val="-5"/>
          <w:w w:val="110"/>
          <w:szCs w:val="22"/>
        </w:rPr>
        <w:t xml:space="preserve"> </w:t>
      </w:r>
      <w:r w:rsidRPr="00DD7BD1">
        <w:rPr>
          <w:rFonts w:cs="Calibri"/>
          <w:color w:val="auto"/>
          <w:w w:val="120"/>
          <w:szCs w:val="22"/>
        </w:rPr>
        <w:t>§</w:t>
      </w:r>
      <w:r w:rsidRPr="00DD7BD1">
        <w:rPr>
          <w:rFonts w:cs="Calibri"/>
          <w:color w:val="auto"/>
          <w:spacing w:val="-11"/>
          <w:w w:val="120"/>
          <w:szCs w:val="22"/>
        </w:rPr>
        <w:t xml:space="preserve"> </w:t>
      </w:r>
      <w:r w:rsidRPr="00DD7BD1">
        <w:rPr>
          <w:rFonts w:cs="Calibri"/>
          <w:color w:val="auto"/>
          <w:w w:val="110"/>
          <w:szCs w:val="22"/>
        </w:rPr>
        <w:t>11016(c)(5).</w:t>
      </w:r>
      <w:r w:rsidRPr="00DD7BD1">
        <w:rPr>
          <w:rFonts w:cs="Calibri"/>
          <w:color w:val="auto"/>
          <w:spacing w:val="-8"/>
          <w:w w:val="110"/>
          <w:szCs w:val="22"/>
        </w:rPr>
        <w:t xml:space="preserve"> </w:t>
      </w:r>
      <w:r w:rsidRPr="00DD7BD1">
        <w:rPr>
          <w:rFonts w:cs="Calibri"/>
          <w:color w:val="auto"/>
          <w:w w:val="110"/>
          <w:szCs w:val="22"/>
        </w:rPr>
        <w:t>Similarly,</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example,</w:t>
      </w:r>
      <w:r w:rsidRPr="00DD7BD1">
        <w:rPr>
          <w:rFonts w:cs="Calibri"/>
          <w:color w:val="auto"/>
          <w:spacing w:val="-4"/>
          <w:w w:val="110"/>
          <w:szCs w:val="22"/>
        </w:rPr>
        <w:t xml:space="preserve"> </w:t>
      </w:r>
      <w:r w:rsidRPr="00DD7BD1">
        <w:rPr>
          <w:rFonts w:cs="Calibri"/>
          <w:color w:val="auto"/>
          <w:w w:val="110"/>
          <w:szCs w:val="22"/>
        </w:rPr>
        <w:t>analyzes</w:t>
      </w:r>
      <w:r w:rsidRPr="00DD7BD1">
        <w:rPr>
          <w:rFonts w:cs="Calibri"/>
          <w:color w:val="auto"/>
          <w:spacing w:val="-6"/>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tone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voice, facial</w:t>
      </w:r>
      <w:r w:rsidRPr="00DD7BD1">
        <w:rPr>
          <w:rFonts w:cs="Calibri"/>
          <w:color w:val="auto"/>
          <w:spacing w:val="-8"/>
          <w:w w:val="110"/>
          <w:szCs w:val="22"/>
        </w:rPr>
        <w:t xml:space="preserve"> </w:t>
      </w:r>
      <w:r w:rsidRPr="00DD7BD1">
        <w:rPr>
          <w:rFonts w:cs="Calibri"/>
          <w:color w:val="auto"/>
          <w:w w:val="110"/>
          <w:szCs w:val="22"/>
        </w:rPr>
        <w:t>expressions,</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t>
      </w:r>
      <w:r w:rsidRPr="00DD7BD1">
        <w:rPr>
          <w:rFonts w:cs="Calibri"/>
          <w:color w:val="auto"/>
          <w:spacing w:val="-6"/>
          <w:w w:val="110"/>
          <w:szCs w:val="22"/>
        </w:rPr>
        <w:t xml:space="preserve"> </w:t>
      </w:r>
      <w:r w:rsidRPr="00DD7BD1">
        <w:rPr>
          <w:rFonts w:cs="Calibri"/>
          <w:color w:val="auto"/>
          <w:w w:val="110"/>
          <w:szCs w:val="22"/>
        </w:rPr>
        <w:t>physical</w:t>
      </w:r>
      <w:r w:rsidRPr="00DD7BD1">
        <w:rPr>
          <w:rFonts w:cs="Calibri"/>
          <w:color w:val="auto"/>
          <w:spacing w:val="-8"/>
          <w:w w:val="110"/>
          <w:szCs w:val="22"/>
        </w:rPr>
        <w:t xml:space="preserve"> </w:t>
      </w:r>
      <w:r w:rsidRPr="00DD7BD1">
        <w:rPr>
          <w:rFonts w:cs="Calibri"/>
          <w:color w:val="auto"/>
          <w:w w:val="110"/>
          <w:szCs w:val="22"/>
        </w:rPr>
        <w:t>characteristics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behavior</w:t>
      </w:r>
      <w:r w:rsidRPr="00DD7BD1">
        <w:rPr>
          <w:rFonts w:cs="Calibri"/>
          <w:color w:val="auto"/>
          <w:spacing w:val="-10"/>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discriminate</w:t>
      </w:r>
      <w:r w:rsidRPr="00DD7BD1">
        <w:rPr>
          <w:rFonts w:cs="Calibri"/>
          <w:color w:val="auto"/>
          <w:spacing w:val="-8"/>
          <w:w w:val="110"/>
          <w:szCs w:val="22"/>
        </w:rPr>
        <w:t xml:space="preserve"> </w:t>
      </w:r>
      <w:r w:rsidRPr="00DD7BD1">
        <w:rPr>
          <w:rFonts w:cs="Calibri"/>
          <w:color w:val="auto"/>
          <w:w w:val="110"/>
          <w:szCs w:val="22"/>
        </w:rPr>
        <w:t>against</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6"/>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spacing w:val="-2"/>
          <w:w w:val="110"/>
          <w:szCs w:val="22"/>
        </w:rPr>
        <w:t xml:space="preserve">applicants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race,</w:t>
      </w:r>
      <w:r w:rsidRPr="00DD7BD1">
        <w:rPr>
          <w:rFonts w:cs="Calibri"/>
          <w:color w:val="auto"/>
          <w:spacing w:val="-16"/>
          <w:w w:val="110"/>
          <w:szCs w:val="22"/>
        </w:rPr>
        <w:t xml:space="preserve"> </w:t>
      </w:r>
      <w:r w:rsidRPr="00DD7BD1">
        <w:rPr>
          <w:rFonts w:cs="Calibri"/>
          <w:color w:val="auto"/>
          <w:w w:val="110"/>
          <w:szCs w:val="22"/>
        </w:rPr>
        <w:t>national</w:t>
      </w:r>
      <w:r w:rsidRPr="00DD7BD1">
        <w:rPr>
          <w:rFonts w:cs="Calibri"/>
          <w:color w:val="auto"/>
          <w:spacing w:val="-15"/>
          <w:w w:val="110"/>
          <w:szCs w:val="22"/>
        </w:rPr>
        <w:t xml:space="preserve"> </w:t>
      </w:r>
      <w:r w:rsidRPr="00DD7BD1">
        <w:rPr>
          <w:rFonts w:cs="Calibri"/>
          <w:color w:val="auto"/>
          <w:w w:val="110"/>
          <w:szCs w:val="22"/>
        </w:rPr>
        <w:t>origin,</w:t>
      </w:r>
      <w:r w:rsidRPr="00DD7BD1">
        <w:rPr>
          <w:rFonts w:cs="Calibri"/>
          <w:color w:val="auto"/>
          <w:spacing w:val="-14"/>
          <w:w w:val="110"/>
          <w:szCs w:val="22"/>
        </w:rPr>
        <w:t xml:space="preserve"> </w:t>
      </w:r>
      <w:r w:rsidRPr="00DD7BD1">
        <w:rPr>
          <w:rFonts w:cs="Calibri"/>
          <w:color w:val="auto"/>
          <w:w w:val="110"/>
          <w:szCs w:val="22"/>
        </w:rPr>
        <w:t>gender,</w:t>
      </w:r>
      <w:r w:rsidRPr="00DD7BD1">
        <w:rPr>
          <w:rFonts w:cs="Calibri"/>
          <w:color w:val="auto"/>
          <w:spacing w:val="-17"/>
          <w:w w:val="110"/>
          <w:szCs w:val="22"/>
        </w:rPr>
        <w:t xml:space="preserve"> </w:t>
      </w:r>
      <w:r w:rsidRPr="00DD7BD1">
        <w:rPr>
          <w:rFonts w:cs="Calibri"/>
          <w:color w:val="auto"/>
          <w:w w:val="110"/>
          <w:szCs w:val="22"/>
        </w:rPr>
        <w:t>disability,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characteristics.</w:t>
      </w:r>
      <w:r w:rsidRPr="00DD7BD1">
        <w:rPr>
          <w:rFonts w:cs="Calibri"/>
          <w:color w:val="auto"/>
          <w:spacing w:val="-15"/>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11016(d)(1).</w:t>
      </w:r>
      <w:r w:rsidRPr="00DD7BD1">
        <w:rPr>
          <w:rFonts w:cs="Calibri"/>
          <w:color w:val="auto"/>
          <w:spacing w:val="-14"/>
          <w:w w:val="110"/>
          <w:szCs w:val="22"/>
        </w:rPr>
        <w:t xml:space="preserve"> </w:t>
      </w:r>
      <w:r w:rsidRPr="00DD7BD1">
        <w:rPr>
          <w:rFonts w:cs="Calibri"/>
          <w:color w:val="auto"/>
          <w:w w:val="110"/>
          <w:szCs w:val="22"/>
        </w:rPr>
        <w:t>Accordingly,</w:t>
      </w:r>
      <w:r w:rsidRPr="00DD7BD1">
        <w:rPr>
          <w:rFonts w:cs="Calibri"/>
          <w:color w:val="auto"/>
          <w:spacing w:val="-15"/>
          <w:w w:val="110"/>
          <w:szCs w:val="22"/>
        </w:rPr>
        <w:t xml:space="preserve"> </w:t>
      </w:r>
      <w:r w:rsidRPr="00DD7BD1">
        <w:rPr>
          <w:rFonts w:cs="Calibri"/>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Anti-Bias Testing as Affirmative Defense</w:t>
      </w:r>
    </w:p>
    <w:p w14:paraId="434B9DFB" w14:textId="77777777" w:rsidR="00A85628" w:rsidRPr="00DD7BD1" w:rsidRDefault="00A85628" w:rsidP="00A85628">
      <w:pPr>
        <w:pStyle w:val="BodyText"/>
        <w:spacing w:before="9" w:line="247" w:lineRule="auto"/>
        <w:jc w:val="left"/>
        <w:rPr>
          <w:rFonts w:cs="Calibri"/>
          <w:color w:val="auto"/>
          <w:szCs w:val="22"/>
        </w:rPr>
      </w:pP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defend</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discrimination</w:t>
      </w:r>
      <w:r w:rsidRPr="00DD7BD1">
        <w:rPr>
          <w:rFonts w:cs="Calibri"/>
          <w:color w:val="auto"/>
          <w:spacing w:val="-4"/>
          <w:w w:val="110"/>
          <w:szCs w:val="22"/>
        </w:rPr>
        <w:t xml:space="preserve"> </w:t>
      </w:r>
      <w:r w:rsidRPr="00DD7BD1">
        <w:rPr>
          <w:rFonts w:cs="Calibri"/>
          <w:color w:val="auto"/>
          <w:w w:val="110"/>
          <w:szCs w:val="22"/>
        </w:rPr>
        <w:t>claim</w:t>
      </w:r>
      <w:r w:rsidRPr="00DD7BD1">
        <w:rPr>
          <w:rFonts w:cs="Calibri"/>
          <w:color w:val="auto"/>
          <w:spacing w:val="-7"/>
          <w:w w:val="110"/>
          <w:szCs w:val="22"/>
        </w:rPr>
        <w:t xml:space="preserve"> </w:t>
      </w:r>
      <w:r w:rsidRPr="00DD7BD1">
        <w:rPr>
          <w:rFonts w:cs="Calibri"/>
          <w:color w:val="auto"/>
          <w:w w:val="110"/>
          <w:szCs w:val="22"/>
        </w:rPr>
        <w:t>based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4"/>
          <w:w w:val="110"/>
          <w:szCs w:val="22"/>
        </w:rPr>
        <w:t xml:space="preserve"> </w:t>
      </w:r>
      <w:r w:rsidRPr="00DD7BD1">
        <w:rPr>
          <w:rFonts w:cs="Calibri"/>
          <w:color w:val="auto"/>
          <w:w w:val="110"/>
          <w:szCs w:val="22"/>
        </w:rPr>
        <w:t>can show</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performed</w:t>
      </w:r>
      <w:r w:rsidRPr="00DD7BD1">
        <w:rPr>
          <w:rFonts w:cs="Calibri"/>
          <w:color w:val="auto"/>
          <w:spacing w:val="-8"/>
          <w:w w:val="110"/>
          <w:szCs w:val="22"/>
        </w:rPr>
        <w:t xml:space="preserve"> </w:t>
      </w:r>
      <w:r w:rsidRPr="00DD7BD1">
        <w:rPr>
          <w:rFonts w:cs="Calibri"/>
          <w:color w:val="auto"/>
          <w:w w:val="110"/>
          <w:szCs w:val="22"/>
        </w:rPr>
        <w:t>“anti-bias</w:t>
      </w:r>
      <w:r w:rsidRPr="00DD7BD1">
        <w:rPr>
          <w:rFonts w:cs="Calibri"/>
          <w:color w:val="auto"/>
          <w:spacing w:val="-8"/>
          <w:w w:val="110"/>
          <w:szCs w:val="22"/>
        </w:rPr>
        <w:t xml:space="preserve"> </w:t>
      </w:r>
      <w:r w:rsidRPr="00DD7BD1">
        <w:rPr>
          <w:rFonts w:cs="Calibri"/>
          <w:color w:val="auto"/>
          <w:w w:val="110"/>
          <w:szCs w:val="22"/>
        </w:rPr>
        <w:t>testing</w:t>
      </w:r>
      <w:r w:rsidRPr="00DD7BD1">
        <w:rPr>
          <w:rFonts w:cs="Calibri"/>
          <w:color w:val="auto"/>
          <w:spacing w:val="-10"/>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similar</w:t>
      </w:r>
      <w:r w:rsidRPr="00DD7BD1">
        <w:rPr>
          <w:rFonts w:cs="Calibri"/>
          <w:color w:val="auto"/>
          <w:spacing w:val="-9"/>
          <w:w w:val="110"/>
          <w:szCs w:val="22"/>
        </w:rPr>
        <w:t xml:space="preserve"> </w:t>
      </w:r>
      <w:r w:rsidRPr="00DD7BD1">
        <w:rPr>
          <w:rFonts w:cs="Calibri"/>
          <w:color w:val="auto"/>
          <w:w w:val="110"/>
          <w:szCs w:val="22"/>
        </w:rPr>
        <w:t>proactive</w:t>
      </w:r>
      <w:r w:rsidRPr="00DD7BD1">
        <w:rPr>
          <w:rFonts w:cs="Calibri"/>
          <w:color w:val="auto"/>
          <w:spacing w:val="-11"/>
          <w:w w:val="110"/>
          <w:szCs w:val="22"/>
        </w:rPr>
        <w:t xml:space="preserve"> </w:t>
      </w:r>
      <w:r w:rsidRPr="00DD7BD1">
        <w:rPr>
          <w:rFonts w:cs="Calibri"/>
          <w:color w:val="auto"/>
          <w:w w:val="110"/>
          <w:szCs w:val="22"/>
        </w:rPr>
        <w:t>efforts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avoid</w:t>
      </w:r>
      <w:r w:rsidRPr="00DD7BD1">
        <w:rPr>
          <w:rFonts w:cs="Calibri"/>
          <w:color w:val="auto"/>
          <w:spacing w:val="-8"/>
          <w:w w:val="110"/>
          <w:szCs w:val="22"/>
        </w:rPr>
        <w:t xml:space="preserve"> </w:t>
      </w:r>
      <w:r w:rsidRPr="00DD7BD1">
        <w:rPr>
          <w:rFonts w:cs="Calibri"/>
          <w:color w:val="auto"/>
          <w:w w:val="110"/>
          <w:szCs w:val="22"/>
        </w:rPr>
        <w:t>unlawful</w:t>
      </w:r>
      <w:r w:rsidRPr="00DD7BD1">
        <w:rPr>
          <w:rFonts w:cs="Calibri"/>
          <w:color w:val="auto"/>
          <w:spacing w:val="-12"/>
          <w:w w:val="110"/>
          <w:szCs w:val="22"/>
        </w:rPr>
        <w:t xml:space="preserve"> </w:t>
      </w:r>
      <w:r w:rsidRPr="00DD7BD1">
        <w:rPr>
          <w:rFonts w:cs="Calibri"/>
          <w:color w:val="auto"/>
          <w:w w:val="110"/>
          <w:szCs w:val="22"/>
        </w:rPr>
        <w:t>discrimination”</w:t>
      </w:r>
      <w:r w:rsidRPr="00DD7BD1">
        <w:rPr>
          <w:rFonts w:cs="Calibri"/>
          <w:color w:val="auto"/>
          <w:spacing w:val="-10"/>
          <w:w w:val="110"/>
          <w:szCs w:val="22"/>
        </w:rPr>
        <w:t xml:space="preserve"> </w:t>
      </w:r>
      <w:r w:rsidRPr="00DD7BD1">
        <w:rPr>
          <w:rFonts w:cs="Calibri"/>
          <w:color w:val="auto"/>
          <w:w w:val="110"/>
          <w:szCs w:val="22"/>
        </w:rPr>
        <w:t>prior</w:t>
      </w:r>
      <w:r w:rsidRPr="00DD7BD1">
        <w:rPr>
          <w:rFonts w:cs="Calibri"/>
          <w:color w:val="auto"/>
          <w:spacing w:val="-12"/>
          <w:w w:val="110"/>
          <w:szCs w:val="22"/>
        </w:rPr>
        <w:t xml:space="preserve"> </w:t>
      </w:r>
      <w:r w:rsidRPr="00DD7BD1">
        <w:rPr>
          <w:rFonts w:cs="Calibri"/>
          <w:color w:val="auto"/>
          <w:w w:val="110"/>
          <w:szCs w:val="22"/>
        </w:rPr>
        <w:t xml:space="preserve">to and after adopting an ADS. </w:t>
      </w:r>
      <w:r w:rsidRPr="00DD7BD1">
        <w:rPr>
          <w:rFonts w:cs="Calibri"/>
          <w:color w:val="auto"/>
          <w:w w:val="120"/>
          <w:szCs w:val="22"/>
        </w:rPr>
        <w:t>§</w:t>
      </w:r>
      <w:r w:rsidRPr="00DD7BD1">
        <w:rPr>
          <w:rFonts w:cs="Calibri"/>
          <w:color w:val="auto"/>
          <w:spacing w:val="-1"/>
          <w:w w:val="120"/>
          <w:szCs w:val="22"/>
        </w:rPr>
        <w:t xml:space="preserve"> </w:t>
      </w:r>
      <w:r w:rsidRPr="00DD7BD1">
        <w:rPr>
          <w:rFonts w:cs="Calibri"/>
          <w:color w:val="auto"/>
          <w:w w:val="110"/>
          <w:szCs w:val="22"/>
        </w:rPr>
        <w:t>11009(f). The regulations identify six relevant aspects of such testing, including the quality,</w:t>
      </w:r>
      <w:r w:rsidRPr="00DD7BD1">
        <w:rPr>
          <w:rFonts w:cs="Calibri"/>
          <w:color w:val="auto"/>
          <w:spacing w:val="-3"/>
          <w:w w:val="110"/>
          <w:szCs w:val="22"/>
        </w:rPr>
        <w:t xml:space="preserve"> </w:t>
      </w:r>
      <w:r w:rsidRPr="00DD7BD1">
        <w:rPr>
          <w:rFonts w:cs="Calibri"/>
          <w:color w:val="auto"/>
          <w:w w:val="110"/>
          <w:szCs w:val="22"/>
        </w:rPr>
        <w:t>efficacy,</w:t>
      </w:r>
      <w:r w:rsidRPr="00DD7BD1">
        <w:rPr>
          <w:rFonts w:cs="Calibri"/>
          <w:color w:val="auto"/>
          <w:spacing w:val="-3"/>
          <w:w w:val="110"/>
          <w:szCs w:val="22"/>
        </w:rPr>
        <w:t xml:space="preserve"> </w:t>
      </w:r>
      <w:r w:rsidRPr="00DD7BD1">
        <w:rPr>
          <w:rFonts w:cs="Calibri"/>
          <w:color w:val="auto"/>
          <w:w w:val="110"/>
          <w:szCs w:val="22"/>
        </w:rPr>
        <w:t>recency,</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scope</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such</w:t>
      </w:r>
      <w:r w:rsidRPr="00DD7BD1">
        <w:rPr>
          <w:rFonts w:cs="Calibri"/>
          <w:color w:val="auto"/>
          <w:spacing w:val="-1"/>
          <w:w w:val="110"/>
          <w:szCs w:val="22"/>
        </w:rPr>
        <w:t xml:space="preserve"> </w:t>
      </w:r>
      <w:r w:rsidRPr="00DD7BD1">
        <w:rPr>
          <w:rFonts w:cs="Calibri"/>
          <w:color w:val="auto"/>
          <w:w w:val="110"/>
          <w:szCs w:val="22"/>
        </w:rPr>
        <w:t>testing,</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well</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results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testing</w:t>
      </w:r>
      <w:r w:rsidRPr="00DD7BD1">
        <w:rPr>
          <w:rFonts w:cs="Calibri"/>
          <w:color w:val="auto"/>
          <w:spacing w:val="-4"/>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due</w:t>
      </w:r>
      <w:r w:rsidRPr="00DD7BD1">
        <w:rPr>
          <w:rFonts w:cs="Calibri"/>
          <w:color w:val="auto"/>
          <w:spacing w:val="-5"/>
          <w:w w:val="110"/>
          <w:szCs w:val="22"/>
        </w:rPr>
        <w:t xml:space="preserve"> </w:t>
      </w:r>
      <w:r w:rsidRPr="00DD7BD1">
        <w:rPr>
          <w:rFonts w:cs="Calibri"/>
          <w:color w:val="auto"/>
          <w:w w:val="110"/>
          <w:szCs w:val="22"/>
        </w:rPr>
        <w:t>diligence</w:t>
      </w:r>
      <w:r w:rsidRPr="00DD7BD1">
        <w:rPr>
          <w:rFonts w:cs="Calibri"/>
          <w:color w:val="auto"/>
          <w:spacing w:val="-5"/>
          <w:w w:val="110"/>
          <w:szCs w:val="22"/>
        </w:rPr>
        <w:t xml:space="preserve"> </w:t>
      </w:r>
      <w:r w:rsidRPr="00DD7BD1">
        <w:rPr>
          <w:rFonts w:cs="Calibri"/>
          <w:color w:val="auto"/>
          <w:w w:val="110"/>
          <w:szCs w:val="22"/>
        </w:rPr>
        <w:t>and the</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response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r w:rsidRPr="00DD7BD1">
        <w:rPr>
          <w:rFonts w:cs="Calibri"/>
          <w:color w:val="auto"/>
          <w:spacing w:val="-11"/>
          <w:w w:val="110"/>
          <w:szCs w:val="22"/>
        </w:rPr>
        <w:t xml:space="preserve"> </w:t>
      </w:r>
      <w:r w:rsidRPr="00DD7BD1">
        <w:rPr>
          <w:rFonts w:cs="Calibri"/>
          <w:color w:val="auto"/>
          <w:w w:val="110"/>
          <w:szCs w:val="22"/>
        </w:rPr>
        <w:t>(e.g.,</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how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responded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p>
    <w:p w14:paraId="46F88D23" w14:textId="77777777" w:rsidR="00A85628" w:rsidRPr="00DD7BD1" w:rsidRDefault="00A85628" w:rsidP="00A85628">
      <w:pPr>
        <w:pStyle w:val="Heading4"/>
        <w:spacing w:before="201"/>
        <w:ind w:right="-90"/>
        <w:rPr>
          <w:rFonts w:ascii="Calibri" w:hAnsi="Calibri" w:cs="Calibri"/>
          <w:color w:val="auto"/>
        </w:rPr>
      </w:pPr>
      <w:r w:rsidRPr="00DD7BD1">
        <w:rPr>
          <w:rFonts w:ascii="Calibri" w:eastAsia="Times New Roman" w:hAnsi="Calibri" w:cs="Calibri"/>
          <w:b/>
          <w:bCs/>
          <w:i w:val="0"/>
          <w:iCs w:val="0"/>
          <w:color w:val="auto"/>
        </w:rPr>
        <w:t>Extended Record Retention Requirements</w:t>
      </w:r>
    </w:p>
    <w:p w14:paraId="484B4138" w14:textId="77777777" w:rsidR="00A85628" w:rsidRPr="00DD7BD1" w:rsidRDefault="00A85628" w:rsidP="00A85628">
      <w:pPr>
        <w:pStyle w:val="BodyText"/>
        <w:spacing w:before="9" w:line="247" w:lineRule="auto"/>
        <w:ind w:right="-90"/>
        <w:jc w:val="left"/>
        <w:rPr>
          <w:rFonts w:cs="Calibri"/>
          <w:color w:val="auto"/>
          <w:szCs w:val="22"/>
        </w:rPr>
      </w:pPr>
      <w:r w:rsidRPr="00DD7BD1">
        <w:rPr>
          <w:rFonts w:cs="Calibri"/>
          <w:color w:val="auto"/>
          <w:spacing w:val="-2"/>
          <w:w w:val="110"/>
          <w:szCs w:val="22"/>
        </w:rPr>
        <w:t>The</w:t>
      </w:r>
      <w:r w:rsidRPr="00DD7BD1">
        <w:rPr>
          <w:rFonts w:cs="Calibri"/>
          <w:color w:val="auto"/>
          <w:spacing w:val="-7"/>
          <w:w w:val="110"/>
          <w:szCs w:val="22"/>
        </w:rPr>
        <w:t xml:space="preserve"> </w:t>
      </w:r>
      <w:r w:rsidRPr="00DD7BD1">
        <w:rPr>
          <w:rFonts w:cs="Calibri"/>
          <w:color w:val="auto"/>
          <w:spacing w:val="-2"/>
          <w:w w:val="110"/>
          <w:szCs w:val="22"/>
        </w:rPr>
        <w:t>regulations</w:t>
      </w:r>
      <w:r w:rsidRPr="00DD7BD1">
        <w:rPr>
          <w:rFonts w:cs="Calibri"/>
          <w:color w:val="auto"/>
          <w:spacing w:val="-7"/>
          <w:w w:val="110"/>
          <w:szCs w:val="22"/>
        </w:rPr>
        <w:t xml:space="preserve"> </w:t>
      </w:r>
      <w:r w:rsidRPr="00DD7BD1">
        <w:rPr>
          <w:rFonts w:cs="Calibri"/>
          <w:color w:val="auto"/>
          <w:spacing w:val="-2"/>
          <w:w w:val="110"/>
          <w:szCs w:val="22"/>
        </w:rPr>
        <w:t>were</w:t>
      </w:r>
      <w:r w:rsidRPr="00DD7BD1">
        <w:rPr>
          <w:rFonts w:cs="Calibri"/>
          <w:color w:val="auto"/>
          <w:spacing w:val="-9"/>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amended</w:t>
      </w:r>
      <w:r w:rsidRPr="00DD7BD1">
        <w:rPr>
          <w:rFonts w:cs="Calibri"/>
          <w:color w:val="auto"/>
          <w:spacing w:val="-10"/>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require</w:t>
      </w:r>
      <w:r w:rsidRPr="00DD7BD1">
        <w:rPr>
          <w:rFonts w:cs="Calibri"/>
          <w:color w:val="auto"/>
          <w:spacing w:val="-10"/>
          <w:w w:val="110"/>
          <w:szCs w:val="22"/>
        </w:rPr>
        <w:t xml:space="preserve"> </w:t>
      </w:r>
      <w:r w:rsidRPr="00DD7BD1">
        <w:rPr>
          <w:rFonts w:cs="Calibri"/>
          <w:color w:val="auto"/>
          <w:spacing w:val="-2"/>
          <w:w w:val="110"/>
          <w:szCs w:val="22"/>
        </w:rPr>
        <w:t>employers</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7"/>
          <w:w w:val="110"/>
          <w:szCs w:val="22"/>
        </w:rPr>
        <w:t xml:space="preserve"> </w:t>
      </w:r>
      <w:r w:rsidRPr="00DD7BD1">
        <w:rPr>
          <w:rFonts w:cs="Calibri"/>
          <w:color w:val="auto"/>
          <w:spacing w:val="-2"/>
          <w:w w:val="110"/>
          <w:szCs w:val="22"/>
        </w:rPr>
        <w:t>covered</w:t>
      </w:r>
      <w:r w:rsidRPr="00DD7BD1">
        <w:rPr>
          <w:rFonts w:cs="Calibri"/>
          <w:color w:val="auto"/>
          <w:spacing w:val="-10"/>
          <w:w w:val="110"/>
          <w:szCs w:val="22"/>
        </w:rPr>
        <w:t xml:space="preserve"> </w:t>
      </w:r>
      <w:r w:rsidRPr="00DD7BD1">
        <w:rPr>
          <w:rFonts w:cs="Calibri"/>
          <w:color w:val="auto"/>
          <w:spacing w:val="-2"/>
          <w:w w:val="110"/>
          <w:szCs w:val="22"/>
        </w:rPr>
        <w:t>entities</w:t>
      </w:r>
      <w:r w:rsidRPr="00DD7BD1">
        <w:rPr>
          <w:rFonts w:cs="Calibri"/>
          <w:color w:val="auto"/>
          <w:spacing w:val="-6"/>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preserve</w:t>
      </w:r>
      <w:r w:rsidRPr="00DD7BD1">
        <w:rPr>
          <w:rFonts w:cs="Calibri"/>
          <w:color w:val="auto"/>
          <w:spacing w:val="-9"/>
          <w:w w:val="110"/>
          <w:szCs w:val="22"/>
        </w:rPr>
        <w:t xml:space="preserve"> </w:t>
      </w:r>
      <w:r w:rsidRPr="00DD7BD1">
        <w:rPr>
          <w:rFonts w:cs="Calibri"/>
          <w:color w:val="auto"/>
          <w:spacing w:val="-2"/>
          <w:w w:val="110"/>
          <w:szCs w:val="22"/>
        </w:rPr>
        <w:t>personnel</w:t>
      </w:r>
      <w:r w:rsidRPr="00DD7BD1">
        <w:rPr>
          <w:rFonts w:cs="Calibri"/>
          <w:color w:val="auto"/>
          <w:spacing w:val="-8"/>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 xml:space="preserve">other </w:t>
      </w:r>
      <w:r w:rsidRPr="00DD7BD1">
        <w:rPr>
          <w:rFonts w:cs="Calibri"/>
          <w:color w:val="auto"/>
          <w:w w:val="110"/>
          <w:szCs w:val="22"/>
        </w:rPr>
        <w:t>employment records subject to the following requirements:</w:t>
      </w:r>
    </w:p>
    <w:p w14:paraId="0A11E274"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5"/>
          <w:w w:val="110"/>
        </w:rPr>
        <w:t xml:space="preserve"> </w:t>
      </w:r>
      <w:r w:rsidRPr="00DD7BD1">
        <w:rPr>
          <w:rFonts w:ascii="Calibri" w:hAnsi="Calibri" w:cs="Calibri"/>
          <w:w w:val="110"/>
        </w:rPr>
        <w:t>be</w:t>
      </w:r>
      <w:r w:rsidRPr="00DD7BD1">
        <w:rPr>
          <w:rFonts w:ascii="Calibri" w:hAnsi="Calibri" w:cs="Calibri"/>
          <w:spacing w:val="-14"/>
          <w:w w:val="110"/>
        </w:rPr>
        <w:t xml:space="preserve"> </w:t>
      </w:r>
      <w:r w:rsidRPr="00DD7BD1">
        <w:rPr>
          <w:rFonts w:ascii="Calibri" w:hAnsi="Calibri" w:cs="Calibri"/>
          <w:w w:val="110"/>
        </w:rPr>
        <w:t>retained</w:t>
      </w:r>
      <w:r w:rsidRPr="00DD7BD1">
        <w:rPr>
          <w:rFonts w:ascii="Calibri" w:hAnsi="Calibri" w:cs="Calibri"/>
          <w:spacing w:val="-14"/>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at</w:t>
      </w:r>
      <w:r w:rsidRPr="00DD7BD1">
        <w:rPr>
          <w:rFonts w:ascii="Calibri" w:hAnsi="Calibri" w:cs="Calibri"/>
          <w:spacing w:val="-15"/>
          <w:w w:val="110"/>
        </w:rPr>
        <w:t xml:space="preserve"> </w:t>
      </w:r>
      <w:r w:rsidRPr="00DD7BD1">
        <w:rPr>
          <w:rFonts w:ascii="Calibri" w:hAnsi="Calibri" w:cs="Calibri"/>
          <w:w w:val="110"/>
        </w:rPr>
        <w:t>least</w:t>
      </w:r>
      <w:r w:rsidRPr="00DD7BD1">
        <w:rPr>
          <w:rFonts w:ascii="Calibri" w:hAnsi="Calibri" w:cs="Calibri"/>
          <w:spacing w:val="-15"/>
          <w:w w:val="110"/>
        </w:rPr>
        <w:t xml:space="preserve"> </w:t>
      </w:r>
      <w:r w:rsidRPr="00DD7BD1">
        <w:rPr>
          <w:rFonts w:ascii="Calibri" w:hAnsi="Calibri" w:cs="Calibri"/>
          <w:w w:val="110"/>
        </w:rPr>
        <w:t>four</w:t>
      </w:r>
      <w:r w:rsidRPr="00DD7BD1">
        <w:rPr>
          <w:rFonts w:ascii="Calibri" w:hAnsi="Calibri" w:cs="Calibri"/>
          <w:spacing w:val="-15"/>
          <w:w w:val="110"/>
        </w:rPr>
        <w:t xml:space="preserve"> </w:t>
      </w:r>
      <w:r w:rsidRPr="00DD7BD1">
        <w:rPr>
          <w:rFonts w:ascii="Calibri" w:hAnsi="Calibri" w:cs="Calibri"/>
          <w:w w:val="110"/>
        </w:rPr>
        <w:t>years</w:t>
      </w:r>
      <w:r w:rsidRPr="00DD7BD1">
        <w:rPr>
          <w:rFonts w:ascii="Calibri" w:hAnsi="Calibri" w:cs="Calibri"/>
          <w:spacing w:val="-16"/>
          <w:w w:val="110"/>
        </w:rPr>
        <w:t xml:space="preserve"> </w:t>
      </w:r>
      <w:r w:rsidRPr="00DD7BD1">
        <w:rPr>
          <w:rFonts w:ascii="Calibri" w:hAnsi="Calibri" w:cs="Calibri"/>
          <w:w w:val="110"/>
        </w:rPr>
        <w:t>from</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later</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(a)</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date</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record</w:t>
      </w:r>
      <w:r w:rsidRPr="00DD7BD1">
        <w:rPr>
          <w:rFonts w:ascii="Calibri" w:hAnsi="Calibri" w:cs="Calibri"/>
          <w:spacing w:val="-17"/>
          <w:w w:val="110"/>
        </w:rPr>
        <w:t xml:space="preserve"> </w:t>
      </w:r>
      <w:r w:rsidRPr="00DD7BD1">
        <w:rPr>
          <w:rFonts w:ascii="Calibri" w:hAnsi="Calibri" w:cs="Calibri"/>
          <w:w w:val="110"/>
        </w:rPr>
        <w:t>was</w:t>
      </w:r>
      <w:r w:rsidRPr="00DD7BD1">
        <w:rPr>
          <w:rFonts w:ascii="Calibri" w:hAnsi="Calibri" w:cs="Calibri"/>
          <w:spacing w:val="-16"/>
          <w:w w:val="110"/>
        </w:rPr>
        <w:t xml:space="preserve"> </w:t>
      </w:r>
      <w:r w:rsidRPr="00DD7BD1">
        <w:rPr>
          <w:rFonts w:ascii="Calibri" w:hAnsi="Calibri" w:cs="Calibri"/>
          <w:w w:val="110"/>
        </w:rPr>
        <w:t>made,</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 xml:space="preserve">(b)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date</w:t>
      </w:r>
      <w:r w:rsidRPr="00DD7BD1">
        <w:rPr>
          <w:rFonts w:ascii="Calibri" w:hAnsi="Calibri" w:cs="Calibri"/>
          <w:spacing w:val="-11"/>
          <w:w w:val="110"/>
        </w:rPr>
        <w:t xml:space="preserve"> </w:t>
      </w:r>
      <w:r w:rsidRPr="00DD7BD1">
        <w:rPr>
          <w:rFonts w:ascii="Calibri" w:hAnsi="Calibri" w:cs="Calibri"/>
          <w:spacing w:val="-2"/>
          <w:w w:val="110"/>
        </w:rPr>
        <w:t>of</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personnel</w:t>
      </w:r>
      <w:r w:rsidRPr="00DD7BD1">
        <w:rPr>
          <w:rFonts w:ascii="Calibri" w:hAnsi="Calibri" w:cs="Calibri"/>
          <w:spacing w:val="-12"/>
          <w:w w:val="110"/>
        </w:rPr>
        <w:t xml:space="preserve"> </w:t>
      </w:r>
      <w:r w:rsidRPr="00DD7BD1">
        <w:rPr>
          <w:rFonts w:ascii="Calibri" w:hAnsi="Calibri" w:cs="Calibri"/>
          <w:spacing w:val="-2"/>
          <w:w w:val="110"/>
        </w:rPr>
        <w:t>action</w:t>
      </w:r>
      <w:r w:rsidRPr="00DD7BD1">
        <w:rPr>
          <w:rFonts w:ascii="Calibri" w:hAnsi="Calibri" w:cs="Calibri"/>
          <w:spacing w:val="-5"/>
          <w:w w:val="110"/>
        </w:rPr>
        <w:t xml:space="preserve"> </w:t>
      </w:r>
      <w:r w:rsidRPr="00DD7BD1">
        <w:rPr>
          <w:rFonts w:ascii="Calibri" w:hAnsi="Calibri" w:cs="Calibri"/>
          <w:spacing w:val="-2"/>
          <w:w w:val="110"/>
        </w:rPr>
        <w:t>–</w:t>
      </w:r>
      <w:r w:rsidRPr="00DD7BD1">
        <w:rPr>
          <w:rFonts w:ascii="Calibri" w:hAnsi="Calibri" w:cs="Calibri"/>
          <w:spacing w:val="-12"/>
          <w:w w:val="110"/>
        </w:rPr>
        <w:t xml:space="preserve"> </w:t>
      </w:r>
      <w:r w:rsidRPr="00DD7BD1">
        <w:rPr>
          <w:rFonts w:ascii="Calibri" w:hAnsi="Calibri" w:cs="Calibri"/>
          <w:spacing w:val="-2"/>
          <w:w w:val="110"/>
        </w:rPr>
        <w:t>an</w:t>
      </w:r>
      <w:r w:rsidRPr="00DD7BD1">
        <w:rPr>
          <w:rFonts w:ascii="Calibri" w:hAnsi="Calibri" w:cs="Calibri"/>
          <w:spacing w:val="-8"/>
          <w:w w:val="110"/>
        </w:rPr>
        <w:t xml:space="preserve"> </w:t>
      </w:r>
      <w:r w:rsidRPr="00DD7BD1">
        <w:rPr>
          <w:rFonts w:ascii="Calibri" w:hAnsi="Calibri" w:cs="Calibri"/>
          <w:spacing w:val="-2"/>
          <w:w w:val="110"/>
        </w:rPr>
        <w:t>increase</w:t>
      </w:r>
      <w:r w:rsidRPr="00DD7BD1">
        <w:rPr>
          <w:rFonts w:ascii="Calibri" w:hAnsi="Calibri" w:cs="Calibri"/>
          <w:spacing w:val="-8"/>
          <w:w w:val="110"/>
        </w:rPr>
        <w:t xml:space="preserve"> </w:t>
      </w:r>
      <w:r w:rsidRPr="00DD7BD1">
        <w:rPr>
          <w:rFonts w:ascii="Calibri" w:hAnsi="Calibri" w:cs="Calibri"/>
          <w:spacing w:val="-2"/>
          <w:w w:val="110"/>
        </w:rPr>
        <w:t>from</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previous</w:t>
      </w:r>
      <w:r w:rsidRPr="00DD7BD1">
        <w:rPr>
          <w:rFonts w:ascii="Calibri" w:hAnsi="Calibri" w:cs="Calibri"/>
          <w:spacing w:val="-8"/>
          <w:w w:val="110"/>
        </w:rPr>
        <w:t xml:space="preserve"> </w:t>
      </w:r>
      <w:r w:rsidRPr="00DD7BD1">
        <w:rPr>
          <w:rFonts w:ascii="Calibri" w:hAnsi="Calibri" w:cs="Calibri"/>
          <w:spacing w:val="-2"/>
          <w:w w:val="110"/>
        </w:rPr>
        <w:t>requirement</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preserve</w:t>
      </w:r>
      <w:r w:rsidRPr="00DD7BD1">
        <w:rPr>
          <w:rFonts w:ascii="Calibri" w:hAnsi="Calibri" w:cs="Calibri"/>
          <w:spacing w:val="-8"/>
          <w:w w:val="110"/>
        </w:rPr>
        <w:t xml:space="preserve"> </w:t>
      </w:r>
      <w:r w:rsidRPr="00DD7BD1">
        <w:rPr>
          <w:rFonts w:ascii="Calibri" w:hAnsi="Calibri" w:cs="Calibri"/>
          <w:spacing w:val="-2"/>
          <w:w w:val="110"/>
        </w:rPr>
        <w:t>records</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two years;</w:t>
      </w:r>
    </w:p>
    <w:p w14:paraId="6B293F33"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 subject to this requirement include selection criteria, automated decision system data, applications,</w:t>
      </w:r>
      <w:r w:rsidRPr="00DD7BD1">
        <w:rPr>
          <w:rFonts w:ascii="Calibri" w:hAnsi="Calibri" w:cs="Calibri"/>
          <w:spacing w:val="-17"/>
          <w:w w:val="110"/>
        </w:rPr>
        <w:t xml:space="preserve"> </w:t>
      </w:r>
      <w:r w:rsidRPr="00DD7BD1">
        <w:rPr>
          <w:rFonts w:ascii="Calibri" w:hAnsi="Calibri" w:cs="Calibri"/>
          <w:w w:val="110"/>
        </w:rPr>
        <w:t>personnel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membership</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employment</w:t>
      </w:r>
      <w:r w:rsidRPr="00DD7BD1">
        <w:rPr>
          <w:rFonts w:ascii="Calibri" w:hAnsi="Calibri" w:cs="Calibri"/>
          <w:spacing w:val="-16"/>
          <w:w w:val="110"/>
        </w:rPr>
        <w:t xml:space="preserve"> </w:t>
      </w:r>
      <w:r w:rsidRPr="00DD7BD1">
        <w:rPr>
          <w:rFonts w:ascii="Calibri" w:hAnsi="Calibri" w:cs="Calibri"/>
          <w:w w:val="110"/>
        </w:rPr>
        <w:t>referral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other</w:t>
      </w:r>
      <w:r w:rsidRPr="00DD7BD1">
        <w:rPr>
          <w:rFonts w:ascii="Calibri" w:hAnsi="Calibri" w:cs="Calibri"/>
          <w:spacing w:val="-17"/>
          <w:w w:val="110"/>
        </w:rPr>
        <w:t xml:space="preserve"> </w:t>
      </w:r>
      <w:r w:rsidRPr="00DD7BD1">
        <w:rPr>
          <w:rFonts w:ascii="Calibri" w:hAnsi="Calibri" w:cs="Calibri"/>
          <w:w w:val="110"/>
        </w:rPr>
        <w:t xml:space="preserve">records </w:t>
      </w:r>
      <w:r w:rsidRPr="00DD7BD1">
        <w:rPr>
          <w:rFonts w:ascii="Calibri" w:hAnsi="Calibri" w:cs="Calibri"/>
        </w:rPr>
        <w:t>“created</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9"/>
        </w:rPr>
        <w:t xml:space="preserve"> </w:t>
      </w:r>
      <w:r w:rsidRPr="00DD7BD1">
        <w:rPr>
          <w:rFonts w:ascii="Calibri" w:hAnsi="Calibri" w:cs="Calibri"/>
        </w:rPr>
        <w:t>received</w:t>
      </w:r>
      <w:r w:rsidRPr="00DD7BD1">
        <w:rPr>
          <w:rFonts w:ascii="Calibri" w:hAnsi="Calibri" w:cs="Calibri"/>
          <w:spacing w:val="40"/>
        </w:rPr>
        <w:t xml:space="preserve"> </w:t>
      </w:r>
      <w:r w:rsidRPr="00DD7BD1">
        <w:rPr>
          <w:rFonts w:ascii="Calibri" w:hAnsi="Calibri" w:cs="Calibri"/>
        </w:rPr>
        <w:t>by</w:t>
      </w:r>
      <w:r w:rsidRPr="00DD7BD1">
        <w:rPr>
          <w:rFonts w:ascii="Calibri" w:hAnsi="Calibri" w:cs="Calibri"/>
          <w:spacing w:val="40"/>
        </w:rPr>
        <w:t xml:space="preserve"> </w:t>
      </w:r>
      <w:r w:rsidRPr="00DD7BD1">
        <w:rPr>
          <w:rFonts w:ascii="Calibri" w:hAnsi="Calibri" w:cs="Calibri"/>
        </w:rPr>
        <w:t>the</w:t>
      </w:r>
      <w:r w:rsidRPr="00DD7BD1">
        <w:rPr>
          <w:rFonts w:ascii="Calibri" w:hAnsi="Calibri" w:cs="Calibri"/>
          <w:spacing w:val="37"/>
        </w:rPr>
        <w:t xml:space="preserve"> </w:t>
      </w:r>
      <w:r w:rsidRPr="00DD7BD1">
        <w:rPr>
          <w:rFonts w:ascii="Calibri" w:hAnsi="Calibri" w:cs="Calibri"/>
        </w:rPr>
        <w:t>employer</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6"/>
        </w:rPr>
        <w:t xml:space="preserve"> </w:t>
      </w:r>
      <w:r w:rsidRPr="00DD7BD1">
        <w:rPr>
          <w:rFonts w:ascii="Calibri" w:hAnsi="Calibri" w:cs="Calibri"/>
        </w:rPr>
        <w:t>other</w:t>
      </w:r>
      <w:r w:rsidRPr="00DD7BD1">
        <w:rPr>
          <w:rFonts w:ascii="Calibri" w:hAnsi="Calibri" w:cs="Calibri"/>
          <w:spacing w:val="39"/>
        </w:rPr>
        <w:t xml:space="preserve"> </w:t>
      </w:r>
      <w:r w:rsidRPr="00DD7BD1">
        <w:rPr>
          <w:rFonts w:ascii="Calibri" w:hAnsi="Calibri" w:cs="Calibri"/>
        </w:rPr>
        <w:t>covered</w:t>
      </w:r>
      <w:r w:rsidRPr="00DD7BD1">
        <w:rPr>
          <w:rFonts w:ascii="Calibri" w:hAnsi="Calibri" w:cs="Calibri"/>
          <w:spacing w:val="36"/>
        </w:rPr>
        <w:t xml:space="preserve"> </w:t>
      </w:r>
      <w:r w:rsidRPr="00DD7BD1">
        <w:rPr>
          <w:rFonts w:ascii="Calibri" w:hAnsi="Calibri" w:cs="Calibri"/>
        </w:rPr>
        <w:t>entity</w:t>
      </w:r>
      <w:r w:rsidRPr="00DD7BD1">
        <w:rPr>
          <w:rFonts w:ascii="Calibri" w:hAnsi="Calibri" w:cs="Calibri"/>
          <w:spacing w:val="40"/>
        </w:rPr>
        <w:t xml:space="preserve"> </w:t>
      </w:r>
      <w:r w:rsidRPr="00DD7BD1">
        <w:rPr>
          <w:rFonts w:ascii="Calibri" w:hAnsi="Calibri" w:cs="Calibri"/>
        </w:rPr>
        <w:t>dealing</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any</w:t>
      </w:r>
      <w:r w:rsidRPr="00DD7BD1">
        <w:rPr>
          <w:rFonts w:ascii="Calibri" w:hAnsi="Calibri" w:cs="Calibri"/>
          <w:spacing w:val="39"/>
        </w:rPr>
        <w:t xml:space="preserve"> </w:t>
      </w:r>
      <w:r w:rsidRPr="00DD7BD1">
        <w:rPr>
          <w:rFonts w:ascii="Calibri" w:hAnsi="Calibri" w:cs="Calibri"/>
        </w:rPr>
        <w:t>employment</w:t>
      </w:r>
      <w:r w:rsidRPr="00DD7BD1">
        <w:rPr>
          <w:rFonts w:ascii="Calibri" w:hAnsi="Calibri" w:cs="Calibri"/>
          <w:spacing w:val="36"/>
        </w:rPr>
        <w:t xml:space="preserve"> </w:t>
      </w:r>
      <w:r w:rsidRPr="00DD7BD1">
        <w:rPr>
          <w:rFonts w:ascii="Calibri" w:hAnsi="Calibri" w:cs="Calibri"/>
        </w:rPr>
        <w:t>practice</w:t>
      </w:r>
      <w:r w:rsidRPr="00DD7BD1">
        <w:rPr>
          <w:rFonts w:ascii="Calibri" w:hAnsi="Calibri" w:cs="Calibri"/>
          <w:spacing w:val="36"/>
        </w:rPr>
        <w:t xml:space="preserve"> </w:t>
      </w:r>
      <w:r w:rsidRPr="00DD7BD1">
        <w:rPr>
          <w:rFonts w:ascii="Calibri" w:hAnsi="Calibri" w:cs="Calibri"/>
        </w:rPr>
        <w:t xml:space="preserve">and </w:t>
      </w:r>
      <w:r w:rsidRPr="00DD7BD1">
        <w:rPr>
          <w:rFonts w:ascii="Calibri" w:hAnsi="Calibri" w:cs="Calibri"/>
          <w:w w:val="110"/>
        </w:rPr>
        <w:t>affecting any employment benefit of any applicant or employee;” and</w:t>
      </w:r>
    </w:p>
    <w:p w14:paraId="286A772C" w14:textId="77777777" w:rsidR="00A85628" w:rsidRPr="00DD7BD1"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Calibri" w:hAnsi="Calibri" w:cs="Calibri"/>
        </w:rPr>
      </w:pPr>
      <w:r w:rsidRPr="00DD7BD1">
        <w:rPr>
          <w:rFonts w:ascii="Calibri" w:hAnsi="Calibri" w:cs="Calibri"/>
          <w:w w:val="110"/>
        </w:rPr>
        <w:t>“Automated-decision system data” includes (a) any data used in or resulting from the application of an ADS,</w:t>
      </w:r>
      <w:r w:rsidRPr="00DD7BD1">
        <w:rPr>
          <w:rFonts w:ascii="Calibri" w:hAnsi="Calibri" w:cs="Calibri"/>
          <w:spacing w:val="-12"/>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as</w:t>
      </w:r>
      <w:r w:rsidRPr="00DD7BD1">
        <w:rPr>
          <w:rFonts w:ascii="Calibri" w:hAnsi="Calibri" w:cs="Calibri"/>
          <w:spacing w:val="-9"/>
          <w:w w:val="110"/>
        </w:rPr>
        <w:t xml:space="preserve"> </w:t>
      </w:r>
      <w:r w:rsidRPr="00DD7BD1">
        <w:rPr>
          <w:rFonts w:ascii="Calibri" w:hAnsi="Calibri" w:cs="Calibri"/>
          <w:w w:val="110"/>
        </w:rPr>
        <w:t>data</w:t>
      </w:r>
      <w:r w:rsidRPr="00DD7BD1">
        <w:rPr>
          <w:rFonts w:ascii="Calibri" w:hAnsi="Calibri" w:cs="Calibri"/>
          <w:spacing w:val="-13"/>
          <w:w w:val="110"/>
        </w:rPr>
        <w:t xml:space="preserve"> </w:t>
      </w:r>
      <w:r w:rsidRPr="00DD7BD1">
        <w:rPr>
          <w:rFonts w:ascii="Calibri" w:hAnsi="Calibri" w:cs="Calibri"/>
          <w:w w:val="110"/>
        </w:rPr>
        <w:t>provided</w:t>
      </w:r>
      <w:r w:rsidRPr="00DD7BD1">
        <w:rPr>
          <w:rFonts w:ascii="Calibri" w:hAnsi="Calibri" w:cs="Calibri"/>
          <w:spacing w:val="-9"/>
          <w:w w:val="110"/>
        </w:rPr>
        <w:t xml:space="preserve"> </w:t>
      </w:r>
      <w:r w:rsidRPr="00DD7BD1">
        <w:rPr>
          <w:rFonts w:ascii="Calibri" w:hAnsi="Calibri" w:cs="Calibri"/>
          <w:w w:val="110"/>
        </w:rPr>
        <w:t>by</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about</w:t>
      </w:r>
      <w:r w:rsidRPr="00DD7BD1">
        <w:rPr>
          <w:rFonts w:ascii="Calibri" w:hAnsi="Calibri" w:cs="Calibri"/>
          <w:spacing w:val="-10"/>
          <w:w w:val="110"/>
        </w:rPr>
        <w:t xml:space="preserve"> </w:t>
      </w:r>
      <w:r w:rsidRPr="00DD7BD1">
        <w:rPr>
          <w:rFonts w:ascii="Calibri" w:hAnsi="Calibri" w:cs="Calibri"/>
          <w:w w:val="110"/>
        </w:rPr>
        <w:t>individual</w:t>
      </w:r>
      <w:r w:rsidRPr="00DD7BD1">
        <w:rPr>
          <w:rFonts w:ascii="Calibri" w:hAnsi="Calibri" w:cs="Calibri"/>
          <w:spacing w:val="-13"/>
          <w:w w:val="110"/>
        </w:rPr>
        <w:t xml:space="preserve"> </w:t>
      </w:r>
      <w:r w:rsidRPr="00DD7BD1">
        <w:rPr>
          <w:rFonts w:ascii="Calibri" w:hAnsi="Calibri" w:cs="Calibri"/>
          <w:w w:val="110"/>
        </w:rPr>
        <w:t>applicants</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employees,</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data</w:t>
      </w:r>
      <w:r w:rsidRPr="00DD7BD1">
        <w:rPr>
          <w:rFonts w:ascii="Calibri" w:hAnsi="Calibri" w:cs="Calibri"/>
          <w:spacing w:val="-10"/>
          <w:w w:val="110"/>
        </w:rPr>
        <w:t xml:space="preserve"> </w:t>
      </w:r>
      <w:r w:rsidRPr="00DD7BD1">
        <w:rPr>
          <w:rFonts w:ascii="Calibri" w:hAnsi="Calibri" w:cs="Calibri"/>
          <w:w w:val="110"/>
        </w:rPr>
        <w:t>reflecting</w:t>
      </w:r>
      <w:r w:rsidRPr="00DD7BD1">
        <w:rPr>
          <w:rFonts w:ascii="Calibri" w:hAnsi="Calibri" w:cs="Calibri"/>
          <w:spacing w:val="-11"/>
          <w:w w:val="110"/>
        </w:rPr>
        <w:t xml:space="preserve"> </w:t>
      </w:r>
      <w:r w:rsidRPr="00DD7BD1">
        <w:rPr>
          <w:rFonts w:ascii="Calibri" w:hAnsi="Calibri" w:cs="Calibri"/>
          <w:w w:val="110"/>
        </w:rPr>
        <w:t>employment decision</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5"/>
          <w:w w:val="110"/>
        </w:rPr>
        <w:t xml:space="preserve"> </w:t>
      </w:r>
      <w:r w:rsidRPr="00DD7BD1">
        <w:rPr>
          <w:rFonts w:ascii="Calibri" w:hAnsi="Calibri" w:cs="Calibri"/>
          <w:w w:val="110"/>
        </w:rPr>
        <w:t>outcomes,</w:t>
      </w:r>
      <w:r w:rsidRPr="00DD7BD1">
        <w:rPr>
          <w:rFonts w:ascii="Calibri" w:hAnsi="Calibri" w:cs="Calibri"/>
          <w:spacing w:val="-3"/>
          <w:w w:val="110"/>
        </w:rPr>
        <w:t xml:space="preserve"> </w:t>
      </w:r>
      <w:r w:rsidRPr="00DD7BD1">
        <w:rPr>
          <w:rFonts w:ascii="Calibri" w:hAnsi="Calibri" w:cs="Calibri"/>
          <w:w w:val="110"/>
        </w:rPr>
        <w:t>and/or</w:t>
      </w:r>
      <w:r w:rsidRPr="00DD7BD1">
        <w:rPr>
          <w:rFonts w:ascii="Calibri" w:hAnsi="Calibri" w:cs="Calibri"/>
          <w:spacing w:val="-5"/>
          <w:w w:val="110"/>
        </w:rPr>
        <w:t xml:space="preserve"> </w:t>
      </w:r>
      <w:r w:rsidRPr="00DD7BD1">
        <w:rPr>
          <w:rFonts w:ascii="Calibri" w:hAnsi="Calibri" w:cs="Calibri"/>
          <w:w w:val="110"/>
        </w:rPr>
        <w:t>(b)</w:t>
      </w:r>
      <w:r w:rsidRPr="00DD7BD1">
        <w:rPr>
          <w:rFonts w:ascii="Calibri" w:hAnsi="Calibri" w:cs="Calibri"/>
          <w:spacing w:val="-3"/>
          <w:w w:val="110"/>
        </w:rPr>
        <w:t xml:space="preserve"> </w:t>
      </w:r>
      <w:r w:rsidRPr="00DD7BD1">
        <w:rPr>
          <w:rFonts w:ascii="Calibri" w:hAnsi="Calibri" w:cs="Calibri"/>
          <w:w w:val="110"/>
        </w:rPr>
        <w:t>any</w:t>
      </w:r>
      <w:r w:rsidRPr="00DD7BD1">
        <w:rPr>
          <w:rFonts w:ascii="Calibri" w:hAnsi="Calibri" w:cs="Calibri"/>
          <w:spacing w:val="-4"/>
          <w:w w:val="110"/>
        </w:rPr>
        <w:t xml:space="preserve"> </w:t>
      </w:r>
      <w:r w:rsidRPr="00DD7BD1">
        <w:rPr>
          <w:rFonts w:ascii="Calibri" w:hAnsi="Calibri" w:cs="Calibri"/>
          <w:w w:val="110"/>
        </w:rPr>
        <w:t>data</w:t>
      </w:r>
      <w:r w:rsidRPr="00DD7BD1">
        <w:rPr>
          <w:rFonts w:ascii="Calibri" w:hAnsi="Calibri" w:cs="Calibri"/>
          <w:spacing w:val="-5"/>
          <w:w w:val="110"/>
        </w:rPr>
        <w:t xml:space="preserve"> </w:t>
      </w:r>
      <w:r w:rsidRPr="00DD7BD1">
        <w:rPr>
          <w:rFonts w:ascii="Calibri" w:hAnsi="Calibri" w:cs="Calibri"/>
          <w:w w:val="110"/>
        </w:rPr>
        <w:t>used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4"/>
          <w:w w:val="110"/>
        </w:rPr>
        <w:t xml:space="preserve"> </w:t>
      </w:r>
      <w:r w:rsidRPr="00DD7BD1">
        <w:rPr>
          <w:rFonts w:ascii="Calibri" w:hAnsi="Calibri" w:cs="Calibri"/>
          <w:w w:val="110"/>
        </w:rPr>
        <w:t>develop</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3"/>
          <w:w w:val="110"/>
        </w:rPr>
        <w:t xml:space="preserve"> </w:t>
      </w:r>
      <w:r w:rsidRPr="00DD7BD1">
        <w:rPr>
          <w:rFonts w:ascii="Calibri" w:hAnsi="Calibri" w:cs="Calibri"/>
          <w:w w:val="110"/>
        </w:rPr>
        <w:t>customize</w:t>
      </w:r>
      <w:r w:rsidRPr="00DD7BD1">
        <w:rPr>
          <w:rFonts w:ascii="Calibri" w:hAnsi="Calibri" w:cs="Calibri"/>
          <w:spacing w:val="-4"/>
          <w:w w:val="110"/>
        </w:rPr>
        <w:t xml:space="preserve"> </w:t>
      </w:r>
      <w:r w:rsidRPr="00DD7BD1">
        <w:rPr>
          <w:rFonts w:ascii="Calibri" w:hAnsi="Calibri" w:cs="Calibri"/>
          <w:w w:val="110"/>
        </w:rPr>
        <w:t>an</w:t>
      </w:r>
      <w:r w:rsidRPr="00DD7BD1">
        <w:rPr>
          <w:rFonts w:ascii="Calibri" w:hAnsi="Calibri" w:cs="Calibri"/>
          <w:spacing w:val="-5"/>
          <w:w w:val="110"/>
        </w:rPr>
        <w:t xml:space="preserve"> </w:t>
      </w:r>
      <w:r w:rsidRPr="00DD7BD1">
        <w:rPr>
          <w:rFonts w:ascii="Calibri" w:hAnsi="Calibri" w:cs="Calibri"/>
          <w:w w:val="110"/>
        </w:rPr>
        <w:t>ADS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use</w:t>
      </w:r>
      <w:r w:rsidRPr="00DD7BD1">
        <w:rPr>
          <w:rFonts w:ascii="Calibri" w:hAnsi="Calibri" w:cs="Calibri"/>
          <w:spacing w:val="-1"/>
          <w:w w:val="110"/>
        </w:rPr>
        <w:t xml:space="preserve"> </w:t>
      </w:r>
      <w:r w:rsidRPr="00DD7BD1">
        <w:rPr>
          <w:rFonts w:ascii="Calibri" w:hAnsi="Calibri" w:cs="Calibri"/>
          <w:w w:val="110"/>
        </w:rPr>
        <w:t>by</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particular employer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other</w:t>
      </w:r>
      <w:r w:rsidRPr="00DD7BD1">
        <w:rPr>
          <w:rFonts w:ascii="Calibri" w:hAnsi="Calibri" w:cs="Calibri"/>
          <w:spacing w:val="-5"/>
          <w:w w:val="110"/>
        </w:rPr>
        <w:t xml:space="preserve"> </w:t>
      </w:r>
      <w:r w:rsidRPr="00DD7BD1">
        <w:rPr>
          <w:rFonts w:ascii="Calibri" w:hAnsi="Calibri" w:cs="Calibri"/>
          <w:w w:val="110"/>
        </w:rPr>
        <w:t>covered</w:t>
      </w:r>
      <w:r w:rsidRPr="00DD7BD1">
        <w:rPr>
          <w:rFonts w:ascii="Calibri" w:hAnsi="Calibri" w:cs="Calibri"/>
          <w:spacing w:val="-4"/>
          <w:w w:val="110"/>
        </w:rPr>
        <w:t xml:space="preserve"> </w:t>
      </w:r>
      <w:r w:rsidRPr="00DD7BD1">
        <w:rPr>
          <w:rFonts w:ascii="Calibri" w:hAnsi="Calibri" w:cs="Calibri"/>
          <w:w w:val="110"/>
        </w:rPr>
        <w:t>entity.</w:t>
      </w:r>
    </w:p>
    <w:p w14:paraId="176A9F57" w14:textId="77777777" w:rsidR="00A85628" w:rsidRPr="00DD7BD1" w:rsidRDefault="00A85628" w:rsidP="00A85628">
      <w:pPr>
        <w:spacing w:after="0" w:line="240" w:lineRule="auto"/>
        <w:ind w:right="-90"/>
        <w:rPr>
          <w:rFonts w:ascii="Calibri" w:hAnsi="Calibri" w:cs="Calibri"/>
          <w:b/>
          <w:bCs/>
          <w:color w:val="C00000"/>
          <w:shd w:val="clear" w:color="auto" w:fill="FFFFFF"/>
          <w:lang w:val="en"/>
        </w:rPr>
      </w:pPr>
    </w:p>
    <w:p w14:paraId="706F839A" w14:textId="1DD3659D" w:rsidR="00A85628" w:rsidRPr="00DD7BD1" w:rsidRDefault="00A85628" w:rsidP="00A85628">
      <w:pPr>
        <w:pStyle w:val="Heading1"/>
        <w:spacing w:before="0" w:beforeAutospacing="0" w:after="0" w:afterAutospacing="0"/>
        <w:ind w:right="-180"/>
        <w:jc w:val="center"/>
        <w:rPr>
          <w:rFonts w:ascii="Calibri" w:hAnsi="Calibri" w:cs="Calibri"/>
          <w:kern w:val="0"/>
          <w:sz w:val="28"/>
          <w:szCs w:val="28"/>
          <w:shd w:val="clear" w:color="auto" w:fill="FFFFFF"/>
          <w:lang w:val="en"/>
        </w:rPr>
      </w:pPr>
      <w:r w:rsidRPr="00DD7BD1">
        <w:rPr>
          <w:rFonts w:ascii="Calibri" w:hAnsi="Calibri" w:cs="Calibri"/>
          <w:kern w:val="0"/>
          <w:sz w:val="28"/>
          <w:szCs w:val="28"/>
          <w:shd w:val="clear" w:color="auto" w:fill="FFFFFF"/>
          <w:lang w:val="en"/>
        </w:rPr>
        <w:t>Upcoming Minimum Wage Increases – Eff Jan 1, 2026</w:t>
      </w:r>
    </w:p>
    <w:p w14:paraId="0118913A"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Department</w:t>
      </w:r>
      <w:r w:rsidRPr="00DD7BD1">
        <w:rPr>
          <w:rFonts w:cs="Calibri"/>
          <w:color w:val="auto"/>
          <w:spacing w:val="-15"/>
          <w:w w:val="110"/>
        </w:rPr>
        <w:t xml:space="preserve"> </w:t>
      </w:r>
      <w:r w:rsidRPr="00DD7BD1">
        <w:rPr>
          <w:rFonts w:cs="Calibri"/>
          <w:color w:val="auto"/>
          <w:w w:val="110"/>
        </w:rPr>
        <w:t>of</w:t>
      </w:r>
      <w:r w:rsidRPr="00DD7BD1">
        <w:rPr>
          <w:rFonts w:cs="Calibri"/>
          <w:color w:val="auto"/>
          <w:spacing w:val="-14"/>
          <w:w w:val="110"/>
        </w:rPr>
        <w:t xml:space="preserve"> </w:t>
      </w:r>
      <w:r w:rsidRPr="00DD7BD1">
        <w:rPr>
          <w:rFonts w:cs="Calibri"/>
          <w:color w:val="auto"/>
          <w:w w:val="110"/>
        </w:rPr>
        <w:t>Finance</w:t>
      </w:r>
      <w:r w:rsidRPr="00DD7BD1">
        <w:rPr>
          <w:rFonts w:cs="Calibri"/>
          <w:color w:val="auto"/>
          <w:spacing w:val="-11"/>
          <w:w w:val="110"/>
        </w:rPr>
        <w:t xml:space="preserve"> </w:t>
      </w:r>
      <w:hyperlink r:id="rId596">
        <w:r w:rsidRPr="00DD7BD1">
          <w:rPr>
            <w:rFonts w:cs="Calibri"/>
            <w:color w:val="0000FF"/>
            <w:w w:val="110"/>
            <w:u w:val="single" w:color="0000FF"/>
          </w:rPr>
          <w:t>announced</w:t>
        </w:r>
      </w:hyperlink>
      <w:r w:rsidRPr="00DD7BD1">
        <w:rPr>
          <w:rFonts w:cs="Calibri"/>
          <w:color w:val="0000FF"/>
          <w:spacing w:val="-11"/>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3"/>
          <w:w w:val="110"/>
        </w:rPr>
        <w:t xml:space="preserve"> </w:t>
      </w:r>
      <w:r w:rsidRPr="00DD7BD1">
        <w:rPr>
          <w:rFonts w:cs="Calibri"/>
          <w:color w:val="auto"/>
          <w:w w:val="110"/>
        </w:rPr>
        <w:t>wage</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3"/>
          <w:w w:val="110"/>
        </w:rPr>
        <w:t xml:space="preserve"> </w:t>
      </w:r>
      <w:r w:rsidRPr="00DD7BD1">
        <w:rPr>
          <w:rFonts w:cs="Calibri"/>
          <w:color w:val="auto"/>
          <w:w w:val="110"/>
        </w:rPr>
        <w:t>August</w:t>
      </w:r>
      <w:r w:rsidRPr="00DD7BD1">
        <w:rPr>
          <w:rFonts w:cs="Calibri"/>
          <w:color w:val="auto"/>
          <w:spacing w:val="-17"/>
          <w:w w:val="110"/>
        </w:rPr>
        <w:t xml:space="preserve"> </w:t>
      </w:r>
      <w:r w:rsidRPr="00DD7BD1">
        <w:rPr>
          <w:rFonts w:cs="Calibri"/>
          <w:color w:val="auto"/>
          <w:w w:val="110"/>
        </w:rPr>
        <w:t>1,</w:t>
      </w:r>
      <w:r w:rsidRPr="00DD7BD1">
        <w:rPr>
          <w:rFonts w:cs="Calibri"/>
          <w:color w:val="auto"/>
          <w:spacing w:val="-16"/>
          <w:w w:val="110"/>
        </w:rPr>
        <w:t xml:space="preserve"> </w:t>
      </w:r>
      <w:r w:rsidRPr="00DD7BD1">
        <w:rPr>
          <w:rFonts w:cs="Calibri"/>
          <w:color w:val="auto"/>
          <w:spacing w:val="-2"/>
          <w:w w:val="110"/>
        </w:rPr>
        <w:t>2025.</w:t>
      </w:r>
    </w:p>
    <w:p w14:paraId="26880F4D"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standard</w:t>
      </w:r>
      <w:r w:rsidRPr="00DD7BD1">
        <w:rPr>
          <w:rFonts w:cs="Calibri"/>
          <w:color w:val="auto"/>
          <w:spacing w:val="-14"/>
          <w:w w:val="110"/>
        </w:rPr>
        <w:t xml:space="preserve"> </w:t>
      </w:r>
      <w:r w:rsidRPr="00DD7BD1">
        <w:rPr>
          <w:rFonts w:cs="Calibri"/>
          <w:color w:val="auto"/>
          <w:w w:val="110"/>
        </w:rPr>
        <w:t>state</w:t>
      </w:r>
      <w:r w:rsidRPr="00DD7BD1">
        <w:rPr>
          <w:rFonts w:cs="Calibri"/>
          <w:color w:val="auto"/>
          <w:spacing w:val="-13"/>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w:t>
      </w:r>
      <w:r w:rsidRPr="00DD7BD1">
        <w:rPr>
          <w:rFonts w:cs="Calibri"/>
          <w:color w:val="auto"/>
          <w:spacing w:val="-11"/>
          <w:w w:val="110"/>
        </w:rPr>
        <w:t xml:space="preserve"> </w:t>
      </w:r>
      <w:r w:rsidRPr="00DD7BD1">
        <w:rPr>
          <w:rFonts w:cs="Calibri"/>
          <w:color w:val="auto"/>
          <w:w w:val="110"/>
        </w:rPr>
        <w:t>will</w:t>
      </w:r>
      <w:r w:rsidRPr="00DD7BD1">
        <w:rPr>
          <w:rFonts w:cs="Calibri"/>
          <w:color w:val="auto"/>
          <w:spacing w:val="-13"/>
          <w:w w:val="110"/>
        </w:rPr>
        <w:t xml:space="preserve"> </w:t>
      </w:r>
      <w:r w:rsidRPr="00DD7BD1">
        <w:rPr>
          <w:rFonts w:cs="Calibri"/>
          <w:color w:val="auto"/>
          <w:w w:val="110"/>
        </w:rPr>
        <w:t>increase</w:t>
      </w:r>
      <w:r w:rsidRPr="00DD7BD1">
        <w:rPr>
          <w:rFonts w:cs="Calibri"/>
          <w:color w:val="auto"/>
          <w:spacing w:val="-16"/>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b/>
          <w:color w:val="auto"/>
          <w:w w:val="110"/>
        </w:rPr>
        <w:t>$16.90</w:t>
      </w:r>
      <w:r w:rsidRPr="00DD7BD1">
        <w:rPr>
          <w:rFonts w:cs="Calibri"/>
          <w:b/>
          <w:color w:val="auto"/>
          <w:spacing w:val="-12"/>
          <w:w w:val="110"/>
        </w:rPr>
        <w:t xml:space="preserve"> </w:t>
      </w:r>
      <w:r w:rsidRPr="00DD7BD1">
        <w:rPr>
          <w:rFonts w:cs="Calibri"/>
          <w:color w:val="auto"/>
          <w:w w:val="110"/>
        </w:rPr>
        <w:t>per</w:t>
      </w:r>
      <w:r w:rsidRPr="00DD7BD1">
        <w:rPr>
          <w:rFonts w:cs="Calibri"/>
          <w:color w:val="auto"/>
          <w:spacing w:val="-11"/>
          <w:w w:val="110"/>
        </w:rPr>
        <w:t xml:space="preserve"> </w:t>
      </w:r>
      <w:r w:rsidRPr="00DD7BD1">
        <w:rPr>
          <w:rFonts w:cs="Calibri"/>
          <w:color w:val="auto"/>
          <w:w w:val="110"/>
        </w:rPr>
        <w:t>hour</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January</w:t>
      </w:r>
      <w:r w:rsidRPr="00DD7BD1">
        <w:rPr>
          <w:rFonts w:cs="Calibri"/>
          <w:color w:val="auto"/>
          <w:spacing w:val="-11"/>
          <w:w w:val="110"/>
        </w:rPr>
        <w:t xml:space="preserve"> </w:t>
      </w:r>
      <w:r w:rsidRPr="00DD7BD1">
        <w:rPr>
          <w:rFonts w:cs="Calibri"/>
          <w:color w:val="auto"/>
          <w:w w:val="110"/>
        </w:rPr>
        <w:t>1,</w:t>
      </w:r>
      <w:r w:rsidRPr="00DD7BD1">
        <w:rPr>
          <w:rFonts w:cs="Calibri"/>
          <w:color w:val="auto"/>
          <w:spacing w:val="-14"/>
          <w:w w:val="110"/>
        </w:rPr>
        <w:t xml:space="preserve"> </w:t>
      </w:r>
      <w:r w:rsidRPr="00DD7BD1">
        <w:rPr>
          <w:rFonts w:cs="Calibri"/>
          <w:color w:val="auto"/>
          <w:spacing w:val="-2"/>
          <w:w w:val="110"/>
        </w:rPr>
        <w:t>2026.</w:t>
      </w:r>
    </w:p>
    <w:p w14:paraId="4CBFBD69" w14:textId="77777777" w:rsidR="00A85628" w:rsidRPr="00DD7BD1" w:rsidRDefault="00A85628" w:rsidP="00A85628">
      <w:pPr>
        <w:pStyle w:val="BodyText"/>
        <w:spacing w:after="0" w:line="240" w:lineRule="auto"/>
        <w:ind w:right="-180"/>
        <w:jc w:val="left"/>
        <w:rPr>
          <w:rFonts w:cs="Calibri"/>
          <w:b/>
          <w:color w:val="auto"/>
        </w:rPr>
      </w:pPr>
      <w:r w:rsidRPr="00DD7BD1">
        <w:rPr>
          <w:rFonts w:cs="Calibri"/>
          <w:color w:val="auto"/>
        </w:rPr>
        <w:t>This</w:t>
      </w:r>
      <w:r w:rsidRPr="00DD7BD1">
        <w:rPr>
          <w:rFonts w:cs="Calibri"/>
          <w:color w:val="auto"/>
          <w:spacing w:val="35"/>
        </w:rPr>
        <w:t xml:space="preserve"> </w:t>
      </w:r>
      <w:r w:rsidRPr="00DD7BD1">
        <w:rPr>
          <w:rFonts w:cs="Calibri"/>
          <w:color w:val="auto"/>
        </w:rPr>
        <w:t>will</w:t>
      </w:r>
      <w:r w:rsidRPr="00DD7BD1">
        <w:rPr>
          <w:rFonts w:cs="Calibri"/>
          <w:color w:val="auto"/>
          <w:spacing w:val="36"/>
        </w:rPr>
        <w:t xml:space="preserve"> </w:t>
      </w:r>
      <w:r w:rsidRPr="00DD7BD1">
        <w:rPr>
          <w:rFonts w:cs="Calibri"/>
          <w:color w:val="auto"/>
        </w:rPr>
        <w:t>also</w:t>
      </w:r>
      <w:r w:rsidRPr="00DD7BD1">
        <w:rPr>
          <w:rFonts w:cs="Calibri"/>
          <w:color w:val="auto"/>
          <w:spacing w:val="39"/>
        </w:rPr>
        <w:t xml:space="preserve"> </w:t>
      </w:r>
      <w:r w:rsidRPr="00DD7BD1">
        <w:rPr>
          <w:rFonts w:cs="Calibri"/>
          <w:color w:val="auto"/>
        </w:rPr>
        <w:t>increase</w:t>
      </w:r>
      <w:r w:rsidRPr="00DD7BD1">
        <w:rPr>
          <w:rFonts w:cs="Calibri"/>
          <w:color w:val="auto"/>
          <w:spacing w:val="39"/>
        </w:rPr>
        <w:t xml:space="preserve"> </w:t>
      </w:r>
      <w:r w:rsidRPr="00DD7BD1">
        <w:rPr>
          <w:rFonts w:cs="Calibri"/>
          <w:color w:val="auto"/>
        </w:rPr>
        <w:t>the</w:t>
      </w:r>
      <w:r w:rsidRPr="00DD7BD1">
        <w:rPr>
          <w:rFonts w:cs="Calibri"/>
          <w:color w:val="auto"/>
          <w:spacing w:val="43"/>
        </w:rPr>
        <w:t xml:space="preserve"> </w:t>
      </w:r>
      <w:r w:rsidRPr="00DD7BD1">
        <w:rPr>
          <w:rFonts w:cs="Calibri"/>
          <w:color w:val="auto"/>
          <w:u w:val="single"/>
        </w:rPr>
        <w:t>minimum</w:t>
      </w:r>
      <w:r w:rsidRPr="00DD7BD1">
        <w:rPr>
          <w:rFonts w:cs="Calibri"/>
          <w:color w:val="auto"/>
          <w:spacing w:val="35"/>
          <w:u w:val="single"/>
        </w:rPr>
        <w:t xml:space="preserve"> </w:t>
      </w:r>
      <w:r w:rsidRPr="00DD7BD1">
        <w:rPr>
          <w:rFonts w:cs="Calibri"/>
          <w:color w:val="auto"/>
          <w:u w:val="single"/>
        </w:rPr>
        <w:t>salary</w:t>
      </w:r>
      <w:r w:rsidRPr="00DD7BD1">
        <w:rPr>
          <w:rFonts w:cs="Calibri"/>
          <w:color w:val="auto"/>
          <w:spacing w:val="40"/>
          <w:u w:val="single"/>
        </w:rPr>
        <w:t xml:space="preserve"> </w:t>
      </w:r>
      <w:r w:rsidRPr="00DD7BD1">
        <w:rPr>
          <w:rFonts w:cs="Calibri"/>
          <w:color w:val="auto"/>
          <w:u w:val="single"/>
        </w:rPr>
        <w:t>threshold</w:t>
      </w:r>
      <w:r w:rsidRPr="00DD7BD1">
        <w:rPr>
          <w:rFonts w:cs="Calibri"/>
          <w:color w:val="auto"/>
          <w:spacing w:val="39"/>
          <w:u w:val="single"/>
        </w:rPr>
        <w:t xml:space="preserve"> </w:t>
      </w:r>
      <w:r w:rsidRPr="00DD7BD1">
        <w:rPr>
          <w:rFonts w:cs="Calibri"/>
          <w:color w:val="auto"/>
          <w:u w:val="single"/>
        </w:rPr>
        <w:t>for</w:t>
      </w:r>
      <w:r w:rsidRPr="00DD7BD1">
        <w:rPr>
          <w:rFonts w:cs="Calibri"/>
          <w:color w:val="auto"/>
          <w:spacing w:val="37"/>
          <w:u w:val="single"/>
        </w:rPr>
        <w:t xml:space="preserve"> </w:t>
      </w:r>
      <w:r w:rsidRPr="00DD7BD1">
        <w:rPr>
          <w:rFonts w:cs="Calibri"/>
          <w:color w:val="auto"/>
          <w:u w:val="single"/>
        </w:rPr>
        <w:t>exempt</w:t>
      </w:r>
      <w:r w:rsidRPr="00DD7BD1">
        <w:rPr>
          <w:rFonts w:cs="Calibri"/>
          <w:color w:val="auto"/>
          <w:spacing w:val="32"/>
          <w:u w:val="single"/>
        </w:rPr>
        <w:t xml:space="preserve"> </w:t>
      </w:r>
      <w:r w:rsidRPr="00DD7BD1">
        <w:rPr>
          <w:rFonts w:cs="Calibri"/>
          <w:color w:val="auto"/>
          <w:u w:val="single"/>
        </w:rPr>
        <w:t>employees</w:t>
      </w:r>
      <w:r w:rsidRPr="00DD7BD1">
        <w:rPr>
          <w:rFonts w:cs="Calibri"/>
          <w:color w:val="auto"/>
          <w:spacing w:val="50"/>
        </w:rPr>
        <w:t xml:space="preserve"> </w:t>
      </w:r>
      <w:r w:rsidRPr="00DD7BD1">
        <w:rPr>
          <w:rFonts w:cs="Calibri"/>
          <w:color w:val="auto"/>
        </w:rPr>
        <w:t>to</w:t>
      </w:r>
      <w:r w:rsidRPr="00DD7BD1">
        <w:rPr>
          <w:rFonts w:cs="Calibri"/>
          <w:color w:val="auto"/>
          <w:spacing w:val="41"/>
        </w:rPr>
        <w:t xml:space="preserve"> </w:t>
      </w:r>
      <w:r w:rsidRPr="00DD7BD1">
        <w:rPr>
          <w:rFonts w:cs="Calibri"/>
          <w:b/>
          <w:color w:val="auto"/>
        </w:rPr>
        <w:t>$70,304</w:t>
      </w:r>
      <w:r w:rsidRPr="00DD7BD1">
        <w:rPr>
          <w:rFonts w:cs="Calibri"/>
          <w:b/>
          <w:color w:val="auto"/>
          <w:spacing w:val="40"/>
        </w:rPr>
        <w:t xml:space="preserve"> </w:t>
      </w:r>
      <w:r w:rsidRPr="00DD7BD1">
        <w:rPr>
          <w:rFonts w:cs="Calibri"/>
          <w:b/>
          <w:color w:val="auto"/>
        </w:rPr>
        <w:t>per</w:t>
      </w:r>
      <w:r w:rsidRPr="00DD7BD1">
        <w:rPr>
          <w:rFonts w:cs="Calibri"/>
          <w:b/>
          <w:color w:val="auto"/>
          <w:spacing w:val="35"/>
        </w:rPr>
        <w:t xml:space="preserve"> </w:t>
      </w:r>
      <w:r w:rsidRPr="00DD7BD1">
        <w:rPr>
          <w:rFonts w:cs="Calibri"/>
          <w:b/>
          <w:color w:val="auto"/>
          <w:spacing w:val="-2"/>
        </w:rPr>
        <w:t>year.</w:t>
      </w:r>
    </w:p>
    <w:p w14:paraId="72D25293"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Employers</w:t>
      </w:r>
      <w:r w:rsidRPr="00DD7BD1">
        <w:rPr>
          <w:rFonts w:cs="Calibri"/>
          <w:color w:val="auto"/>
          <w:spacing w:val="-12"/>
          <w:w w:val="110"/>
        </w:rPr>
        <w:t xml:space="preserve"> </w:t>
      </w:r>
      <w:r w:rsidRPr="00DD7BD1">
        <w:rPr>
          <w:rFonts w:cs="Calibri"/>
          <w:color w:val="auto"/>
          <w:w w:val="110"/>
        </w:rPr>
        <w:t>covered</w:t>
      </w:r>
      <w:r w:rsidRPr="00DD7BD1">
        <w:rPr>
          <w:rFonts w:cs="Calibri"/>
          <w:color w:val="auto"/>
          <w:spacing w:val="-12"/>
          <w:w w:val="110"/>
        </w:rPr>
        <w:t xml:space="preserve"> </w:t>
      </w:r>
      <w:r w:rsidRPr="00DD7BD1">
        <w:rPr>
          <w:rFonts w:cs="Calibri"/>
          <w:color w:val="auto"/>
          <w:w w:val="110"/>
        </w:rPr>
        <w:t>by</w:t>
      </w:r>
      <w:r w:rsidRPr="00DD7BD1">
        <w:rPr>
          <w:rFonts w:cs="Calibri"/>
          <w:color w:val="auto"/>
          <w:spacing w:val="-12"/>
          <w:w w:val="110"/>
        </w:rPr>
        <w:t xml:space="preserve"> </w:t>
      </w:r>
      <w:r w:rsidRPr="00DD7BD1">
        <w:rPr>
          <w:rFonts w:cs="Calibri"/>
          <w:color w:val="auto"/>
          <w:w w:val="110"/>
        </w:rPr>
        <w:t>local</w:t>
      </w:r>
      <w:r w:rsidRPr="00DD7BD1">
        <w:rPr>
          <w:rFonts w:cs="Calibri"/>
          <w:color w:val="auto"/>
          <w:spacing w:val="-13"/>
          <w:w w:val="110"/>
        </w:rPr>
        <w:t xml:space="preserve"> </w:t>
      </w:r>
      <w:r w:rsidRPr="00DD7BD1">
        <w:rPr>
          <w:rFonts w:cs="Calibri"/>
          <w:color w:val="auto"/>
          <w:w w:val="110"/>
        </w:rPr>
        <w:t>or</w:t>
      </w:r>
      <w:r w:rsidRPr="00DD7BD1">
        <w:rPr>
          <w:rFonts w:cs="Calibri"/>
          <w:color w:val="auto"/>
          <w:spacing w:val="-13"/>
          <w:w w:val="110"/>
        </w:rPr>
        <w:t xml:space="preserve"> </w:t>
      </w:r>
      <w:r w:rsidRPr="00DD7BD1">
        <w:rPr>
          <w:rFonts w:cs="Calibri"/>
          <w:color w:val="auto"/>
          <w:w w:val="110"/>
        </w:rPr>
        <w:t>industry-specific</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wages</w:t>
      </w:r>
      <w:r w:rsidRPr="00DD7BD1">
        <w:rPr>
          <w:rFonts w:cs="Calibri"/>
          <w:color w:val="auto"/>
          <w:spacing w:val="-12"/>
          <w:w w:val="110"/>
        </w:rPr>
        <w:t xml:space="preserve"> </w:t>
      </w:r>
      <w:r w:rsidRPr="00DD7BD1">
        <w:rPr>
          <w:rFonts w:cs="Calibri"/>
          <w:color w:val="auto"/>
          <w:w w:val="110"/>
        </w:rPr>
        <w:t>that</w:t>
      </w:r>
      <w:r w:rsidRPr="00DD7BD1">
        <w:rPr>
          <w:rFonts w:cs="Calibri"/>
          <w:color w:val="auto"/>
          <w:spacing w:val="-13"/>
          <w:w w:val="110"/>
        </w:rPr>
        <w:t xml:space="preserve"> </w:t>
      </w:r>
      <w:r w:rsidRPr="00DD7BD1">
        <w:rPr>
          <w:rFonts w:cs="Calibri"/>
          <w:color w:val="auto"/>
          <w:w w:val="110"/>
        </w:rPr>
        <w:t>are</w:t>
      </w:r>
      <w:r w:rsidRPr="00DD7BD1">
        <w:rPr>
          <w:rFonts w:cs="Calibri"/>
          <w:color w:val="auto"/>
          <w:spacing w:val="-14"/>
          <w:w w:val="110"/>
        </w:rPr>
        <w:t xml:space="preserve"> </w:t>
      </w:r>
      <w:r w:rsidRPr="00DD7BD1">
        <w:rPr>
          <w:rFonts w:cs="Calibri"/>
          <w:color w:val="auto"/>
          <w:w w:val="110"/>
        </w:rPr>
        <w:t>higher</w:t>
      </w:r>
      <w:r w:rsidRPr="00DD7BD1">
        <w:rPr>
          <w:rFonts w:cs="Calibri"/>
          <w:color w:val="auto"/>
          <w:spacing w:val="-15"/>
          <w:w w:val="110"/>
        </w:rPr>
        <w:t xml:space="preserve"> </w:t>
      </w:r>
      <w:r w:rsidRPr="00DD7BD1">
        <w:rPr>
          <w:rFonts w:cs="Calibri"/>
          <w:color w:val="auto"/>
          <w:w w:val="110"/>
        </w:rPr>
        <w:t>must</w:t>
      </w:r>
      <w:r w:rsidRPr="00DD7BD1">
        <w:rPr>
          <w:rFonts w:cs="Calibri"/>
          <w:color w:val="auto"/>
          <w:spacing w:val="-13"/>
          <w:w w:val="110"/>
        </w:rPr>
        <w:t xml:space="preserve"> </w:t>
      </w:r>
      <w:r w:rsidRPr="00DD7BD1">
        <w:rPr>
          <w:rFonts w:cs="Calibri"/>
          <w:color w:val="auto"/>
          <w:w w:val="110"/>
        </w:rPr>
        <w:t>comply</w:t>
      </w:r>
      <w:r w:rsidRPr="00DD7BD1">
        <w:rPr>
          <w:rFonts w:cs="Calibri"/>
          <w:color w:val="auto"/>
          <w:spacing w:val="-13"/>
          <w:w w:val="110"/>
        </w:rPr>
        <w:t xml:space="preserve"> </w:t>
      </w:r>
      <w:r w:rsidRPr="00DD7BD1">
        <w:rPr>
          <w:rFonts w:cs="Calibri"/>
          <w:color w:val="auto"/>
          <w:w w:val="110"/>
        </w:rPr>
        <w:t>with</w:t>
      </w:r>
      <w:r w:rsidRPr="00DD7BD1">
        <w:rPr>
          <w:rFonts w:cs="Calibri"/>
          <w:color w:val="auto"/>
          <w:spacing w:val="-15"/>
          <w:w w:val="110"/>
        </w:rPr>
        <w:t xml:space="preserve"> </w:t>
      </w:r>
      <w:r w:rsidRPr="00DD7BD1">
        <w:rPr>
          <w:rFonts w:cs="Calibri"/>
          <w:color w:val="auto"/>
          <w:w w:val="110"/>
        </w:rPr>
        <w:t>those</w:t>
      </w:r>
      <w:r w:rsidRPr="00DD7BD1">
        <w:rPr>
          <w:rFonts w:cs="Calibri"/>
          <w:color w:val="auto"/>
          <w:spacing w:val="-12"/>
          <w:w w:val="110"/>
        </w:rPr>
        <w:t xml:space="preserve"> </w:t>
      </w:r>
      <w:r w:rsidRPr="00DD7BD1">
        <w:rPr>
          <w:rFonts w:cs="Calibri"/>
          <w:color w:val="auto"/>
          <w:spacing w:val="-2"/>
          <w:w w:val="110"/>
        </w:rPr>
        <w:t>rates.</w:t>
      </w:r>
    </w:p>
    <w:p w14:paraId="1A8B4998" w14:textId="77777777" w:rsidR="00A85628" w:rsidRPr="00DD7BD1" w:rsidRDefault="00A85628" w:rsidP="00434AFC">
      <w:pPr>
        <w:spacing w:after="0" w:line="240" w:lineRule="auto"/>
        <w:jc w:val="center"/>
        <w:rPr>
          <w:rFonts w:ascii="Calibri" w:hAnsi="Calibri" w:cs="Calibri"/>
          <w:b/>
          <w:bCs/>
          <w:sz w:val="28"/>
          <w:szCs w:val="28"/>
          <w:shd w:val="clear" w:color="auto" w:fill="FFFFFF"/>
          <w:lang w:val="en"/>
        </w:rPr>
      </w:pPr>
    </w:p>
    <w:p w14:paraId="0B1EAE17" w14:textId="16782760" w:rsidR="00434AFC" w:rsidRPr="00DD7BD1" w:rsidRDefault="00434AFC" w:rsidP="00434AF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Publishes Required Victim Leave Notice – </w:t>
      </w:r>
      <w:r w:rsidRPr="00DD7BD1">
        <w:rPr>
          <w:rFonts w:ascii="Calibri" w:hAnsi="Calibri" w:cs="Calibri"/>
          <w:b/>
          <w:bCs/>
          <w:color w:val="C00000"/>
          <w:sz w:val="28"/>
          <w:szCs w:val="28"/>
          <w:shd w:val="clear" w:color="auto" w:fill="FFFFFF"/>
        </w:rPr>
        <w:t>Eff July 1, 2025</w:t>
      </w:r>
      <w:bookmarkEnd w:id="50"/>
    </w:p>
    <w:p w14:paraId="3309544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Last year, California expanded its victim protection leave law and added a new notice requirement for employers of all sizes. </w:t>
      </w:r>
    </w:p>
    <w:p w14:paraId="07F2791E"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C1D212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notice requirement took effect July 1, 2025, employers weren’t required to comply until the California Civil Rights Department (CRD) released a model notice. That time has come—the </w:t>
      </w:r>
      <w:hyperlink r:id="rId597" w:tgtFrame="_blank" w:history="1">
        <w:r w:rsidRPr="00DD7BD1">
          <w:rPr>
            <w:rStyle w:val="Hyperlink"/>
            <w:rFonts w:ascii="Calibri" w:hAnsi="Calibri" w:cs="Calibri"/>
            <w:shd w:val="clear" w:color="auto" w:fill="FFFFFF"/>
          </w:rPr>
          <w:t>model notice</w:t>
        </w:r>
      </w:hyperlink>
      <w:r w:rsidRPr="00DD7BD1">
        <w:rPr>
          <w:rFonts w:ascii="Calibri" w:hAnsi="Calibri" w:cs="Calibri"/>
          <w:shd w:val="clear" w:color="auto" w:fill="FFFFFF"/>
        </w:rPr>
        <w:t xml:space="preserve"> is now available. </w:t>
      </w:r>
    </w:p>
    <w:p w14:paraId="048DCA4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E960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need to provide this notice:</w:t>
      </w:r>
    </w:p>
    <w:p w14:paraId="6BE6DF84"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new employees upon hire</w:t>
      </w:r>
    </w:p>
    <w:p w14:paraId="1319AA57"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all employees annually</w:t>
      </w:r>
    </w:p>
    <w:p w14:paraId="5AA887EC"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At any time upon request</w:t>
      </w:r>
    </w:p>
    <w:p w14:paraId="0E734B0B"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Any time an employee informs the employer that they or their family member is a victim</w:t>
      </w:r>
    </w:p>
    <w:p w14:paraId="7812A47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Employers that choose to create their own notice should ensure it meets the requirements of the law. The CRD also recently released general </w:t>
      </w:r>
      <w:hyperlink r:id="rId598"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on the state’s victim protection leave law.</w:t>
      </w:r>
    </w:p>
    <w:p w14:paraId="7E3C16E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6248C788" w14:textId="77777777" w:rsidR="00434AFC" w:rsidRPr="00DD7BD1" w:rsidRDefault="00434AFC" w:rsidP="00434AF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NOTES: </w:t>
      </w:r>
    </w:p>
    <w:p w14:paraId="1D1B9E3A"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r w:rsidRPr="00DD7BD1">
        <w:rPr>
          <w:rFonts w:ascii="Calibri" w:hAnsi="Calibri" w:cs="Calibri"/>
          <w:shd w:val="clear" w:color="auto" w:fill="FFFFFF"/>
        </w:rPr>
        <w:t>If you have </w:t>
      </w:r>
      <w:r w:rsidRPr="00DD7BD1">
        <w:rPr>
          <w:rFonts w:ascii="Calibri" w:hAnsi="Calibri" w:cs="Calibri"/>
          <w:b/>
          <w:bCs/>
          <w:shd w:val="clear" w:color="auto" w:fill="FFFFFF"/>
        </w:rPr>
        <w:t>25 or more employees</w:t>
      </w:r>
      <w:r w:rsidRPr="00DD7BD1">
        <w:rPr>
          <w:rFonts w:ascii="Calibri" w:hAnsi="Calibri" w:cs="Calibri"/>
          <w:shd w:val="clear" w:color="auto" w:fill="FFFFFF"/>
        </w:rPr>
        <w:t>, additional protections apply to employees whose </w:t>
      </w:r>
      <w:r w:rsidRPr="00DD7BD1">
        <w:rPr>
          <w:rFonts w:ascii="Calibri" w:hAnsi="Calibri" w:cs="Calibri"/>
          <w:b/>
          <w:bCs/>
          <w:shd w:val="clear" w:color="auto" w:fill="FFFFFF"/>
        </w:rPr>
        <w:t>family members</w:t>
      </w:r>
      <w:r w:rsidRPr="00DD7BD1">
        <w:rPr>
          <w:rFonts w:ascii="Calibri" w:hAnsi="Calibri" w:cs="Calibri"/>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proofErr w:type="gramStart"/>
      <w:r w:rsidRPr="00DD7BD1">
        <w:rPr>
          <w:rFonts w:ascii="Calibri" w:hAnsi="Calibri" w:cs="Calibri"/>
          <w:shd w:val="clear" w:color="auto" w:fill="FFFFFF"/>
        </w:rPr>
        <w:t>Employees they</w:t>
      </w:r>
      <w:proofErr w:type="gramEnd"/>
      <w:r w:rsidRPr="00DD7BD1">
        <w:rPr>
          <w:rFonts w:ascii="Calibri" w:hAnsi="Calibri" w:cs="Calibri"/>
          <w:shd w:val="clear" w:color="auto" w:fill="FFFFFF"/>
        </w:rPr>
        <w:t xml:space="preserve">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DD7BD1" w:rsidRDefault="00434AFC" w:rsidP="00434AFC">
      <w:pPr>
        <w:spacing w:after="0" w:line="240" w:lineRule="auto"/>
        <w:jc w:val="both"/>
        <w:rPr>
          <w:rFonts w:ascii="Calibri" w:hAnsi="Calibri" w:cs="Calibri"/>
          <w:shd w:val="clear" w:color="auto" w:fill="FFFFFF"/>
        </w:rPr>
      </w:pPr>
    </w:p>
    <w:p w14:paraId="21E953B8" w14:textId="5C26B318"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0" w:name="_Hlk205277445"/>
      <w:r w:rsidRPr="00DD7BD1">
        <w:rPr>
          <w:rFonts w:ascii="Calibri" w:hAnsi="Calibri" w:cs="Calibri"/>
          <w:b/>
          <w:bCs/>
          <w:sz w:val="28"/>
          <w:szCs w:val="28"/>
          <w:shd w:val="clear" w:color="auto" w:fill="FFFFFF"/>
        </w:rPr>
        <w:t>State Regulation IVF Coverage Mandate</w:t>
      </w:r>
    </w:p>
    <w:bookmarkEnd w:id="70"/>
    <w:p w14:paraId="0F3D773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Pr="00DD7BD1" w:rsidRDefault="00434AFC" w:rsidP="00434AFC">
      <w:pPr>
        <w:spacing w:after="0" w:line="240" w:lineRule="auto"/>
        <w:jc w:val="both"/>
        <w:rPr>
          <w:rFonts w:ascii="Calibri" w:hAnsi="Calibri" w:cs="Calibri"/>
          <w:shd w:val="clear" w:color="auto" w:fill="FFFFFF"/>
        </w:rPr>
      </w:pPr>
    </w:p>
    <w:p w14:paraId="2D4185D3"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45B7C8F8" w14:textId="77777777" w:rsidR="00434AFC" w:rsidRPr="00DD7BD1" w:rsidRDefault="00434AFC" w:rsidP="00434AFC">
      <w:pPr>
        <w:spacing w:after="0" w:line="240" w:lineRule="auto"/>
        <w:jc w:val="both"/>
        <w:rPr>
          <w:rFonts w:ascii="Calibri" w:hAnsi="Calibri" w:cs="Calibri"/>
          <w:shd w:val="clear" w:color="auto" w:fill="FFFFFF"/>
        </w:rPr>
      </w:pPr>
    </w:p>
    <w:p w14:paraId="36A5995A"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09F8E193" w14:textId="77777777" w:rsidR="00434AFC" w:rsidRPr="00DD7BD1" w:rsidRDefault="00434AFC" w:rsidP="00434AFC">
      <w:pPr>
        <w:spacing w:after="0" w:line="240" w:lineRule="auto"/>
        <w:jc w:val="both"/>
        <w:rPr>
          <w:rFonts w:ascii="Calibri" w:hAnsi="Calibri" w:cs="Calibri"/>
          <w:shd w:val="clear" w:color="auto" w:fill="FFFFFF"/>
        </w:rPr>
      </w:pPr>
    </w:p>
    <w:p w14:paraId="2BF269A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Pr="00DD7BD1" w:rsidRDefault="00434AFC" w:rsidP="00434AFC">
      <w:pPr>
        <w:spacing w:after="0" w:line="240" w:lineRule="auto"/>
        <w:jc w:val="both"/>
        <w:rPr>
          <w:rFonts w:ascii="Calibri" w:hAnsi="Calibri" w:cs="Calibri"/>
          <w:shd w:val="clear" w:color="auto" w:fill="FFFFFF"/>
        </w:rPr>
      </w:pPr>
    </w:p>
    <w:p w14:paraId="5752324F"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760D479" w14:textId="77777777" w:rsidR="00434AFC" w:rsidRPr="00DD7BD1" w:rsidRDefault="00434AFC" w:rsidP="00434AFC">
      <w:pPr>
        <w:spacing w:after="0" w:line="240" w:lineRule="auto"/>
        <w:jc w:val="both"/>
        <w:rPr>
          <w:rFonts w:ascii="Calibri" w:hAnsi="Calibri" w:cs="Calibri"/>
          <w:sz w:val="23"/>
          <w:szCs w:val="23"/>
          <w:shd w:val="clear" w:color="auto" w:fill="FFFFFF"/>
        </w:rPr>
      </w:pPr>
    </w:p>
    <w:p w14:paraId="28C3DC48" w14:textId="702A54FA"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1" w:name="_Hlk205277466"/>
      <w:r w:rsidRPr="00DD7BD1">
        <w:rPr>
          <w:rFonts w:ascii="Calibri" w:hAnsi="Calibri" w:cs="Calibri"/>
          <w:b/>
          <w:bCs/>
          <w:sz w:val="28"/>
          <w:szCs w:val="28"/>
          <w:shd w:val="clear" w:color="auto" w:fill="FFFFFF"/>
        </w:rPr>
        <w:t xml:space="preserve">Regulations Addressing AI &amp; Employment Discrimination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October 1, 2025</w:t>
      </w:r>
      <w:bookmarkEnd w:id="71"/>
    </w:p>
    <w:p w14:paraId="7CE6841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0BB01A8D"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599" w:tgtFrame="_blank" w:history="1">
        <w:r w:rsidRPr="00DD7BD1">
          <w:rPr>
            <w:rStyle w:val="Hyperlink"/>
            <w:rFonts w:ascii="Calibri" w:hAnsi="Calibri" w:cs="Calibri"/>
            <w:shd w:val="clear" w:color="auto" w:fill="FFFFFF"/>
          </w:rPr>
          <w:t>Civil Rights Council sought</w:t>
        </w:r>
      </w:hyperlink>
      <w:r w:rsidRPr="00DD7BD1">
        <w:rPr>
          <w:rFonts w:ascii="Calibri" w:hAnsi="Calibri" w:cs="Calibri"/>
          <w:shd w:val="clear" w:color="auto" w:fill="FFFFFF"/>
        </w:rPr>
        <w:t> to “increase[] clarity on how existing antidiscrimination laws apply to the use of artificial intelligence in employment decisions.”</w:t>
      </w:r>
    </w:p>
    <w:p w14:paraId="7DF7533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AA94A3B"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Practical Considerations for California Employers</w:t>
      </w:r>
    </w:p>
    <w:p w14:paraId="4B91A6D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the true impact of the new FEHA regulations remains to be seen, employers would be well-advised to </w:t>
      </w:r>
      <w:r w:rsidRPr="00DD7BD1">
        <w:rPr>
          <w:rFonts w:ascii="Calibri" w:hAnsi="Calibri" w:cs="Calibri"/>
          <w:u w:val="single"/>
          <w:shd w:val="clear" w:color="auto" w:fill="FFFFFF"/>
        </w:rPr>
        <w:t>catalog where and how any ADS and other AI tools are used in hiring, screening, and employment decisions to help ensure that the practices conform with the new FEHA regulations</w:t>
      </w:r>
      <w:r w:rsidRPr="00DD7BD1">
        <w:rPr>
          <w:rFonts w:ascii="Calibri" w:hAnsi="Calibri" w:cs="Calibri"/>
          <w:shd w:val="clear" w:color="auto" w:fill="FFFFFF"/>
        </w:rPr>
        <w:t xml:space="preserve">. </w:t>
      </w:r>
    </w:p>
    <w:p w14:paraId="2DB9F45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1DFD24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DD7BD1">
        <w:rPr>
          <w:rFonts w:ascii="Calibri" w:hAnsi="Calibri" w:cs="Calibri"/>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DD7BD1">
        <w:rPr>
          <w:rFonts w:ascii="Calibri" w:hAnsi="Calibri" w:cs="Calibri"/>
          <w:shd w:val="clear" w:color="auto" w:fill="FFFFFF"/>
        </w:rPr>
        <w:t>.</w:t>
      </w:r>
    </w:p>
    <w:p w14:paraId="129390E4"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22A4828"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should also consider </w:t>
      </w:r>
      <w:r w:rsidRPr="00DD7BD1">
        <w:rPr>
          <w:rFonts w:ascii="Calibri" w:hAnsi="Calibri" w:cs="Calibri"/>
          <w:u w:val="single"/>
          <w:shd w:val="clear" w:color="auto" w:fill="FFFFFF"/>
        </w:rPr>
        <w:t>requiring transparency and disclosure from vendors regarding their AI use</w:t>
      </w:r>
      <w:r w:rsidRPr="00DD7BD1">
        <w:rPr>
          <w:rFonts w:ascii="Calibri" w:hAnsi="Calibri" w:cs="Calibri"/>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1C393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CED7C6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5B54D1C" w14:textId="29D17392"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Recommendations extracted from the July 15, </w:t>
      </w:r>
      <w:proofErr w:type="gramStart"/>
      <w:r w:rsidRPr="00DD7BD1">
        <w:rPr>
          <w:rFonts w:ascii="Calibri" w:hAnsi="Calibri" w:cs="Calibri"/>
          <w:shd w:val="clear" w:color="auto" w:fill="FFFFFF"/>
        </w:rPr>
        <w:t>2025</w:t>
      </w:r>
      <w:proofErr w:type="gramEnd"/>
      <w:r w:rsidRPr="00DD7BD1">
        <w:rPr>
          <w:rFonts w:ascii="Calibri" w:hAnsi="Calibri" w:cs="Calibri"/>
          <w:shd w:val="clear" w:color="auto" w:fill="FFFFFF"/>
        </w:rPr>
        <w:t xml:space="preserve"> Greenberg Traurig article which can be found </w:t>
      </w:r>
      <w:hyperlink r:id="rId600" w:history="1">
        <w:r w:rsidRPr="00DD7BD1">
          <w:rPr>
            <w:rStyle w:val="Hyperlink"/>
            <w:rFonts w:ascii="Calibri" w:hAnsi="Calibri" w:cs="Calibri"/>
            <w:shd w:val="clear" w:color="auto" w:fill="FFFFFF"/>
          </w:rPr>
          <w:t>HERE</w:t>
        </w:r>
      </w:hyperlink>
    </w:p>
    <w:p w14:paraId="20AEEBBA" w14:textId="77777777" w:rsidR="00434AFC" w:rsidRPr="00DD7BD1" w:rsidRDefault="00434AFC" w:rsidP="00402F96">
      <w:pPr>
        <w:jc w:val="center"/>
        <w:rPr>
          <w:rFonts w:ascii="Calibri" w:hAnsi="Calibri" w:cs="Calibri"/>
          <w:b/>
          <w:bCs/>
          <w:sz w:val="16"/>
          <w:szCs w:val="16"/>
          <w:shd w:val="clear" w:color="auto" w:fill="FFFFFF"/>
          <w:lang w:val="en"/>
        </w:rPr>
      </w:pPr>
    </w:p>
    <w:p w14:paraId="127EA9FC" w14:textId="2D2933A4"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Minimum Wage Increases </w:t>
      </w:r>
      <w:r w:rsidRPr="00DD7BD1">
        <w:rPr>
          <w:rFonts w:ascii="Calibri" w:hAnsi="Calibri" w:cs="Calibri"/>
          <w:b/>
          <w:bCs/>
          <w:color w:val="C00000"/>
          <w:sz w:val="28"/>
          <w:szCs w:val="28"/>
          <w:shd w:val="clear" w:color="auto" w:fill="FFFFFF"/>
          <w:lang w:val="en"/>
        </w:rPr>
        <w:t>– July 1,2025</w:t>
      </w:r>
    </w:p>
    <w:p w14:paraId="204BE95D"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DD7BD1" w:rsidRDefault="00784E6F" w:rsidP="00402F96">
      <w:pPr>
        <w:jc w:val="center"/>
        <w:rPr>
          <w:rFonts w:ascii="Calibri" w:hAnsi="Calibri" w:cs="Calibri"/>
          <w:b/>
          <w:bCs/>
          <w:color w:val="C00000"/>
          <w:sz w:val="20"/>
          <w:szCs w:val="20"/>
          <w:shd w:val="clear" w:color="auto" w:fill="FFFFFF"/>
        </w:rPr>
      </w:pPr>
      <w:r w:rsidRPr="00DD7BD1">
        <w:rPr>
          <w:rFonts w:ascii="Calibri" w:hAnsi="Calibri" w:cs="Calibri"/>
          <w:b/>
          <w:bCs/>
          <w:noProof/>
          <w:color w:val="C00000"/>
          <w:sz w:val="20"/>
          <w:szCs w:val="20"/>
          <w:shd w:val="clear" w:color="auto" w:fill="FFFFFF"/>
        </w:rPr>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601"/>
                    <a:stretch>
                      <a:fillRect/>
                    </a:stretch>
                  </pic:blipFill>
                  <pic:spPr>
                    <a:xfrm>
                      <a:off x="0" y="0"/>
                      <a:ext cx="4234626" cy="3363955"/>
                    </a:xfrm>
                    <a:prstGeom prst="rect">
                      <a:avLst/>
                    </a:prstGeom>
                  </pic:spPr>
                </pic:pic>
              </a:graphicData>
            </a:graphic>
          </wp:inline>
        </w:drawing>
      </w:r>
    </w:p>
    <w:p w14:paraId="751A716F" w14:textId="26445C20" w:rsidR="00402F96" w:rsidRPr="00DD7BD1" w:rsidRDefault="00402F96" w:rsidP="00402F96">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sz w:val="20"/>
          <w:szCs w:val="20"/>
          <w:shd w:val="clear" w:color="auto" w:fill="FFFFFF"/>
        </w:rPr>
        <w:t>The minimum wage in other California localities, such as Alameda County, is also set to increase on July 1, 2025</w:t>
      </w:r>
    </w:p>
    <w:p w14:paraId="63160BE0" w14:textId="77777777" w:rsidR="00402F96" w:rsidRPr="00DD7BD1" w:rsidRDefault="00402F96" w:rsidP="0040292C">
      <w:pPr>
        <w:spacing w:after="0" w:line="240" w:lineRule="auto"/>
        <w:jc w:val="center"/>
        <w:rPr>
          <w:rFonts w:ascii="Calibri" w:hAnsi="Calibri" w:cs="Calibri"/>
          <w:b/>
          <w:bCs/>
          <w:color w:val="000000" w:themeColor="text1"/>
          <w:sz w:val="28"/>
          <w:szCs w:val="28"/>
          <w:shd w:val="clear" w:color="auto" w:fill="FFFFFF"/>
        </w:rPr>
      </w:pPr>
    </w:p>
    <w:p w14:paraId="6DF27DE5" w14:textId="64A32D84" w:rsidR="0040292C" w:rsidRPr="00DD7BD1" w:rsidRDefault="0040292C" w:rsidP="0040292C">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color w:val="000000" w:themeColor="text1"/>
          <w:sz w:val="28"/>
          <w:szCs w:val="28"/>
          <w:shd w:val="clear" w:color="auto" w:fill="FFFFFF"/>
        </w:rPr>
        <w:t xml:space="preserve">San Francisco Health Care Security Ordinance and Fair Chance Act Ordinances Require Annual Reporting Form – </w:t>
      </w:r>
      <w:r w:rsidRPr="00DD7BD1">
        <w:rPr>
          <w:rFonts w:ascii="Calibri" w:hAnsi="Calibri" w:cs="Calibri"/>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DD7BD1"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Pr="00DD7BD1" w:rsidRDefault="0040292C" w:rsidP="009E106B">
                  <w:pPr>
                    <w:spacing w:after="0" w:line="240" w:lineRule="auto"/>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covered by San Francisco’s Health Care Security Ordinance (HCSO) and/or Fair Chance Ordinance (FCO) must submit their 2024 Annual Reporting Form to the </w:t>
                  </w:r>
                  <w:hyperlink r:id="rId602" w:tgtFrame="_blank" w:history="1">
                    <w:r w:rsidRPr="00DD7BD1">
                      <w:rPr>
                        <w:rStyle w:val="Hyperlink"/>
                        <w:rFonts w:ascii="Calibri" w:hAnsi="Calibri" w:cs="Calibri"/>
                        <w:shd w:val="clear" w:color="auto" w:fill="FFFFFF"/>
                      </w:rPr>
                      <w:t>San Francisco Office of Labor Standards Enforcement (OLSE)</w:t>
                    </w:r>
                  </w:hyperlink>
                  <w:r w:rsidRPr="00DD7BD1">
                    <w:rPr>
                      <w:rFonts w:ascii="Calibri" w:hAnsi="Calibri" w:cs="Calibri"/>
                      <w:color w:val="C00000"/>
                      <w:shd w:val="clear" w:color="auto" w:fill="FFFFFF"/>
                    </w:rPr>
                    <w:t> </w:t>
                  </w:r>
                  <w:r w:rsidRPr="00DD7BD1">
                    <w:rPr>
                      <w:rFonts w:ascii="Calibri" w:hAnsi="Calibri" w:cs="Calibri"/>
                      <w:color w:val="000000" w:themeColor="text1"/>
                      <w:shd w:val="clear" w:color="auto" w:fill="FFFFFF"/>
                    </w:rPr>
                    <w:t xml:space="preserve">by </w:t>
                  </w:r>
                  <w:r w:rsidRPr="00DD7BD1">
                    <w:rPr>
                      <w:rFonts w:ascii="Calibri" w:hAnsi="Calibri" w:cs="Calibri"/>
                      <w:color w:val="C00000"/>
                      <w:shd w:val="clear" w:color="auto" w:fill="FFFFFF"/>
                    </w:rPr>
                    <w:t>May 2, 2025</w:t>
                  </w:r>
                  <w:r w:rsidRPr="00DD7BD1">
                    <w:rPr>
                      <w:rFonts w:ascii="Calibri" w:hAnsi="Calibri" w:cs="Calibri"/>
                      <w:color w:val="000000" w:themeColor="text1"/>
                      <w:shd w:val="clear" w:color="auto" w:fill="FFFFFF"/>
                    </w:rPr>
                    <w:t>.</w:t>
                  </w:r>
                </w:p>
                <w:p w14:paraId="1BC93FFE" w14:textId="77777777" w:rsidR="0040292C" w:rsidRPr="00DD7BD1" w:rsidRDefault="0040292C" w:rsidP="009E106B">
                  <w:pPr>
                    <w:spacing w:after="0" w:line="240" w:lineRule="auto"/>
                    <w:rPr>
                      <w:rFonts w:ascii="Calibri" w:hAnsi="Calibri" w:cs="Calibri"/>
                      <w:color w:val="C00000"/>
                      <w:sz w:val="12"/>
                      <w:szCs w:val="12"/>
                      <w:shd w:val="clear" w:color="auto" w:fill="FFFFFF"/>
                    </w:rPr>
                  </w:pPr>
                </w:p>
                <w:p w14:paraId="12A8BA75" w14:textId="77777777" w:rsidR="0040292C" w:rsidRPr="00DD7BD1" w:rsidRDefault="0040292C" w:rsidP="009E106B">
                  <w:pPr>
                    <w:spacing w:after="0" w:line="240" w:lineRule="auto"/>
                    <w:rPr>
                      <w:rFonts w:ascii="Calibri" w:hAnsi="Calibri" w:cs="Calibri"/>
                      <w:color w:val="C00000"/>
                      <w:shd w:val="clear" w:color="auto" w:fill="FFFFFF"/>
                    </w:rPr>
                  </w:pPr>
                  <w:r w:rsidRPr="00DD7BD1">
                    <w:rPr>
                      <w:rFonts w:ascii="Calibri" w:hAnsi="Calibri" w:cs="Calibri"/>
                      <w:color w:val="000000" w:themeColor="text1"/>
                      <w:shd w:val="clear" w:color="auto" w:fill="FFFFFF"/>
                    </w:rPr>
                    <w:lastRenderedPageBreak/>
                    <w:t>More information about these two ordinances is available at the </w:t>
                  </w:r>
                  <w:hyperlink r:id="rId603" w:tgtFrame="_blank" w:history="1">
                    <w:r w:rsidRPr="00DD7BD1">
                      <w:rPr>
                        <w:rStyle w:val="Hyperlink"/>
                        <w:rFonts w:ascii="Calibri" w:hAnsi="Calibri" w:cs="Calibri"/>
                        <w:shd w:val="clear" w:color="auto" w:fill="FFFFFF"/>
                      </w:rPr>
                      <w:t>OLSE website</w:t>
                    </w:r>
                  </w:hyperlink>
                  <w:r w:rsidRPr="00DD7BD1">
                    <w:rPr>
                      <w:rFonts w:ascii="Calibri" w:hAnsi="Calibri" w:cs="Calibri"/>
                      <w:color w:val="000000" w:themeColor="text1"/>
                      <w:shd w:val="clear" w:color="auto" w:fill="FFFFFF"/>
                    </w:rPr>
                    <w:t> or see the resources provided at the end of this email.</w:t>
                  </w:r>
                </w:p>
              </w:tc>
            </w:tr>
          </w:tbl>
          <w:p w14:paraId="72F202DE"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81F2383"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HCSO Reporting Requirements</w:t>
                  </w:r>
                </w:p>
                <w:p w14:paraId="75357E41"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DD7BD1" w:rsidRDefault="0040292C" w:rsidP="009E106B">
                  <w:pPr>
                    <w:spacing w:after="0" w:line="240" w:lineRule="auto"/>
                    <w:rPr>
                      <w:rFonts w:ascii="Calibri" w:hAnsi="Calibri" w:cs="Calibri"/>
                      <w:sz w:val="12"/>
                      <w:szCs w:val="12"/>
                      <w:shd w:val="clear" w:color="auto" w:fill="FFFFFF"/>
                    </w:rPr>
                  </w:pPr>
                </w:p>
                <w:p w14:paraId="569FFBF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HCSO:</w:t>
                  </w:r>
                </w:p>
                <w:p w14:paraId="5292CAD0" w14:textId="77777777" w:rsidR="0040292C" w:rsidRPr="00DD7BD1" w:rsidRDefault="0040292C">
                  <w:pPr>
                    <w:numPr>
                      <w:ilvl w:val="0"/>
                      <w:numId w:val="162"/>
                    </w:numPr>
                    <w:spacing w:after="0" w:line="240" w:lineRule="auto"/>
                    <w:rPr>
                      <w:rFonts w:ascii="Calibri" w:hAnsi="Calibri" w:cs="Calibri"/>
                      <w:shd w:val="clear" w:color="auto" w:fill="FFFFFF"/>
                    </w:rPr>
                  </w:pPr>
                  <w:r w:rsidRPr="00DD7BD1">
                    <w:rPr>
                      <w:rFonts w:ascii="Calibri" w:hAnsi="Calibri" w:cs="Calibri"/>
                      <w:shd w:val="clear" w:color="auto" w:fill="FFFFFF"/>
                    </w:rPr>
                    <w:t>Employ one or more workers within the geographic boundaries of the city and county of San Francisco;</w:t>
                  </w:r>
                </w:p>
                <w:p w14:paraId="647B665A" w14:textId="77777777" w:rsidR="0040292C" w:rsidRPr="00DD7BD1" w:rsidRDefault="0040292C">
                  <w:pPr>
                    <w:numPr>
                      <w:ilvl w:val="0"/>
                      <w:numId w:val="163"/>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obtain a valid San Francisco business registration certificate; and</w:t>
                  </w:r>
                </w:p>
                <w:p w14:paraId="6D126DE6" w14:textId="77777777" w:rsidR="0040292C" w:rsidRPr="00DD7BD1" w:rsidRDefault="0040292C">
                  <w:pPr>
                    <w:numPr>
                      <w:ilvl w:val="0"/>
                      <w:numId w:val="16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Are a for-profit business with 20 or more people performing work, or a nonprofit organization with 50 or more people performing work. (This includes all persons working for the entity, regardless of whether they </w:t>
                  </w:r>
                  <w:proofErr w:type="gramStart"/>
                  <w:r w:rsidRPr="00DD7BD1">
                    <w:rPr>
                      <w:rFonts w:ascii="Calibri" w:hAnsi="Calibri" w:cs="Calibri"/>
                      <w:shd w:val="clear" w:color="auto" w:fill="FFFFFF"/>
                    </w:rPr>
                    <w:t>are located in</w:t>
                  </w:r>
                  <w:proofErr w:type="gramEnd"/>
                  <w:r w:rsidRPr="00DD7BD1">
                    <w:rPr>
                      <w:rFonts w:ascii="Calibri" w:hAnsi="Calibri" w:cs="Calibri"/>
                      <w:shd w:val="clear" w:color="auto" w:fill="FFFFFF"/>
                    </w:rPr>
                    <w:t xml:space="preserve"> San Francisco or outside of the city.)</w:t>
                  </w:r>
                </w:p>
                <w:p w14:paraId="770EFD46"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FCO (Fair Chance Ordinance) Reporting Requirements</w:t>
                  </w:r>
                </w:p>
                <w:p w14:paraId="4E8A2494"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DD7BD1" w:rsidRDefault="0040292C" w:rsidP="009E106B">
                  <w:pPr>
                    <w:spacing w:after="0" w:line="240" w:lineRule="auto"/>
                    <w:rPr>
                      <w:rFonts w:ascii="Calibri" w:hAnsi="Calibri" w:cs="Calibri"/>
                      <w:shd w:val="clear" w:color="auto" w:fill="FFFFFF"/>
                    </w:rPr>
                  </w:pPr>
                </w:p>
                <w:p w14:paraId="2D2E3844"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FCO:</w:t>
                  </w:r>
                </w:p>
                <w:p w14:paraId="61315846" w14:textId="77777777" w:rsidR="0040292C" w:rsidRPr="00DD7BD1" w:rsidRDefault="0040292C">
                  <w:pPr>
                    <w:numPr>
                      <w:ilvl w:val="0"/>
                      <w:numId w:val="165"/>
                    </w:numPr>
                    <w:spacing w:after="0" w:line="240" w:lineRule="auto"/>
                    <w:rPr>
                      <w:rFonts w:ascii="Calibri" w:hAnsi="Calibri" w:cs="Calibri"/>
                      <w:shd w:val="clear" w:color="auto" w:fill="FFFFFF"/>
                    </w:rPr>
                  </w:pPr>
                  <w:r w:rsidRPr="00DD7BD1">
                    <w:rPr>
                      <w:rFonts w:ascii="Calibri" w:hAnsi="Calibri" w:cs="Calibri"/>
                      <w:shd w:val="clear" w:color="auto" w:fill="FFFFFF"/>
                    </w:rPr>
                    <w:t>Are located or doing business in San Francisco; and</w:t>
                  </w:r>
                </w:p>
                <w:p w14:paraId="3D1471E3" w14:textId="77777777" w:rsidR="0040292C" w:rsidRPr="00DD7BD1" w:rsidRDefault="0040292C">
                  <w:pPr>
                    <w:numPr>
                      <w:ilvl w:val="0"/>
                      <w:numId w:val="166"/>
                    </w:numPr>
                    <w:spacing w:after="0" w:line="240" w:lineRule="auto"/>
                    <w:rPr>
                      <w:rFonts w:ascii="Calibri" w:hAnsi="Calibri" w:cs="Calibri"/>
                      <w:shd w:val="clear" w:color="auto" w:fill="FFFFFF"/>
                    </w:rPr>
                  </w:pPr>
                  <w:r w:rsidRPr="00DD7BD1">
                    <w:rPr>
                      <w:rFonts w:ascii="Calibri" w:hAnsi="Calibri" w:cs="Calibri"/>
                      <w:shd w:val="clear" w:color="auto" w:fill="FFFFFF"/>
                    </w:rPr>
                    <w:t>Have five or more employees, regardless of whether those employees are all located in San Francisco.</w:t>
                  </w:r>
                </w:p>
                <w:p w14:paraId="5461DFFD" w14:textId="77777777" w:rsidR="0040292C" w:rsidRPr="00DD7BD1" w:rsidRDefault="0040292C" w:rsidP="009E106B">
                  <w:pPr>
                    <w:spacing w:after="0" w:line="240" w:lineRule="auto"/>
                    <w:rPr>
                      <w:rFonts w:ascii="Calibri" w:hAnsi="Calibri" w:cs="Calibri"/>
                      <w:u w:val="single"/>
                      <w:shd w:val="clear" w:color="auto" w:fill="FFFFFF"/>
                    </w:rPr>
                  </w:pPr>
                </w:p>
                <w:p w14:paraId="49DAD489"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 must annually disclose various information, including:</w:t>
                  </w:r>
                </w:p>
                <w:p w14:paraId="6B186DA0" w14:textId="77777777" w:rsidR="0040292C" w:rsidRPr="00DD7BD1" w:rsidRDefault="0040292C">
                  <w:pPr>
                    <w:numPr>
                      <w:ilvl w:val="0"/>
                      <w:numId w:val="167"/>
                    </w:numPr>
                    <w:spacing w:after="0" w:line="240" w:lineRule="auto"/>
                    <w:rPr>
                      <w:rFonts w:ascii="Calibri" w:hAnsi="Calibri" w:cs="Calibri"/>
                      <w:shd w:val="clear" w:color="auto" w:fill="FFFFFF"/>
                    </w:rPr>
                  </w:pPr>
                  <w:r w:rsidRPr="00DD7BD1">
                    <w:rPr>
                      <w:rFonts w:ascii="Calibri" w:hAnsi="Calibri" w:cs="Calibri"/>
                      <w:shd w:val="clear" w:color="auto" w:fill="FFFFFF"/>
                    </w:rPr>
                    <w:t>The total number of employees hired to work within San Francisco for the prior calendar year;</w:t>
                  </w:r>
                </w:p>
                <w:p w14:paraId="23327582" w14:textId="77777777" w:rsidR="0040292C" w:rsidRPr="00DD7BD1" w:rsidRDefault="0040292C">
                  <w:pPr>
                    <w:numPr>
                      <w:ilvl w:val="0"/>
                      <w:numId w:val="168"/>
                    </w:numPr>
                    <w:spacing w:after="0" w:line="240" w:lineRule="auto"/>
                    <w:rPr>
                      <w:rFonts w:ascii="Calibri" w:hAnsi="Calibri" w:cs="Calibri"/>
                      <w:shd w:val="clear" w:color="auto" w:fill="FFFFFF"/>
                    </w:rPr>
                  </w:pPr>
                  <w:r w:rsidRPr="00DD7BD1">
                    <w:rPr>
                      <w:rFonts w:ascii="Calibri" w:hAnsi="Calibri" w:cs="Calibri"/>
                      <w:shd w:val="clear" w:color="auto" w:fill="FFFFFF"/>
                    </w:rPr>
                    <w:t>Whether background checks were performed on job applicants; and</w:t>
                  </w:r>
                </w:p>
                <w:p w14:paraId="61D2C2BB" w14:textId="77777777" w:rsidR="0040292C" w:rsidRPr="00DD7BD1" w:rsidRDefault="0040292C">
                  <w:pPr>
                    <w:numPr>
                      <w:ilvl w:val="0"/>
                      <w:numId w:val="169"/>
                    </w:numPr>
                    <w:spacing w:after="0" w:line="240" w:lineRule="auto"/>
                    <w:rPr>
                      <w:rFonts w:ascii="Calibri" w:hAnsi="Calibri" w:cs="Calibri"/>
                      <w:shd w:val="clear" w:color="auto" w:fill="FFFFFF"/>
                    </w:rPr>
                  </w:pPr>
                  <w:r w:rsidRPr="00DD7BD1">
                    <w:rPr>
                      <w:rFonts w:ascii="Calibri" w:hAnsi="Calibri" w:cs="Calibri"/>
                      <w:shd w:val="clear" w:color="auto" w:fill="FFFFFF"/>
                    </w:rPr>
                    <w:t>If individuals with conviction histories were hired.</w:t>
                  </w:r>
                </w:p>
              </w:tc>
            </w:tr>
          </w:tbl>
          <w:p w14:paraId="3521756E"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Employers covered by either of these two San Francisco ordinances </w:t>
                  </w:r>
                  <w:r w:rsidRPr="00DD7BD1">
                    <w:rPr>
                      <w:rFonts w:ascii="Calibri" w:hAnsi="Calibri" w:cs="Calibri"/>
                      <w:u w:val="single"/>
                      <w:shd w:val="clear" w:color="auto" w:fill="FFFFFF"/>
                    </w:rPr>
                    <w:t>must complete and submit</w:t>
                  </w:r>
                  <w:r w:rsidRPr="00DD7BD1">
                    <w:rPr>
                      <w:rFonts w:ascii="Calibri" w:hAnsi="Calibri" w:cs="Calibri"/>
                      <w:shd w:val="clear" w:color="auto" w:fill="FFFFFF"/>
                    </w:rPr>
                    <w:t> the Annual Reporting Form by May 2, 2025. Failure to submit it by the deadline may subject employers to a penalty of $500 per quarter.</w:t>
                  </w:r>
                </w:p>
                <w:p w14:paraId="0A859AC7" w14:textId="77777777" w:rsidR="0040292C" w:rsidRPr="00DD7BD1" w:rsidRDefault="0040292C" w:rsidP="009E106B">
                  <w:pPr>
                    <w:spacing w:after="0" w:line="240" w:lineRule="auto"/>
                    <w:rPr>
                      <w:rFonts w:ascii="Calibri" w:hAnsi="Calibri" w:cs="Calibri"/>
                      <w:shd w:val="clear" w:color="auto" w:fill="FFFFFF"/>
                    </w:rPr>
                  </w:pPr>
                </w:p>
                <w:p w14:paraId="428F6842"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2024 Form, annual reporting instructions and additional guidance can be found on the </w:t>
                  </w:r>
                  <w:hyperlink r:id="rId604" w:tgtFrame="_blank" w:history="1">
                    <w:r w:rsidRPr="00DD7BD1">
                      <w:rPr>
                        <w:rStyle w:val="Hyperlink"/>
                        <w:rFonts w:ascii="Calibri" w:hAnsi="Calibri" w:cs="Calibri"/>
                        <w:shd w:val="clear" w:color="auto" w:fill="FFFFFF"/>
                      </w:rPr>
                      <w:t>Annual Reporting Form website</w:t>
                    </w:r>
                  </w:hyperlink>
                  <w:r w:rsidRPr="00DD7BD1">
                    <w:rPr>
                      <w:rStyle w:val="Hyperlink"/>
                      <w:rFonts w:ascii="Calibri" w:hAnsi="Calibri" w:cs="Calibri"/>
                    </w:rPr>
                    <w:t>.</w:t>
                  </w:r>
                </w:p>
              </w:tc>
            </w:tr>
          </w:tbl>
          <w:p w14:paraId="0DF16830"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Resources:</w:t>
                  </w:r>
                </w:p>
                <w:p w14:paraId="3A5868C1"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605" w:tgtFrame="_blank" w:history="1">
                    <w:r w:rsidRPr="00DD7BD1">
                      <w:rPr>
                        <w:rStyle w:val="Hyperlink"/>
                        <w:rFonts w:ascii="Calibri" w:hAnsi="Calibri" w:cs="Calibri"/>
                        <w:shd w:val="clear" w:color="auto" w:fill="FFFFFF"/>
                      </w:rPr>
                      <w:t>San Francisco Fair Chance Ordinance</w:t>
                    </w:r>
                  </w:hyperlink>
                </w:p>
                <w:p w14:paraId="6CB7760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606" w:tgtFrame="_blank" w:history="1">
                    <w:r w:rsidRPr="00DD7BD1">
                      <w:rPr>
                        <w:rStyle w:val="Hyperlink"/>
                        <w:rFonts w:ascii="Calibri" w:hAnsi="Calibri" w:cs="Calibri"/>
                        <w:shd w:val="clear" w:color="auto" w:fill="FFFFFF"/>
                      </w:rPr>
                      <w:t>San Francisco Health Care Security Ordinance</w:t>
                    </w:r>
                  </w:hyperlink>
                </w:p>
                <w:p w14:paraId="55373498"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607" w:tgtFrame="_blank" w:history="1">
                    <w:r w:rsidRPr="00DD7BD1">
                      <w:rPr>
                        <w:rStyle w:val="Hyperlink"/>
                        <w:rFonts w:ascii="Calibri" w:hAnsi="Calibri" w:cs="Calibri"/>
                        <w:shd w:val="clear" w:color="auto" w:fill="FFFFFF"/>
                      </w:rPr>
                      <w:t>San Francisco Office of Labor Standards Enforcement</w:t>
                    </w:r>
                  </w:hyperlink>
                </w:p>
                <w:p w14:paraId="41E98D7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608" w:tgtFrame="_blank" w:history="1">
                    <w:r w:rsidRPr="00DD7BD1">
                      <w:rPr>
                        <w:rStyle w:val="Hyperlink"/>
                        <w:rFonts w:ascii="Calibri" w:hAnsi="Calibri" w:cs="Calibri"/>
                        <w:shd w:val="clear" w:color="auto" w:fill="FFFFFF"/>
                      </w:rPr>
                      <w:t>Annual Reporting Portal for the Office of Labor Standards Enforcement</w:t>
                    </w:r>
                  </w:hyperlink>
                </w:p>
              </w:tc>
            </w:tr>
          </w:tbl>
          <w:p w14:paraId="4D696C68"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C2B2336" w14:textId="77777777" w:rsidR="0040292C" w:rsidRPr="00DD7BD1" w:rsidRDefault="0040292C" w:rsidP="00BD445F">
      <w:pPr>
        <w:spacing w:after="0" w:line="240" w:lineRule="auto"/>
        <w:jc w:val="center"/>
        <w:rPr>
          <w:rFonts w:ascii="Calibri" w:hAnsi="Calibri" w:cs="Calibri"/>
          <w:b/>
          <w:bCs/>
          <w:sz w:val="28"/>
          <w:szCs w:val="28"/>
          <w:shd w:val="clear" w:color="auto" w:fill="FFFFFF"/>
          <w:lang w:val="en"/>
        </w:rPr>
      </w:pPr>
    </w:p>
    <w:p w14:paraId="661871C9" w14:textId="249F3E7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Pay Data Report Filing Platform Opens </w:t>
      </w:r>
      <w:r w:rsidRPr="00DD7BD1">
        <w:rPr>
          <w:rFonts w:ascii="Calibri" w:hAnsi="Calibri" w:cs="Calibri"/>
          <w:b/>
          <w:bCs/>
          <w:color w:val="C00000"/>
          <w:sz w:val="28"/>
          <w:szCs w:val="28"/>
          <w:shd w:val="clear" w:color="auto" w:fill="FFFFFF"/>
          <w:lang w:val="en"/>
        </w:rPr>
        <w:t>Feb 3, 2025 &amp; Filing Due May 14</w:t>
      </w:r>
    </w:p>
    <w:p w14:paraId="52D2286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Pr="00DD7BD1" w:rsidRDefault="00BD445F" w:rsidP="00BD445F">
      <w:pPr>
        <w:spacing w:after="0" w:line="240" w:lineRule="auto"/>
        <w:rPr>
          <w:rFonts w:ascii="Calibri" w:hAnsi="Calibri" w:cs="Calibri"/>
          <w:shd w:val="clear" w:color="auto" w:fill="FFFFFF"/>
        </w:rPr>
      </w:pPr>
    </w:p>
    <w:p w14:paraId="2AFF423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Pr="00DD7BD1" w:rsidRDefault="00BD445F" w:rsidP="00BD445F">
      <w:pPr>
        <w:spacing w:after="0" w:line="240" w:lineRule="auto"/>
        <w:rPr>
          <w:rFonts w:ascii="Calibri" w:hAnsi="Calibri" w:cs="Calibri"/>
          <w:shd w:val="clear" w:color="auto" w:fill="FFFFFF"/>
        </w:rPr>
      </w:pPr>
    </w:p>
    <w:p w14:paraId="774A7069"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Reminders:</w:t>
      </w:r>
    </w:p>
    <w:p w14:paraId="7DC76D8B" w14:textId="777777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DD7BD1" w:rsidRDefault="00BB4530" w:rsidP="00BB4530">
      <w:pPr>
        <w:spacing w:after="0" w:line="240" w:lineRule="auto"/>
        <w:ind w:left="720"/>
        <w:rPr>
          <w:rFonts w:ascii="Calibri" w:hAnsi="Calibri" w:cs="Calibri"/>
          <w:shd w:val="clear" w:color="auto" w:fill="FFFFFF"/>
        </w:rPr>
      </w:pPr>
    </w:p>
    <w:p w14:paraId="34212E58" w14:textId="16BAB322"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Updates FAQs for Paid Sick Leave</w:t>
      </w:r>
    </w:p>
    <w:p w14:paraId="77FBC25A" w14:textId="77777777" w:rsidR="00BD445F" w:rsidRPr="00DD7BD1" w:rsidRDefault="00BD445F" w:rsidP="00BD445F">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California Department of Industrial Relations has updated its </w:t>
      </w:r>
      <w:hyperlink r:id="rId609"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(FAQs) for the </w:t>
      </w:r>
      <w:hyperlink r:id="rId610" w:history="1">
        <w:r w:rsidRPr="00DD7BD1">
          <w:rPr>
            <w:rStyle w:val="Hyperlink"/>
            <w:rFonts w:ascii="Calibri" w:hAnsi="Calibri" w:cs="Calibri"/>
            <w:shd w:val="clear" w:color="auto" w:fill="FFFFFF"/>
          </w:rPr>
          <w:t>Healthy Workplaces, Healthy Family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Pr="00DD7BD1" w:rsidRDefault="00BD445F" w:rsidP="00B939E8">
      <w:pPr>
        <w:spacing w:after="0" w:line="240" w:lineRule="auto"/>
        <w:jc w:val="center"/>
        <w:rPr>
          <w:rFonts w:ascii="Calibri" w:hAnsi="Calibri" w:cs="Calibri"/>
          <w:b/>
          <w:bCs/>
          <w:sz w:val="28"/>
          <w:szCs w:val="28"/>
          <w:shd w:val="clear" w:color="auto" w:fill="FFFFFF"/>
          <w:lang w:val="en"/>
        </w:rPr>
      </w:pPr>
    </w:p>
    <w:p w14:paraId="78D11CC3" w14:textId="69724789"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California’s Bird Flu State of Emergency Notice Requirements</w:t>
      </w:r>
    </w:p>
    <w:p w14:paraId="094955D6"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On December 18, 2024, California Governor Gavin Newsom issued a statewide </w:t>
      </w:r>
      <w:hyperlink r:id="rId611" w:tgtFrame="_blank" w:history="1">
        <w:r w:rsidRPr="00DD7BD1">
          <w:rPr>
            <w:rStyle w:val="Hyperlink"/>
            <w:rFonts w:ascii="Calibri" w:hAnsi="Calibri" w:cs="Calibri"/>
            <w:shd w:val="clear" w:color="auto" w:fill="FFFFFF"/>
          </w:rPr>
          <w:t>emergency proclamation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DD7BD1" w:rsidRDefault="00B939E8" w:rsidP="00B939E8">
      <w:pPr>
        <w:spacing w:after="0" w:line="240" w:lineRule="auto"/>
        <w:rPr>
          <w:rFonts w:ascii="Calibri" w:hAnsi="Calibri" w:cs="Calibri"/>
          <w:sz w:val="12"/>
          <w:szCs w:val="12"/>
          <w:shd w:val="clear" w:color="auto" w:fill="FFFFFF"/>
        </w:rPr>
      </w:pPr>
    </w:p>
    <w:p w14:paraId="786D09B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Enacted in 2023, </w:t>
      </w:r>
      <w:hyperlink r:id="rId612" w:tgtFrame="_blank" w:history="1">
        <w:r w:rsidRPr="00DD7BD1">
          <w:rPr>
            <w:rStyle w:val="Hyperlink"/>
            <w:rFonts w:ascii="Calibri" w:hAnsi="Calibri" w:cs="Calibri"/>
            <w:shd w:val="clear" w:color="auto" w:fill="FFFFFF"/>
          </w:rPr>
          <w:t>AB 636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DD7BD1">
        <w:rPr>
          <w:rFonts w:ascii="Calibri" w:hAnsi="Calibri" w:cs="Calibri"/>
          <w:i/>
          <w:iCs/>
          <w:shd w:val="clear" w:color="auto" w:fill="FFFFFF"/>
        </w:rPr>
        <w:t>Notice to Employee</w:t>
      </w:r>
      <w:r w:rsidRPr="00DD7BD1">
        <w:rPr>
          <w:rFonts w:ascii="Calibri" w:hAnsi="Calibri" w:cs="Calibri"/>
          <w:shd w:val="clear" w:color="auto" w:fill="FFFFFF"/>
        </w:rPr>
        <w:t> regarding the existence of a federal or California emergency or disaster declaration relating to the county or counties where the employee is employed.</w:t>
      </w:r>
    </w:p>
    <w:p w14:paraId="0A1A33A8" w14:textId="77777777" w:rsidR="00B939E8" w:rsidRPr="00DD7BD1" w:rsidRDefault="00B939E8" w:rsidP="00B939E8">
      <w:pPr>
        <w:spacing w:after="0" w:line="240" w:lineRule="auto"/>
        <w:rPr>
          <w:rFonts w:ascii="Calibri" w:hAnsi="Calibri" w:cs="Calibri"/>
          <w:sz w:val="12"/>
          <w:szCs w:val="12"/>
          <w:shd w:val="clear" w:color="auto" w:fill="FFFFFF"/>
        </w:rPr>
      </w:pPr>
    </w:p>
    <w:p w14:paraId="2A3C71D9"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DD7BD1" w:rsidRDefault="00B939E8" w:rsidP="00B939E8">
      <w:pPr>
        <w:spacing w:after="0" w:line="240" w:lineRule="auto"/>
        <w:rPr>
          <w:rFonts w:ascii="Calibri" w:hAnsi="Calibri" w:cs="Calibri"/>
          <w:sz w:val="12"/>
          <w:szCs w:val="12"/>
          <w:shd w:val="clear" w:color="auto" w:fill="FFFFFF"/>
        </w:rPr>
      </w:pPr>
    </w:p>
    <w:p w14:paraId="4D9FE0DB"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Lastly, as a reminder, the </w:t>
      </w:r>
      <w:r w:rsidRPr="00DD7BD1">
        <w:rPr>
          <w:rFonts w:ascii="Calibri" w:hAnsi="Calibri" w:cs="Calibri"/>
          <w:i/>
          <w:iCs/>
          <w:shd w:val="clear" w:color="auto" w:fill="FFFFFF"/>
        </w:rPr>
        <w:t>Notice to Employee</w:t>
      </w:r>
      <w:r w:rsidRPr="00DD7BD1">
        <w:rPr>
          <w:rFonts w:ascii="Calibri" w:hAnsi="Calibri" w:cs="Calibri"/>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DD7BD1" w:rsidRDefault="00B939E8" w:rsidP="003B7BFE">
      <w:pPr>
        <w:spacing w:after="0" w:line="240" w:lineRule="auto"/>
        <w:jc w:val="center"/>
        <w:rPr>
          <w:rFonts w:ascii="Calibri" w:hAnsi="Calibri" w:cs="Calibri"/>
          <w:b/>
          <w:bCs/>
          <w:shd w:val="clear" w:color="auto" w:fill="FFFFFF"/>
          <w:lang w:val="en"/>
        </w:rPr>
      </w:pPr>
    </w:p>
    <w:p w14:paraId="41FAF563" w14:textId="2483AC99" w:rsidR="003B7BFE" w:rsidRPr="00DD7BD1" w:rsidRDefault="003B7BFE" w:rsidP="003B7BF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72" w:name="_Hlk209767387"/>
      <w:r w:rsidRPr="00DD7BD1">
        <w:rPr>
          <w:rFonts w:ascii="Calibri" w:hAnsi="Calibri" w:cs="Calibri"/>
          <w:b/>
          <w:bCs/>
          <w:sz w:val="28"/>
          <w:szCs w:val="28"/>
          <w:shd w:val="clear" w:color="auto" w:fill="FFFFFF"/>
          <w:lang w:val="en"/>
        </w:rPr>
        <w:t xml:space="preserve">San Diego County Fair Chance Ordinance  - </w:t>
      </w:r>
      <w:r w:rsidRPr="00DD7BD1">
        <w:rPr>
          <w:rFonts w:ascii="Calibri" w:hAnsi="Calibri" w:cs="Calibri"/>
          <w:b/>
          <w:bCs/>
          <w:color w:val="C00000"/>
          <w:sz w:val="28"/>
          <w:szCs w:val="28"/>
          <w:shd w:val="clear" w:color="auto" w:fill="FFFFFF"/>
          <w:lang w:val="en"/>
        </w:rPr>
        <w:t>Oct 10, 2024</w:t>
      </w:r>
    </w:p>
    <w:p w14:paraId="53A4ADF5"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San Diego County enacted the Fair Chance Ordinance for the </w:t>
      </w:r>
      <w:hyperlink r:id="rId613" w:tgtFrame="_blank" w:history="1">
        <w:r w:rsidRPr="00DD7BD1">
          <w:rPr>
            <w:rStyle w:val="Hyperlink"/>
            <w:rFonts w:ascii="Calibri" w:hAnsi="Calibri" w:cs="Calibri"/>
            <w:shd w:val="clear" w:color="auto" w:fill="FFFFFF"/>
          </w:rPr>
          <w:t>unincorporated areas of San Diego County</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aimed at increasing employment opportunities for individuals with criminal histories.</w:t>
      </w:r>
    </w:p>
    <w:p w14:paraId="6FB2656B"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ordinance, which took effect October 10, </w:t>
      </w:r>
      <w:r w:rsidRPr="00DD7BD1">
        <w:rPr>
          <w:rFonts w:ascii="Calibri" w:hAnsi="Calibri" w:cs="Calibri"/>
          <w:b/>
          <w:bCs/>
          <w:u w:val="single"/>
          <w:shd w:val="clear" w:color="auto" w:fill="FFFFFF"/>
        </w:rPr>
        <w:t>largely mirrors the existing</w:t>
      </w:r>
      <w:r w:rsidRPr="00DD7BD1">
        <w:rPr>
          <w:rFonts w:ascii="Calibri" w:hAnsi="Calibri" w:cs="Calibri"/>
          <w:shd w:val="clear" w:color="auto" w:fill="FFFFFF"/>
        </w:rPr>
        <w:t> </w:t>
      </w:r>
      <w:hyperlink r:id="rId614" w:tgtFrame="_blank" w:history="1">
        <w:r w:rsidRPr="00DD7BD1">
          <w:rPr>
            <w:rStyle w:val="Hyperlink"/>
            <w:rFonts w:ascii="Calibri" w:hAnsi="Calibri" w:cs="Calibri"/>
            <w:shd w:val="clear" w:color="auto" w:fill="FFFFFF"/>
          </w:rPr>
          <w:t>California Fair Chance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while introducing some new requirements.</w:t>
      </w:r>
    </w:p>
    <w:p w14:paraId="29E9BCC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San Diego County Fair Chance Ordinance enhances the California Fair Chance Act in several </w:t>
      </w:r>
      <w:proofErr w:type="gramStart"/>
      <w:r w:rsidRPr="00DD7BD1">
        <w:rPr>
          <w:rFonts w:ascii="Calibri" w:hAnsi="Calibri" w:cs="Calibri"/>
          <w:shd w:val="clear" w:color="auto" w:fill="FFFFFF"/>
        </w:rPr>
        <w:t>key ways</w:t>
      </w:r>
      <w:proofErr w:type="gramEnd"/>
      <w:r w:rsidRPr="00DD7BD1">
        <w:rPr>
          <w:rFonts w:ascii="Calibri" w:hAnsi="Calibri" w:cs="Calibri"/>
          <w:shd w:val="clear" w:color="auto" w:fill="FFFFFF"/>
        </w:rPr>
        <w:t>. The following is not an exhaustive list, but employers who are located or do business in unincorporated areas of San Diego County should be aware of these obligations:</w:t>
      </w:r>
    </w:p>
    <w:p w14:paraId="06FBB7FF"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If a job offer is revoked, the applicant has a review and response period. During this period, the employer may not fill the position absent exigent circumstances.</w:t>
      </w:r>
    </w:p>
    <w:p w14:paraId="46C25BC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Starting on July 1, 2025, employers can face administrative penalties for non-compliance ranging from $5,000 to $20,000.</w:t>
      </w:r>
    </w:p>
    <w:p w14:paraId="2947FE45" w14:textId="77777777" w:rsidR="003B7BFE" w:rsidRPr="00DD7BD1" w:rsidRDefault="003B7BFE" w:rsidP="003B7BFE">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Employers should:</w:t>
      </w:r>
    </w:p>
    <w:p w14:paraId="49F26526"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Review and update documents.</w:t>
      </w:r>
      <w:r w:rsidRPr="00DD7BD1">
        <w:rPr>
          <w:rFonts w:ascii="Calibri" w:hAnsi="Calibri" w:cs="Calibri"/>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DD7BD1" w:rsidRDefault="003B7BFE">
      <w:pPr>
        <w:numPr>
          <w:ilvl w:val="0"/>
          <w:numId w:val="110"/>
        </w:numPr>
        <w:spacing w:after="0" w:line="240" w:lineRule="auto"/>
        <w:rPr>
          <w:rFonts w:ascii="Calibri" w:hAnsi="Calibri" w:cs="Calibri"/>
          <w:shd w:val="clear" w:color="auto" w:fill="FFFFFF"/>
        </w:rPr>
      </w:pPr>
      <w:proofErr w:type="gramStart"/>
      <w:r w:rsidRPr="00DD7BD1">
        <w:rPr>
          <w:rFonts w:ascii="Calibri" w:hAnsi="Calibri" w:cs="Calibri"/>
          <w:b/>
          <w:bCs/>
          <w:shd w:val="clear" w:color="auto" w:fill="FFFFFF"/>
        </w:rPr>
        <w:t>Train hiring</w:t>
      </w:r>
      <w:proofErr w:type="gramEnd"/>
      <w:r w:rsidRPr="00DD7BD1">
        <w:rPr>
          <w:rFonts w:ascii="Calibri" w:hAnsi="Calibri" w:cs="Calibri"/>
          <w:b/>
          <w:bCs/>
          <w:shd w:val="clear" w:color="auto" w:fill="FFFFFF"/>
        </w:rPr>
        <w:t xml:space="preserve"> managers.</w:t>
      </w:r>
      <w:r w:rsidRPr="00DD7BD1">
        <w:rPr>
          <w:rFonts w:ascii="Calibri" w:hAnsi="Calibri" w:cs="Calibri"/>
          <w:shd w:val="clear" w:color="auto" w:fill="FFFFFF"/>
        </w:rPr>
        <w:t> Educate those involved in the hiring process about the ordinance’s requirements and the importance of conducting individualized assessments.</w:t>
      </w:r>
    </w:p>
    <w:p w14:paraId="0EE528F2"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Assess recordkeeping procedures.</w:t>
      </w:r>
      <w:r w:rsidRPr="00DD7BD1">
        <w:rPr>
          <w:rFonts w:ascii="Calibri" w:hAnsi="Calibri" w:cs="Calibri"/>
          <w:shd w:val="clear" w:color="auto" w:fill="FFFFFF"/>
        </w:rPr>
        <w:t xml:space="preserve"> Review recordkeeping procedures to ensure </w:t>
      </w:r>
      <w:proofErr w:type="gramStart"/>
      <w:r w:rsidRPr="00DD7BD1">
        <w:rPr>
          <w:rFonts w:ascii="Calibri" w:hAnsi="Calibri" w:cs="Calibri"/>
          <w:shd w:val="clear" w:color="auto" w:fill="FFFFFF"/>
        </w:rPr>
        <w:t>compliance, and</w:t>
      </w:r>
      <w:proofErr w:type="gramEnd"/>
      <w:r w:rsidRPr="00DD7BD1">
        <w:rPr>
          <w:rFonts w:ascii="Calibri" w:hAnsi="Calibri" w:cs="Calibri"/>
          <w:shd w:val="clear" w:color="auto" w:fill="FFFFFF"/>
        </w:rPr>
        <w:t xml:space="preserve"> maintain required records of all assessments and decisions.</w:t>
      </w:r>
    </w:p>
    <w:p w14:paraId="7EA23088" w14:textId="5DA6503B"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has published the </w:t>
      </w:r>
      <w:hyperlink r:id="rId615"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and provided additional guidance on its </w:t>
      </w:r>
      <w:proofErr w:type="gramStart"/>
      <w:r w:rsidRPr="00DD7BD1">
        <w:rPr>
          <w:rFonts w:ascii="Calibri" w:hAnsi="Calibri" w:cs="Calibri"/>
          <w:shd w:val="clear" w:color="auto" w:fill="FFFFFF"/>
        </w:rPr>
        <w:t>webpages</w:t>
      </w:r>
      <w:proofErr w:type="gramEnd"/>
    </w:p>
    <w:p w14:paraId="2AFA6B12"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p>
    <w:bookmarkEnd w:id="72"/>
    <w:p w14:paraId="3E736DD3" w14:textId="4C6CA27B" w:rsidR="00CD70B8" w:rsidRPr="00DD7BD1" w:rsidRDefault="00CD70B8" w:rsidP="003B7BFE">
      <w:pPr>
        <w:spacing w:line="240" w:lineRule="auto"/>
        <w:jc w:val="center"/>
        <w:rPr>
          <w:rFonts w:ascii="Calibri" w:hAnsi="Calibri" w:cs="Calibri"/>
          <w:b/>
          <w:bCs/>
          <w:color w:val="C00000"/>
          <w:sz w:val="28"/>
          <w:szCs w:val="28"/>
          <w:shd w:val="clear" w:color="auto" w:fill="FFFFFF"/>
        </w:rPr>
      </w:pPr>
      <w:r w:rsidRPr="00DD7BD1">
        <w:rPr>
          <w:rFonts w:ascii="Calibri" w:hAnsi="Calibri" w:cs="Calibri"/>
          <w:b/>
          <w:bCs/>
          <w:color w:val="7030A0"/>
          <w:sz w:val="28"/>
          <w:szCs w:val="28"/>
          <w:u w:val="single"/>
          <w:shd w:val="clear" w:color="auto" w:fill="FFFFFF"/>
        </w:rPr>
        <w:t>San Diego County</w:t>
      </w:r>
      <w:r w:rsidRPr="00DD7BD1">
        <w:rPr>
          <w:rFonts w:ascii="Calibri" w:hAnsi="Calibri" w:cs="Calibri"/>
          <w:b/>
          <w:bCs/>
          <w:color w:val="7030A0"/>
          <w:sz w:val="28"/>
          <w:szCs w:val="28"/>
          <w:shd w:val="clear" w:color="auto" w:fill="FFFFFF"/>
        </w:rPr>
        <w:t> </w:t>
      </w:r>
      <w:r w:rsidRPr="00DD7BD1">
        <w:rPr>
          <w:rFonts w:ascii="Calibri" w:hAnsi="Calibri" w:cs="Calibri"/>
          <w:b/>
          <w:bCs/>
          <w:sz w:val="28"/>
          <w:szCs w:val="28"/>
          <w:shd w:val="clear" w:color="auto" w:fill="FFFFFF"/>
        </w:rPr>
        <w:t xml:space="preserve">Passes new Criminal Record Screening Regulations </w:t>
      </w:r>
      <w:bookmarkEnd w:id="51"/>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 10, 2024</w:t>
      </w:r>
    </w:p>
    <w:p w14:paraId="6D490D85" w14:textId="77777777" w:rsidR="00CD70B8" w:rsidRPr="00DD7BD1" w:rsidRDefault="00CD70B8" w:rsidP="00CD70B8">
      <w:pPr>
        <w:spacing w:line="240" w:lineRule="auto"/>
        <w:rPr>
          <w:rFonts w:ascii="Calibri" w:hAnsi="Calibri" w:cs="Calibri"/>
          <w:shd w:val="clear" w:color="auto" w:fill="FFFFFF"/>
        </w:rPr>
      </w:pPr>
      <w:r w:rsidRPr="00DD7BD1">
        <w:rPr>
          <w:rFonts w:ascii="Calibri" w:hAnsi="Calibri" w:cs="Calibri"/>
          <w:shd w:val="clear" w:color="auto" w:fill="FFFFFF"/>
        </w:rPr>
        <w:t>Effective October 10, 2024, the latest local </w:t>
      </w:r>
      <w:hyperlink r:id="rId616"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will take effect in the unincorporated areas of San Diego County. Employers that comply with California state law will </w:t>
      </w:r>
      <w:r w:rsidRPr="00DD7BD1">
        <w:rPr>
          <w:rFonts w:ascii="Calibri" w:hAnsi="Calibri" w:cs="Calibri"/>
          <w:i/>
          <w:iCs/>
          <w:shd w:val="clear" w:color="auto" w:fill="FFFFFF"/>
        </w:rPr>
        <w:t>mostly</w:t>
      </w:r>
      <w:r w:rsidRPr="00DD7BD1">
        <w:rPr>
          <w:rFonts w:ascii="Calibri" w:hAnsi="Calibri" w:cs="Calibri"/>
          <w:shd w:val="clear" w:color="auto" w:fill="FFFFFF"/>
        </w:rPr>
        <w:t> satisfy their obligations under the San Diego County ordinance. See attached resource for additional details.</w:t>
      </w:r>
    </w:p>
    <w:p w14:paraId="76D77CF7" w14:textId="06BE3576" w:rsidR="00CD70B8" w:rsidRPr="00DD7BD1" w:rsidRDefault="00CD70B8" w:rsidP="00CD70B8">
      <w:pPr>
        <w:pStyle w:val="Heading2"/>
        <w:spacing w:before="0" w:line="240" w:lineRule="auto"/>
        <w:jc w:val="center"/>
        <w:rPr>
          <w:rFonts w:ascii="Calibri" w:eastAsiaTheme="minorHAnsi" w:hAnsi="Calibri" w:cs="Calibri"/>
          <w:b/>
          <w:bCs/>
          <w:color w:val="C00000"/>
          <w:sz w:val="28"/>
          <w:szCs w:val="28"/>
          <w:shd w:val="clear" w:color="auto" w:fill="FFFFFF"/>
        </w:rPr>
      </w:pPr>
      <w:r w:rsidRPr="00DD7BD1">
        <w:rPr>
          <w:rFonts w:ascii="Calibri" w:eastAsiaTheme="minorHAnsi" w:hAnsi="Calibri" w:cs="Calibri"/>
          <w:b/>
          <w:bCs/>
          <w:color w:val="auto"/>
          <w:sz w:val="28"/>
          <w:szCs w:val="28"/>
          <w:shd w:val="clear" w:color="auto" w:fill="FFFFFF"/>
          <w:lang w:val="en"/>
        </w:rPr>
        <w:t xml:space="preserve">State </w:t>
      </w:r>
      <w:r w:rsidRPr="00DD7BD1">
        <w:rPr>
          <w:rFonts w:ascii="Calibri" w:eastAsiaTheme="minorHAnsi" w:hAnsi="Calibri" w:cs="Calibri"/>
          <w:b/>
          <w:bCs/>
          <w:color w:val="auto"/>
          <w:sz w:val="28"/>
          <w:szCs w:val="28"/>
          <w:shd w:val="clear" w:color="auto" w:fill="FFFFFF"/>
        </w:rPr>
        <w:t xml:space="preserve">Healthcare Minimum Wage Increase – </w:t>
      </w:r>
      <w:r w:rsidRPr="00DD7BD1">
        <w:rPr>
          <w:rFonts w:ascii="Calibri" w:eastAsiaTheme="minorHAnsi" w:hAnsi="Calibri" w:cs="Calibri"/>
          <w:b/>
          <w:bCs/>
          <w:color w:val="C00000"/>
          <w:sz w:val="28"/>
          <w:szCs w:val="28"/>
          <w:shd w:val="clear" w:color="auto" w:fill="FFFFFF"/>
        </w:rPr>
        <w:t>Oct 16, 2024</w:t>
      </w:r>
    </w:p>
    <w:p w14:paraId="43E20944"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California’s new statewide minimum wage and salary threshold for healthcare workers will take effect on October 16, 2024. Covering 20 different facility types, the health care worker minimum wage law implements different rates and scheduled rate increases depending on the facility type. Plus, covered health care employers must post a </w:t>
      </w:r>
      <w:hyperlink r:id="rId617" w:tgtFrame="_blank" w:history="1">
        <w:r w:rsidRPr="00DD7BD1">
          <w:rPr>
            <w:rStyle w:val="Hyperlink"/>
            <w:rFonts w:ascii="Calibri" w:hAnsi="Calibri" w:cs="Calibri"/>
          </w:rPr>
          <w:t>supplemental minimum wage notice</w:t>
        </w:r>
      </w:hyperlink>
      <w:r w:rsidRPr="00DD7BD1">
        <w:rPr>
          <w:rFonts w:ascii="Calibri" w:hAnsi="Calibri" w:cs="Calibri"/>
        </w:rPr>
        <w:t> in the workplace alongside the regular statewide minimum wage notice. Employers who are unsure whether their facilities are covered should consult with legal counsel.</w:t>
      </w:r>
    </w:p>
    <w:p w14:paraId="518A4128" w14:textId="77777777" w:rsidR="00CD70B8" w:rsidRPr="00DD7BD1" w:rsidRDefault="00CD70B8" w:rsidP="00CD70B8">
      <w:pPr>
        <w:spacing w:after="0" w:line="240" w:lineRule="auto"/>
        <w:rPr>
          <w:rFonts w:ascii="Calibri" w:hAnsi="Calibri" w:cs="Calibri"/>
        </w:rPr>
      </w:pPr>
      <w:r w:rsidRPr="00DD7BD1">
        <w:rPr>
          <w:rFonts w:ascii="Calibri" w:hAnsi="Calibri" w:cs="Calibri"/>
        </w:rPr>
        <w:t>The supplemental minimum wage order can be found </w:t>
      </w:r>
      <w:hyperlink r:id="rId618" w:tgtFrame="_blank" w:history="1">
        <w:r w:rsidRPr="00DD7BD1">
          <w:rPr>
            <w:rStyle w:val="Hyperlink"/>
            <w:rFonts w:ascii="Calibri" w:hAnsi="Calibri" w:cs="Calibri"/>
          </w:rPr>
          <w:t>here</w:t>
        </w:r>
      </w:hyperlink>
      <w:r w:rsidRPr="00DD7BD1">
        <w:rPr>
          <w:rFonts w:ascii="Calibri" w:hAnsi="Calibri" w:cs="Calibri"/>
        </w:rPr>
        <w:t>.</w:t>
      </w:r>
    </w:p>
    <w:p w14:paraId="3FF27200" w14:textId="77777777" w:rsidR="00CD70B8" w:rsidRPr="00DD7BD1" w:rsidRDefault="00CD70B8" w:rsidP="00CD70B8">
      <w:pPr>
        <w:spacing w:after="0" w:line="240" w:lineRule="auto"/>
        <w:rPr>
          <w:rFonts w:ascii="Calibri" w:hAnsi="Calibri" w:cs="Calibri"/>
        </w:rPr>
      </w:pPr>
      <w:r w:rsidRPr="00DD7BD1">
        <w:rPr>
          <w:rFonts w:ascii="Calibri" w:hAnsi="Calibri" w:cs="Calibri"/>
        </w:rPr>
        <w:t>More information, including which healthcare facilities are covered and the minimum wage schedule by type of facility, can be found in the state’s </w:t>
      </w:r>
      <w:hyperlink r:id="rId619" w:tgtFrame="_blank" w:history="1">
        <w:r w:rsidRPr="00DD7BD1">
          <w:rPr>
            <w:rStyle w:val="Hyperlink"/>
            <w:rFonts w:ascii="Calibri" w:hAnsi="Calibri" w:cs="Calibri"/>
          </w:rPr>
          <w:t>FAQs.</w:t>
        </w:r>
      </w:hyperlink>
    </w:p>
    <w:p w14:paraId="530C3501" w14:textId="77777777" w:rsidR="00CD70B8" w:rsidRPr="00DD7BD1" w:rsidRDefault="00CD70B8" w:rsidP="00CD70B8">
      <w:pPr>
        <w:spacing w:after="0" w:line="240" w:lineRule="auto"/>
        <w:rPr>
          <w:rFonts w:ascii="Calibri" w:hAnsi="Calibri" w:cs="Calibri"/>
        </w:rPr>
      </w:pPr>
      <w:r w:rsidRPr="00DD7BD1">
        <w:rPr>
          <w:rFonts w:ascii="Calibri" w:hAnsi="Calibri" w:cs="Calibri"/>
        </w:rPr>
        <w:t>The </w:t>
      </w:r>
      <w:hyperlink r:id="rId620" w:tgtFrame="_blank" w:history="1">
        <w:r w:rsidRPr="00DD7BD1">
          <w:rPr>
            <w:rStyle w:val="Hyperlink"/>
            <w:rFonts w:ascii="Calibri" w:hAnsi="Calibri" w:cs="Calibri"/>
          </w:rPr>
          <w:t>Notification Pertaining To Health Care Minimum Wage Increases</w:t>
        </w:r>
      </w:hyperlink>
      <w:r w:rsidRPr="00DD7BD1">
        <w:rPr>
          <w:rFonts w:ascii="Calibri" w:hAnsi="Calibri" w:cs="Calibri"/>
        </w:rPr>
        <w:t> was released October 1, 2024.</w:t>
      </w:r>
    </w:p>
    <w:p w14:paraId="522F5FE2" w14:textId="77777777" w:rsidR="00CD70B8" w:rsidRPr="00DD7BD1" w:rsidRDefault="00CD70B8" w:rsidP="00CD70B8">
      <w:pPr>
        <w:spacing w:after="0" w:line="240" w:lineRule="auto"/>
        <w:rPr>
          <w:rFonts w:ascii="Calibri" w:hAnsi="Calibri" w:cs="Calibri"/>
        </w:rPr>
      </w:pPr>
    </w:p>
    <w:p w14:paraId="2C407A23" w14:textId="1F203464" w:rsidR="00CD70B8" w:rsidRPr="00DD7BD1" w:rsidRDefault="00CD70B8" w:rsidP="00CD70B8">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Upcoming Local Minimum Wage Ordinance Increases – </w:t>
      </w:r>
      <w:r w:rsidRPr="00DD7BD1">
        <w:rPr>
          <w:rFonts w:ascii="Calibri" w:hAnsi="Calibri" w:cs="Calibri"/>
          <w:b/>
          <w:bCs/>
          <w:color w:val="C00000"/>
          <w:sz w:val="28"/>
          <w:szCs w:val="28"/>
        </w:rPr>
        <w:t>Jan1, 2024</w:t>
      </w:r>
    </w:p>
    <w:p w14:paraId="409A489D"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On January 1, the following jurisdictions are expected to increase their local minimum wage: </w:t>
      </w:r>
    </w:p>
    <w:p w14:paraId="79E075D7" w14:textId="77777777" w:rsidR="00CD70B8" w:rsidRPr="00DD7BD1" w:rsidRDefault="00CD70B8" w:rsidP="00CD70B8">
      <w:pPr>
        <w:spacing w:after="0" w:line="240" w:lineRule="auto"/>
        <w:rPr>
          <w:rFonts w:ascii="Calibri" w:hAnsi="Calibri" w:cs="Calibri"/>
        </w:rPr>
      </w:pPr>
      <w:r w:rsidRPr="00DD7BD1">
        <w:rPr>
          <w:rFonts w:ascii="Calibri" w:hAnsi="Calibri" w:cs="Calibri"/>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DD7BD1" w:rsidRDefault="00CD70B8" w:rsidP="00CD70B8">
      <w:pPr>
        <w:pStyle w:val="Heading2"/>
        <w:spacing w:before="0" w:line="240" w:lineRule="auto"/>
        <w:jc w:val="center"/>
        <w:rPr>
          <w:rFonts w:ascii="Calibri" w:eastAsiaTheme="minorHAnsi" w:hAnsi="Calibri" w:cs="Calibri"/>
          <w:b/>
          <w:bCs/>
          <w:color w:val="C00000"/>
          <w:sz w:val="22"/>
          <w:szCs w:val="22"/>
          <w:shd w:val="clear" w:color="auto" w:fill="FFFFFF"/>
          <w:lang w:val="en"/>
        </w:rPr>
      </w:pPr>
    </w:p>
    <w:p w14:paraId="61705485" w14:textId="7F66A04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lang w:val="en"/>
        </w:rPr>
      </w:pPr>
      <w:r w:rsidRPr="00DD7BD1">
        <w:rPr>
          <w:rFonts w:ascii="Calibri" w:eastAsiaTheme="minorHAnsi" w:hAnsi="Calibri" w:cs="Calibri"/>
          <w:b/>
          <w:bCs/>
          <w:color w:val="auto"/>
          <w:sz w:val="28"/>
          <w:szCs w:val="28"/>
          <w:shd w:val="clear" w:color="auto" w:fill="FFFFFF"/>
          <w:lang w:val="en"/>
        </w:rPr>
        <w:t xml:space="preserve">State Expands Discrimination Protections – </w:t>
      </w:r>
      <w:r w:rsidRPr="00DD7BD1">
        <w:rPr>
          <w:rFonts w:ascii="Calibri" w:eastAsiaTheme="minorHAnsi" w:hAnsi="Calibri" w:cs="Calibri"/>
          <w:b/>
          <w:bCs/>
          <w:color w:val="C00000"/>
          <w:sz w:val="28"/>
          <w:szCs w:val="28"/>
          <w:shd w:val="clear" w:color="auto" w:fill="FFFFFF"/>
          <w:lang w:val="en"/>
        </w:rPr>
        <w:t>Jan 1, 2025</w:t>
      </w:r>
    </w:p>
    <w:p w14:paraId="2D675479"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FEHA prohibits employers with </w:t>
      </w:r>
      <w:r w:rsidRPr="00DD7BD1">
        <w:rPr>
          <w:rFonts w:ascii="Calibri" w:hAnsi="Calibri" w:cs="Calibri"/>
          <w:b/>
          <w:bCs/>
        </w:rPr>
        <w:t xml:space="preserve">5 or more employees </w:t>
      </w:r>
      <w:r w:rsidRPr="00DD7BD1">
        <w:rPr>
          <w:rFonts w:ascii="Calibri" w:hAnsi="Calibri" w:cs="Calibri"/>
        </w:rPr>
        <w:t>from discriminating against employees based on their protected characteristics (e.g., race, sex, disability, religion and age).</w:t>
      </w:r>
    </w:p>
    <w:p w14:paraId="70207DD8" w14:textId="77777777" w:rsidR="00CD70B8" w:rsidRPr="00DD7BD1" w:rsidRDefault="00CD70B8" w:rsidP="00CD70B8">
      <w:pPr>
        <w:spacing w:after="0" w:line="240" w:lineRule="auto"/>
        <w:rPr>
          <w:rFonts w:ascii="Calibri" w:hAnsi="Calibri" w:cs="Calibri"/>
          <w:sz w:val="12"/>
          <w:szCs w:val="12"/>
        </w:rPr>
      </w:pPr>
    </w:p>
    <w:p w14:paraId="2988CA25"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 amended the FEHA (</w:t>
      </w:r>
      <w:hyperlink r:id="rId621" w:tgtFrame="_blank" w:history="1">
        <w:r w:rsidRPr="00DD7BD1">
          <w:rPr>
            <w:rStyle w:val="Hyperlink"/>
            <w:rFonts w:ascii="Calibri" w:hAnsi="Calibri" w:cs="Calibri"/>
          </w:rPr>
          <w:t>CA S 1137</w:t>
        </w:r>
      </w:hyperlink>
      <w:r w:rsidRPr="00DD7BD1">
        <w:rPr>
          <w:rFonts w:ascii="Calibri" w:hAnsi="Calibri" w:cs="Calibri"/>
        </w:rPr>
        <w:t>) to:</w:t>
      </w:r>
    </w:p>
    <w:p w14:paraId="7FBFBEE3" w14:textId="77777777" w:rsidR="00CD70B8" w:rsidRPr="00DD7BD1" w:rsidRDefault="00CD70B8" w:rsidP="00CD70B8">
      <w:pPr>
        <w:pStyle w:val="Bullet"/>
        <w:spacing w:line="240" w:lineRule="auto"/>
        <w:ind w:left="576" w:hanging="288"/>
        <w:rPr>
          <w:rFonts w:cs="Calibri"/>
          <w:szCs w:val="22"/>
        </w:rPr>
      </w:pPr>
      <w:hyperlink r:id="rId622" w:history="1">
        <w:r w:rsidRPr="00DD7BD1">
          <w:rPr>
            <w:rStyle w:val="Hyperlink"/>
            <w:rFonts w:cs="Calibri"/>
            <w:szCs w:val="22"/>
          </w:rPr>
          <w:t>Broaden</w:t>
        </w:r>
      </w:hyperlink>
      <w:r w:rsidRPr="00DD7BD1">
        <w:rPr>
          <w:rFonts w:cs="Calibri"/>
          <w:szCs w:val="22"/>
        </w:rPr>
        <w:t xml:space="preserve"> </w:t>
      </w:r>
      <w:r w:rsidRPr="00DD7BD1">
        <w:rPr>
          <w:rFonts w:cs="Calibri"/>
          <w:color w:val="auto"/>
          <w:szCs w:val="22"/>
        </w:rPr>
        <w:t>the definition of “</w:t>
      </w:r>
      <w:r w:rsidRPr="00DD7BD1">
        <w:rPr>
          <w:rFonts w:cs="Calibri"/>
          <w:b/>
          <w:bCs/>
          <w:color w:val="auto"/>
          <w:szCs w:val="22"/>
        </w:rPr>
        <w:t>race</w:t>
      </w:r>
      <w:r w:rsidRPr="00DD7BD1">
        <w:rPr>
          <w:rFonts w:cs="Calibri"/>
          <w:color w:val="auto"/>
          <w:szCs w:val="22"/>
        </w:rPr>
        <w:t xml:space="preserve">” to include traits associated with race, including hair texture and protective hairstyles, including braids, locs and twists </w:t>
      </w:r>
    </w:p>
    <w:p w14:paraId="7A0AF54F" w14:textId="77777777" w:rsidR="00CD70B8" w:rsidRPr="00DD7BD1" w:rsidRDefault="00CD70B8" w:rsidP="00CD70B8">
      <w:pPr>
        <w:pStyle w:val="Bullet"/>
        <w:spacing w:line="240" w:lineRule="auto"/>
        <w:ind w:left="576" w:hanging="288"/>
        <w:rPr>
          <w:rFonts w:cs="Calibri"/>
          <w:color w:val="auto"/>
          <w:szCs w:val="22"/>
        </w:rPr>
      </w:pPr>
      <w:hyperlink r:id="rId623" w:history="1">
        <w:r w:rsidRPr="00DD7BD1">
          <w:rPr>
            <w:rStyle w:val="Hyperlink"/>
            <w:rFonts w:cs="Calibri"/>
            <w:szCs w:val="22"/>
          </w:rPr>
          <w:t>Protect</w:t>
        </w:r>
      </w:hyperlink>
      <w:r w:rsidRPr="00DD7BD1">
        <w:rPr>
          <w:rFonts w:cs="Calibri"/>
          <w:szCs w:val="22"/>
        </w:rPr>
        <w:t xml:space="preserve"> </w:t>
      </w:r>
      <w:r w:rsidRPr="00DD7BD1">
        <w:rPr>
          <w:rFonts w:cs="Calibri"/>
          <w:color w:val="auto"/>
          <w:szCs w:val="22"/>
        </w:rPr>
        <w:t xml:space="preserve">employees from discrimination </w:t>
      </w:r>
      <w:proofErr w:type="gramStart"/>
      <w:r w:rsidRPr="00DD7BD1">
        <w:rPr>
          <w:rFonts w:cs="Calibri"/>
          <w:color w:val="auto"/>
          <w:szCs w:val="22"/>
        </w:rPr>
        <w:t>on the basis of</w:t>
      </w:r>
      <w:proofErr w:type="gramEnd"/>
      <w:r w:rsidRPr="00DD7BD1">
        <w:rPr>
          <w:rFonts w:cs="Calibri"/>
          <w:color w:val="auto"/>
          <w:szCs w:val="22"/>
        </w:rPr>
        <w:t xml:space="preserve"> their actual or perceived </w:t>
      </w:r>
      <w:r w:rsidRPr="00DD7BD1">
        <w:rPr>
          <w:rFonts w:cs="Calibri"/>
          <w:b/>
          <w:bCs/>
          <w:color w:val="auto"/>
          <w:szCs w:val="22"/>
        </w:rPr>
        <w:t xml:space="preserve">combination of protected traits </w:t>
      </w:r>
      <w:r w:rsidRPr="00DD7BD1">
        <w:rPr>
          <w:rFonts w:cs="Calibri"/>
          <w:color w:val="auto"/>
          <w:szCs w:val="22"/>
        </w:rPr>
        <w:t>(i.e., intersectionality).</w:t>
      </w:r>
    </w:p>
    <w:p w14:paraId="1171D8CE" w14:textId="77777777" w:rsidR="00CD70B8" w:rsidRPr="00DD7BD1" w:rsidRDefault="00CD70B8" w:rsidP="00CD70B8">
      <w:pPr>
        <w:pStyle w:val="Bullet"/>
        <w:numPr>
          <w:ilvl w:val="0"/>
          <w:numId w:val="0"/>
        </w:numPr>
        <w:spacing w:line="240" w:lineRule="auto"/>
        <w:rPr>
          <w:rFonts w:cs="Calibri"/>
          <w:color w:val="auto"/>
          <w:szCs w:val="22"/>
        </w:rPr>
      </w:pPr>
    </w:p>
    <w:p w14:paraId="5797091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rPr>
        <w:t>AB 1815</w:t>
      </w:r>
      <w:r w:rsidRPr="00DD7BD1">
        <w:rPr>
          <w:rFonts w:cs="Calibri"/>
          <w:color w:val="auto"/>
          <w:szCs w:val="22"/>
        </w:rPr>
        <w:t xml:space="preserve"> – This revision to Crown Act amends the definition of “race” in the anti-discrimination provisions of the California Government Code as well as the definition of “protective hairstyles.” </w:t>
      </w:r>
    </w:p>
    <w:p w14:paraId="584572C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highlight w:val="lightGray"/>
        </w:rPr>
        <w:t>Employer Takeaway:</w:t>
      </w:r>
      <w:r w:rsidRPr="00DD7BD1">
        <w:rPr>
          <w:rFonts w:cs="Calibri"/>
          <w:color w:val="auto"/>
          <w:szCs w:val="22"/>
        </w:rPr>
        <w:t xml:space="preserve"> The word “historically” was removed from the definition of protective hairstyles because it was found to be vague and confusing. Employer utilizing this term in their Handbook should remove the term.</w:t>
      </w:r>
    </w:p>
    <w:p w14:paraId="1759EBEC" w14:textId="77777777" w:rsidR="00CD70B8" w:rsidRPr="00DD7BD1" w:rsidRDefault="00CD70B8" w:rsidP="00CD70B8">
      <w:pPr>
        <w:spacing w:after="0" w:line="240" w:lineRule="auto"/>
        <w:rPr>
          <w:rFonts w:ascii="Calibri" w:hAnsi="Calibri" w:cs="Calibri"/>
          <w:b/>
          <w:bCs/>
          <w:i/>
          <w:iCs/>
          <w:sz w:val="12"/>
          <w:szCs w:val="12"/>
        </w:rPr>
      </w:pPr>
    </w:p>
    <w:p w14:paraId="6FBC741B"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Driver’s License Requirements </w:t>
      </w:r>
      <w:r w:rsidRPr="00DD7BD1">
        <w:rPr>
          <w:rFonts w:ascii="Calibri" w:hAnsi="Calibri" w:cs="Calibri"/>
          <w:i/>
          <w:iCs/>
        </w:rPr>
        <w:t>(</w:t>
      </w:r>
      <w:hyperlink r:id="rId624" w:tgtFrame="_blank" w:history="1">
        <w:r w:rsidRPr="00DD7BD1">
          <w:rPr>
            <w:rStyle w:val="Hyperlink"/>
            <w:rFonts w:ascii="Calibri" w:hAnsi="Calibri" w:cs="Calibri"/>
          </w:rPr>
          <w:t>CA S 1100</w:t>
        </w:r>
      </w:hyperlink>
      <w:r w:rsidRPr="00DD7BD1">
        <w:rPr>
          <w:rFonts w:ascii="Calibri" w:hAnsi="Calibri" w:cs="Calibri"/>
        </w:rPr>
        <w:t>)</w:t>
      </w:r>
    </w:p>
    <w:p w14:paraId="2BBF129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further </w:t>
      </w:r>
      <w:hyperlink r:id="rId625" w:history="1">
        <w:r w:rsidRPr="00DD7BD1">
          <w:rPr>
            <w:rStyle w:val="Hyperlink"/>
            <w:rFonts w:ascii="Calibri" w:hAnsi="Calibri" w:cs="Calibri"/>
          </w:rPr>
          <w:t>amended</w:t>
        </w:r>
      </w:hyperlink>
      <w:r w:rsidRPr="00DD7BD1">
        <w:rPr>
          <w:rFonts w:ascii="Calibri" w:hAnsi="Calibri" w:cs="Calibri"/>
        </w:rPr>
        <w:t xml:space="preserve"> the FEHA to prohibit employers with </w:t>
      </w:r>
      <w:r w:rsidRPr="00DD7BD1">
        <w:rPr>
          <w:rFonts w:ascii="Calibri" w:hAnsi="Calibri" w:cs="Calibri"/>
          <w:b/>
          <w:bCs/>
        </w:rPr>
        <w:t xml:space="preserve">5 or more employees </w:t>
      </w:r>
      <w:r w:rsidRPr="00DD7BD1">
        <w:rPr>
          <w:rFonts w:ascii="Calibri" w:hAnsi="Calibri" w:cs="Calibri"/>
        </w:rPr>
        <w:t xml:space="preserve">from requiring job candidates to have a </w:t>
      </w:r>
      <w:r w:rsidRPr="00DD7BD1">
        <w:rPr>
          <w:rFonts w:ascii="Calibri" w:hAnsi="Calibri" w:cs="Calibri"/>
          <w:b/>
          <w:bCs/>
        </w:rPr>
        <w:t>driver’s license</w:t>
      </w:r>
      <w:r w:rsidRPr="00DD7BD1">
        <w:rPr>
          <w:rFonts w:ascii="Calibri" w:hAnsi="Calibri" w:cs="Calibri"/>
        </w:rPr>
        <w:t xml:space="preserve"> in a job advertisement, posting, application or other materials unless it is reasonably believed: </w:t>
      </w:r>
    </w:p>
    <w:p w14:paraId="5C3807B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Driving will be a job function for the position; and</w:t>
      </w:r>
    </w:p>
    <w:p w14:paraId="6C8DA6F0"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Employers should remove any driver’s license requirement from your job ads or applications, unless the exception applies.</w:t>
      </w:r>
    </w:p>
    <w:p w14:paraId="6749B69C" w14:textId="77777777" w:rsidR="00CD70B8" w:rsidRPr="00DD7BD1" w:rsidRDefault="00CD70B8" w:rsidP="00CD70B8">
      <w:pPr>
        <w:spacing w:after="0" w:line="240" w:lineRule="auto"/>
        <w:rPr>
          <w:rFonts w:ascii="Calibri" w:hAnsi="Calibri" w:cs="Calibri"/>
          <w:b/>
          <w:bCs/>
          <w:i/>
          <w:iCs/>
          <w:sz w:val="16"/>
          <w:szCs w:val="16"/>
        </w:rPr>
      </w:pPr>
    </w:p>
    <w:p w14:paraId="11EF742A"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Enforcement of Local Laws</w:t>
      </w:r>
    </w:p>
    <w:p w14:paraId="2A481B8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Under an </w:t>
      </w:r>
      <w:hyperlink r:id="rId626" w:history="1">
        <w:r w:rsidRPr="00DD7BD1">
          <w:rPr>
            <w:rStyle w:val="Hyperlink"/>
            <w:rFonts w:ascii="Calibri" w:hAnsi="Calibri" w:cs="Calibri"/>
          </w:rPr>
          <w:t>amendment</w:t>
        </w:r>
      </w:hyperlink>
      <w:r w:rsidRPr="00DD7BD1">
        <w:rPr>
          <w:rFonts w:ascii="Calibri" w:hAnsi="Calibri" w:cs="Calibri"/>
        </w:rPr>
        <w:t xml:space="preserve"> to the FEHA, the act will </w:t>
      </w:r>
      <w:r w:rsidRPr="00DD7BD1">
        <w:rPr>
          <w:rFonts w:ascii="Calibri" w:hAnsi="Calibri" w:cs="Calibri"/>
          <w:b/>
          <w:bCs/>
        </w:rPr>
        <w:t xml:space="preserve">not </w:t>
      </w:r>
      <w:r w:rsidRPr="00DD7BD1">
        <w:rPr>
          <w:rFonts w:ascii="Calibri" w:hAnsi="Calibri" w:cs="Calibri"/>
        </w:rPr>
        <w:t>prohibit any city, county or other political subdivision of California from enforcing local laws prohibiting employment discrimination if local enforcement:</w:t>
      </w:r>
    </w:p>
    <w:p w14:paraId="2B55646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Concerns an employment complaint filed with the California Civil Rights Department (CCRD);</w:t>
      </w:r>
    </w:p>
    <w:p w14:paraId="05F8E8F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Takes place after the CCRD issued a right-to-sue notice;</w:t>
      </w:r>
    </w:p>
    <w:p w14:paraId="390EB5CF"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Begins before the expiration of the time to file a civil action; and</w:t>
      </w:r>
    </w:p>
    <w:p w14:paraId="04618AC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Is pursuant to a local law that is at least as protective as the FEHA. </w:t>
      </w:r>
    </w:p>
    <w:p w14:paraId="2D151609" w14:textId="77777777" w:rsidR="00CD70B8" w:rsidRPr="00DD7BD1" w:rsidRDefault="00CD70B8" w:rsidP="00CD70B8">
      <w:pPr>
        <w:pStyle w:val="Bullet"/>
        <w:numPr>
          <w:ilvl w:val="0"/>
          <w:numId w:val="0"/>
        </w:numPr>
        <w:spacing w:line="240" w:lineRule="auto"/>
        <w:ind w:left="576"/>
        <w:rPr>
          <w:rFonts w:cs="Calibri"/>
          <w:color w:val="auto"/>
          <w:szCs w:val="22"/>
        </w:rPr>
      </w:pPr>
    </w:p>
    <w:p w14:paraId="1CFB1DC8" w14:textId="1926C52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rPr>
      </w:pPr>
      <w:r w:rsidRPr="00DD7BD1">
        <w:rPr>
          <w:rFonts w:ascii="Calibri" w:eastAsiaTheme="minorHAnsi" w:hAnsi="Calibri" w:cs="Calibri"/>
          <w:b/>
          <w:bCs/>
          <w:color w:val="auto"/>
          <w:sz w:val="28"/>
          <w:szCs w:val="28"/>
          <w:shd w:val="clear" w:color="auto" w:fill="FFFFFF"/>
        </w:rPr>
        <w:t xml:space="preserve">State Passes Freelance Worker Protections Act – </w:t>
      </w:r>
      <w:r w:rsidRPr="00DD7BD1">
        <w:rPr>
          <w:rFonts w:ascii="Calibri" w:eastAsiaTheme="minorHAnsi" w:hAnsi="Calibri" w:cs="Calibri"/>
          <w:b/>
          <w:bCs/>
          <w:color w:val="C00000"/>
          <w:sz w:val="28"/>
          <w:szCs w:val="28"/>
          <w:shd w:val="clear" w:color="auto" w:fill="FFFFFF"/>
        </w:rPr>
        <w:t>Jan 1, 2025</w:t>
      </w:r>
    </w:p>
    <w:p w14:paraId="68B23235"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passed the </w:t>
      </w:r>
      <w:hyperlink r:id="rId627" w:history="1">
        <w:r w:rsidRPr="00DD7BD1">
          <w:rPr>
            <w:rStyle w:val="Hyperlink"/>
            <w:rFonts w:ascii="Calibri" w:hAnsi="Calibri" w:cs="Calibri"/>
          </w:rPr>
          <w:t>Freelance Worker Protection Act</w:t>
        </w:r>
      </w:hyperlink>
      <w:r w:rsidRPr="00DD7BD1">
        <w:rPr>
          <w:rStyle w:val="Hyperlink"/>
          <w:rFonts w:ascii="Calibri" w:hAnsi="Calibri" w:cs="Calibri"/>
        </w:rPr>
        <w:t>,</w:t>
      </w:r>
      <w:r w:rsidRPr="00DD7BD1">
        <w:rPr>
          <w:rFonts w:ascii="Calibri" w:hAnsi="Calibri" w:cs="Calibri"/>
        </w:rPr>
        <w:t xml:space="preserve"> </w:t>
      </w:r>
      <w:r w:rsidRPr="00DD7BD1">
        <w:rPr>
          <w:rFonts w:ascii="Calibri" w:hAnsi="Calibri" w:cs="Calibri"/>
          <w:b/>
          <w:bCs/>
        </w:rPr>
        <w:t>SB 988</w:t>
      </w:r>
      <w:r w:rsidRPr="00DD7BD1">
        <w:rPr>
          <w:rFonts w:ascii="Calibri" w:hAnsi="Calibri" w:cs="Calibri"/>
        </w:rPr>
        <w:t xml:space="preserve">, 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DD7BD1" w:rsidRDefault="00CD70B8" w:rsidP="00CD70B8">
      <w:pPr>
        <w:spacing w:after="0" w:line="240" w:lineRule="auto"/>
        <w:rPr>
          <w:rFonts w:ascii="Calibri" w:hAnsi="Calibri" w:cs="Calibri"/>
          <w:sz w:val="12"/>
          <w:szCs w:val="12"/>
        </w:rPr>
      </w:pPr>
    </w:p>
    <w:p w14:paraId="1C9E3CD6" w14:textId="77777777" w:rsidR="00CD70B8" w:rsidRPr="00DD7BD1" w:rsidRDefault="00CD70B8" w:rsidP="00CD70B8">
      <w:pPr>
        <w:spacing w:after="0" w:line="240" w:lineRule="auto"/>
        <w:rPr>
          <w:rFonts w:ascii="Calibri" w:hAnsi="Calibri" w:cs="Calibri"/>
        </w:rPr>
      </w:pPr>
      <w:r w:rsidRPr="00DD7BD1">
        <w:rPr>
          <w:rFonts w:ascii="Calibri" w:hAnsi="Calibri" w:cs="Calibri"/>
        </w:rPr>
        <w:t>“</w:t>
      </w:r>
      <w:r w:rsidRPr="00DD7BD1">
        <w:rPr>
          <w:rFonts w:ascii="Calibri" w:hAnsi="Calibri" w:cs="Calibri"/>
          <w:b/>
        </w:rPr>
        <w:t>Freelance workers</w:t>
      </w:r>
      <w:r w:rsidRPr="00DD7BD1">
        <w:rPr>
          <w:rFonts w:ascii="Calibri" w:hAnsi="Calibri" w:cs="Calibri"/>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DD7BD1" w:rsidRDefault="00CD70B8" w:rsidP="00CD70B8">
      <w:pPr>
        <w:spacing w:after="0" w:line="240" w:lineRule="auto"/>
        <w:rPr>
          <w:rFonts w:ascii="Calibri" w:hAnsi="Calibri" w:cs="Calibri"/>
          <w:b/>
          <w:bCs/>
          <w:i/>
          <w:iCs/>
          <w:sz w:val="12"/>
          <w:szCs w:val="12"/>
        </w:rPr>
      </w:pPr>
    </w:p>
    <w:p w14:paraId="2FF18E11"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Compensation and Contract Requirements </w:t>
      </w:r>
    </w:p>
    <w:p w14:paraId="60E3EC21" w14:textId="77777777" w:rsidR="00CD70B8" w:rsidRPr="00DD7BD1" w:rsidRDefault="00CD70B8" w:rsidP="00CD70B8">
      <w:pPr>
        <w:spacing w:after="0" w:line="240" w:lineRule="auto"/>
        <w:rPr>
          <w:rFonts w:ascii="Calibri" w:hAnsi="Calibri" w:cs="Calibri"/>
        </w:rPr>
      </w:pPr>
      <w:r w:rsidRPr="00DD7BD1">
        <w:rPr>
          <w:rFonts w:ascii="Calibri" w:hAnsi="Calibri" w:cs="Calibri"/>
        </w:rPr>
        <w:t>Under the act, the hiring party:</w:t>
      </w:r>
    </w:p>
    <w:p w14:paraId="22E6928B"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Must pay freelance workers on or before the date compensation is due under their contract or, if not specified, no later than </w:t>
      </w:r>
      <w:r w:rsidRPr="00DD7BD1">
        <w:rPr>
          <w:rFonts w:cs="Calibri"/>
          <w:b/>
          <w:bCs/>
          <w:color w:val="auto"/>
        </w:rPr>
        <w:t xml:space="preserve">30 days </w:t>
      </w:r>
      <w:r w:rsidRPr="00DD7BD1">
        <w:rPr>
          <w:rFonts w:cs="Calibri"/>
          <w:color w:val="auto"/>
        </w:rPr>
        <w:t>after the completion of the worker’s services; and</w:t>
      </w:r>
    </w:p>
    <w:p w14:paraId="0290AF3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May not require as a condition of timely payment that the freelance worker </w:t>
      </w:r>
      <w:proofErr w:type="gramStart"/>
      <w:r w:rsidRPr="00DD7BD1">
        <w:rPr>
          <w:rFonts w:cs="Calibri"/>
          <w:color w:val="auto"/>
        </w:rPr>
        <w:t>accept</w:t>
      </w:r>
      <w:proofErr w:type="gramEnd"/>
      <w:r w:rsidRPr="00DD7BD1">
        <w:rPr>
          <w:rFonts w:cs="Calibri"/>
          <w:color w:val="auto"/>
        </w:rPr>
        <w:t xml:space="preserve"> less compensation than agreed upon in the contract or that the freelance worker </w:t>
      </w:r>
      <w:proofErr w:type="gramStart"/>
      <w:r w:rsidRPr="00DD7BD1">
        <w:rPr>
          <w:rFonts w:cs="Calibri"/>
          <w:color w:val="auto"/>
        </w:rPr>
        <w:t>provide</w:t>
      </w:r>
      <w:proofErr w:type="gramEnd"/>
      <w:r w:rsidRPr="00DD7BD1">
        <w:rPr>
          <w:rFonts w:cs="Calibri"/>
          <w:color w:val="auto"/>
        </w:rPr>
        <w:t xml:space="preserve"> more goods or services than agreed upon in the contract once the freelance worker has started work under the contract.</w:t>
      </w:r>
    </w:p>
    <w:p w14:paraId="039DDCB2" w14:textId="77777777" w:rsidR="00CD70B8" w:rsidRPr="00DD7BD1" w:rsidRDefault="00CD70B8" w:rsidP="00CD70B8">
      <w:pPr>
        <w:pStyle w:val="Bullet2"/>
        <w:spacing w:after="0" w:line="240" w:lineRule="auto"/>
        <w:ind w:left="0" w:firstLine="0"/>
        <w:rPr>
          <w:rFonts w:cs="Calibri"/>
          <w:color w:val="auto"/>
          <w:sz w:val="16"/>
          <w:szCs w:val="16"/>
        </w:rPr>
      </w:pPr>
    </w:p>
    <w:p w14:paraId="5A284FBD"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lastRenderedPageBreak/>
        <w:t xml:space="preserve">The act also requires that all contracts are in </w:t>
      </w:r>
      <w:proofErr w:type="gramStart"/>
      <w:r w:rsidRPr="00DD7BD1">
        <w:rPr>
          <w:rFonts w:cs="Calibri"/>
          <w:color w:val="auto"/>
        </w:rPr>
        <w:t>writing,</w:t>
      </w:r>
      <w:proofErr w:type="gramEnd"/>
      <w:r w:rsidRPr="00DD7BD1">
        <w:rPr>
          <w:rFonts w:cs="Calibri"/>
          <w:color w:val="auto"/>
        </w:rPr>
        <w:t xml:space="preserve"> that the hiring party </w:t>
      </w:r>
      <w:proofErr w:type="gramStart"/>
      <w:r w:rsidRPr="00DD7BD1">
        <w:rPr>
          <w:rFonts w:cs="Calibri"/>
          <w:color w:val="auto"/>
        </w:rPr>
        <w:t>provide</w:t>
      </w:r>
      <w:proofErr w:type="gramEnd"/>
      <w:r w:rsidRPr="00DD7BD1">
        <w:rPr>
          <w:rFonts w:cs="Calibri"/>
          <w:color w:val="auto"/>
        </w:rPr>
        <w:t xml:space="preserve"> a signed physical or electronic copy of the written contract to the freelance contract, and that the hiring party </w:t>
      </w:r>
      <w:proofErr w:type="gramStart"/>
      <w:r w:rsidRPr="00DD7BD1">
        <w:rPr>
          <w:rFonts w:cs="Calibri"/>
          <w:color w:val="auto"/>
        </w:rPr>
        <w:t>retain</w:t>
      </w:r>
      <w:proofErr w:type="gramEnd"/>
      <w:r w:rsidRPr="00DD7BD1">
        <w:rPr>
          <w:rFonts w:cs="Calibri"/>
          <w:color w:val="auto"/>
        </w:rPr>
        <w:t xml:space="preserve"> a copy of the contract for at least </w:t>
      </w:r>
      <w:r w:rsidRPr="00DD7BD1">
        <w:rPr>
          <w:rFonts w:cs="Calibri"/>
          <w:b/>
          <w:bCs/>
          <w:color w:val="auto"/>
        </w:rPr>
        <w:t>four years</w:t>
      </w:r>
      <w:r w:rsidRPr="00DD7BD1">
        <w:rPr>
          <w:rFonts w:cs="Calibri"/>
          <w:color w:val="auto"/>
        </w:rPr>
        <w:t>. Written contracts for freelance services must contain the following:</w:t>
      </w:r>
    </w:p>
    <w:p w14:paraId="5787E38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Name and mailing address of each party;</w:t>
      </w:r>
    </w:p>
    <w:p w14:paraId="1330E02E"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Itemized list of services to be provided, the value of such services, and the rate and method of compensation;</w:t>
      </w:r>
    </w:p>
    <w:p w14:paraId="5514FD48"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compensation will be paid or the mechanism through which the date will be determined; and</w:t>
      </w:r>
    </w:p>
    <w:p w14:paraId="21459251"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by which the freelance worker must provide a list of services rendered to the hiring party to ensure timely payment of compensation.</w:t>
      </w:r>
    </w:p>
    <w:p w14:paraId="050AFB21" w14:textId="77777777" w:rsidR="00CD70B8" w:rsidRPr="00DD7BD1" w:rsidRDefault="00CD70B8" w:rsidP="00CD70B8">
      <w:pPr>
        <w:pStyle w:val="Bullet2"/>
        <w:spacing w:after="0" w:line="240" w:lineRule="auto"/>
        <w:ind w:left="0" w:firstLine="0"/>
        <w:rPr>
          <w:rFonts w:cs="Calibri"/>
          <w:b/>
          <w:bCs/>
          <w:i/>
          <w:iCs/>
          <w:color w:val="auto"/>
        </w:rPr>
      </w:pPr>
    </w:p>
    <w:p w14:paraId="1150E254" w14:textId="77777777" w:rsidR="00CD70B8" w:rsidRPr="00DD7BD1" w:rsidRDefault="00CD70B8" w:rsidP="00CD70B8">
      <w:pPr>
        <w:pStyle w:val="Bullet2"/>
        <w:spacing w:after="0" w:line="240" w:lineRule="auto"/>
        <w:ind w:left="0" w:firstLine="0"/>
        <w:rPr>
          <w:rFonts w:cs="Calibri"/>
          <w:b/>
          <w:bCs/>
          <w:i/>
          <w:iCs/>
          <w:color w:val="auto"/>
        </w:rPr>
      </w:pPr>
      <w:r w:rsidRPr="00DD7BD1">
        <w:rPr>
          <w:rFonts w:cs="Calibri"/>
          <w:b/>
          <w:bCs/>
          <w:i/>
          <w:iCs/>
          <w:color w:val="auto"/>
        </w:rPr>
        <w:t xml:space="preserve">Other Prohibited Conduct and Enforcement </w:t>
      </w:r>
    </w:p>
    <w:p w14:paraId="670772FA"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Pr="00DD7BD1" w:rsidRDefault="00CD70B8" w:rsidP="00CD70B8">
      <w:pPr>
        <w:pStyle w:val="Bullet2"/>
        <w:spacing w:after="0" w:line="240" w:lineRule="auto"/>
        <w:ind w:left="0" w:firstLine="0"/>
        <w:rPr>
          <w:rFonts w:cs="Calibri"/>
          <w:color w:val="auto"/>
        </w:rPr>
      </w:pPr>
    </w:p>
    <w:p w14:paraId="66F94F6F" w14:textId="4C169389" w:rsidR="00CD70B8" w:rsidRPr="00DD7BD1" w:rsidRDefault="00CD70B8" w:rsidP="00CD70B8">
      <w:pPr>
        <w:pStyle w:val="Bullet2"/>
        <w:spacing w:after="0" w:line="240" w:lineRule="auto"/>
        <w:ind w:left="0" w:firstLine="0"/>
        <w:jc w:val="center"/>
        <w:rPr>
          <w:rFonts w:cs="Calibri"/>
          <w:b/>
          <w:bCs/>
          <w:color w:val="auto"/>
          <w:sz w:val="28"/>
          <w:szCs w:val="28"/>
        </w:rPr>
      </w:pPr>
      <w:r w:rsidRPr="00DD7BD1">
        <w:rPr>
          <w:rFonts w:cs="Calibri"/>
          <w:b/>
          <w:bCs/>
          <w:color w:val="auto"/>
          <w:sz w:val="28"/>
          <w:szCs w:val="28"/>
        </w:rPr>
        <w:t>Paid Sick Leave Expansion –</w:t>
      </w:r>
      <w:r w:rsidRPr="00DD7BD1">
        <w:rPr>
          <w:rFonts w:cs="Calibri"/>
          <w:b/>
          <w:bCs/>
          <w:color w:val="C00000"/>
          <w:sz w:val="28"/>
          <w:szCs w:val="28"/>
        </w:rPr>
        <w:t xml:space="preserve"> Jan 1, 2025</w:t>
      </w:r>
    </w:p>
    <w:p w14:paraId="0569481E" w14:textId="77777777" w:rsidR="00CD70B8" w:rsidRPr="00DD7BD1" w:rsidRDefault="00CD70B8" w:rsidP="00CD70B8">
      <w:pPr>
        <w:pStyle w:val="Bullet2"/>
        <w:spacing w:after="0" w:line="240" w:lineRule="auto"/>
        <w:ind w:left="0" w:firstLine="0"/>
        <w:rPr>
          <w:rFonts w:cs="Calibri"/>
          <w:color w:val="auto"/>
        </w:rPr>
      </w:pPr>
      <w:hyperlink r:id="rId628" w:tgtFrame="_blank" w:history="1">
        <w:r w:rsidRPr="00DD7BD1">
          <w:rPr>
            <w:rStyle w:val="Hyperlink"/>
            <w:rFonts w:cs="Calibri"/>
          </w:rPr>
          <w:t>SB 1105</w:t>
        </w:r>
      </w:hyperlink>
      <w:r w:rsidRPr="00DD7BD1">
        <w:rPr>
          <w:rFonts w:cs="Calibri"/>
          <w:color w:val="auto"/>
        </w:rPr>
        <w:t xml:space="preserve">, revises California's paid sick leave, expressly allowing </w:t>
      </w:r>
      <w:r w:rsidRPr="00DD7BD1">
        <w:rPr>
          <w:rFonts w:cs="Calibri"/>
          <w:b/>
          <w:bCs/>
          <w:color w:val="7030A0"/>
        </w:rPr>
        <w:t>agricultural employees</w:t>
      </w:r>
      <w:r w:rsidRPr="00DD7BD1">
        <w:rPr>
          <w:rFonts w:cs="Calibri"/>
          <w:color w:val="7030A0"/>
        </w:rPr>
        <w:t xml:space="preserve"> </w:t>
      </w:r>
      <w:r w:rsidRPr="00DD7BD1">
        <w:rPr>
          <w:rFonts w:cs="Calibri"/>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DD7BD1" w:rsidRDefault="00CD70B8" w:rsidP="00CD70B8">
      <w:pPr>
        <w:pStyle w:val="Bullet2"/>
        <w:spacing w:after="0" w:line="240" w:lineRule="auto"/>
        <w:ind w:left="0" w:firstLine="0"/>
        <w:rPr>
          <w:rFonts w:cs="Calibri"/>
          <w:color w:val="auto"/>
        </w:rPr>
      </w:pPr>
    </w:p>
    <w:p w14:paraId="312A5471" w14:textId="6661AC29" w:rsidR="00CD70B8" w:rsidRPr="00DD7BD1" w:rsidRDefault="00CD70B8" w:rsidP="00CD70B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Amends Victim Leave for Employees – </w:t>
      </w:r>
      <w:r w:rsidRPr="00DD7BD1">
        <w:rPr>
          <w:rFonts w:ascii="Calibri" w:hAnsi="Calibri" w:cs="Calibri"/>
          <w:b/>
          <w:bCs/>
          <w:color w:val="C00000"/>
          <w:sz w:val="28"/>
          <w:szCs w:val="28"/>
          <w:shd w:val="clear" w:color="auto" w:fill="FFFFFF"/>
        </w:rPr>
        <w:t>Jan 1, 2025</w:t>
      </w:r>
    </w:p>
    <w:p w14:paraId="3FF64AF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has amended its Healthy Workplaces, Healthy Families Act law addressing employee leave </w:t>
      </w:r>
      <w:r w:rsidRPr="00DD7BD1">
        <w:rPr>
          <w:rFonts w:ascii="Calibri" w:hAnsi="Calibri" w:cs="Calibri"/>
          <w:u w:val="single"/>
        </w:rPr>
        <w:t xml:space="preserve">for victims of domestic violence, sexual assault and other specified </w:t>
      </w:r>
      <w:r w:rsidRPr="00DD7BD1">
        <w:rPr>
          <w:rFonts w:ascii="Calibri" w:hAnsi="Calibri" w:cs="Calibri"/>
        </w:rPr>
        <w:t xml:space="preserve">“qualifying acts of violence.” The amendments list 10 of these reasons, which include purposes such as seeking restraining orders, counseling, safety planning, relocating, caring for a family member who is a victim and participating in legal proceedings.  </w:t>
      </w:r>
    </w:p>
    <w:p w14:paraId="66A5DBDC" w14:textId="77777777" w:rsidR="00CD70B8" w:rsidRPr="00DD7BD1" w:rsidRDefault="00CD70B8" w:rsidP="00CD70B8">
      <w:pPr>
        <w:spacing w:after="0" w:line="240" w:lineRule="auto"/>
        <w:rPr>
          <w:rFonts w:ascii="Calibri" w:hAnsi="Calibri" w:cs="Calibri"/>
          <w:sz w:val="16"/>
          <w:szCs w:val="16"/>
        </w:rPr>
      </w:pPr>
    </w:p>
    <w:p w14:paraId="03F07EBC" w14:textId="77777777" w:rsidR="00CD70B8" w:rsidRPr="00DD7BD1" w:rsidRDefault="00CD70B8" w:rsidP="00CD70B8">
      <w:pPr>
        <w:spacing w:after="0" w:line="240" w:lineRule="auto"/>
        <w:rPr>
          <w:rFonts w:ascii="Calibri" w:hAnsi="Calibri" w:cs="Calibri"/>
        </w:rPr>
      </w:pPr>
      <w:r w:rsidRPr="00DD7BD1">
        <w:rPr>
          <w:rFonts w:ascii="Calibri" w:hAnsi="Calibri" w:cs="Calibri"/>
        </w:rPr>
        <w:t>The definition of </w:t>
      </w:r>
      <w:r w:rsidRPr="00DD7BD1">
        <w:rPr>
          <w:rFonts w:ascii="Calibri" w:hAnsi="Calibri" w:cs="Calibri"/>
          <w:b/>
          <w:bCs/>
          <w:i/>
          <w:iCs/>
        </w:rPr>
        <w:t>victim </w:t>
      </w:r>
      <w:r w:rsidRPr="00DD7BD1">
        <w:rPr>
          <w:rFonts w:ascii="Calibri" w:hAnsi="Calibri" w:cs="Calibri"/>
        </w:rPr>
        <w:t>will be broadened to include victims of any </w:t>
      </w:r>
      <w:r w:rsidRPr="00DD7BD1">
        <w:rPr>
          <w:rFonts w:ascii="Calibri" w:hAnsi="Calibri" w:cs="Calibri"/>
          <w:i/>
          <w:iCs/>
        </w:rPr>
        <w:t>qualifying act of violence</w:t>
      </w:r>
      <w:r w:rsidRPr="00DD7BD1">
        <w:rPr>
          <w:rFonts w:ascii="Calibri" w:hAnsi="Calibri" w:cs="Calibri"/>
        </w:rPr>
        <w:t> (QAOV). A QAOV means domestic violence, sexual assault, stalking and</w:t>
      </w:r>
      <w:r w:rsidRPr="00DD7BD1">
        <w:rPr>
          <w:rFonts w:ascii="Calibri" w:hAnsi="Calibri" w:cs="Calibri"/>
          <w:i/>
          <w:iCs/>
        </w:rPr>
        <w:t> </w:t>
      </w:r>
      <w:r w:rsidRPr="00DD7BD1">
        <w:rPr>
          <w:rFonts w:ascii="Calibri" w:hAnsi="Calibri" w:cs="Calibri"/>
        </w:rPr>
        <w:t>any act or pattern of conduct that:</w:t>
      </w:r>
    </w:p>
    <w:p w14:paraId="3C3AB6C8"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Causes bodily injury or death</w:t>
      </w:r>
    </w:p>
    <w:p w14:paraId="3382F13F"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a firearm or other dangerous weapon</w:t>
      </w:r>
    </w:p>
    <w:p w14:paraId="416DC884"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force, or the threat of force, to cause injury or death</w:t>
      </w:r>
    </w:p>
    <w:p w14:paraId="2BB2467F" w14:textId="77777777" w:rsidR="00CD70B8" w:rsidRPr="00DD7BD1" w:rsidRDefault="00CD70B8" w:rsidP="00CD70B8">
      <w:pPr>
        <w:spacing w:after="0" w:line="240" w:lineRule="auto"/>
        <w:rPr>
          <w:rFonts w:ascii="Calibri" w:hAnsi="Calibri" w:cs="Calibri"/>
        </w:rPr>
      </w:pPr>
      <w:r w:rsidRPr="00DD7BD1">
        <w:rPr>
          <w:rFonts w:ascii="Calibri" w:hAnsi="Calibri" w:cs="Calibri"/>
        </w:rPr>
        <w:t>Additionally, employees will be protected from discrimination or retaliation based on a </w:t>
      </w:r>
      <w:r w:rsidRPr="00DD7BD1">
        <w:rPr>
          <w:rFonts w:ascii="Calibri" w:hAnsi="Calibri" w:cs="Calibri"/>
          <w:i/>
          <w:iCs/>
        </w:rPr>
        <w:t>family member’s</w:t>
      </w:r>
      <w:r w:rsidRPr="00DD7BD1">
        <w:rPr>
          <w:rFonts w:ascii="Calibri" w:hAnsi="Calibri" w:cs="Calibri"/>
        </w:rPr>
        <w:t> </w:t>
      </w:r>
      <w:r w:rsidRPr="00DD7BD1">
        <w:rPr>
          <w:rFonts w:ascii="Calibri" w:hAnsi="Calibri" w:cs="Calibri"/>
          <w:i/>
          <w:iCs/>
        </w:rPr>
        <w:t>status</w:t>
      </w:r>
      <w:r w:rsidRPr="00DD7BD1">
        <w:rPr>
          <w:rFonts w:ascii="Calibri" w:hAnsi="Calibri" w:cs="Calibri"/>
        </w:rPr>
        <w:t> as a victim, and reasonable accommodations must be provided to an employee whose family member is a victim.</w:t>
      </w:r>
    </w:p>
    <w:p w14:paraId="7147481B" w14:textId="77777777" w:rsidR="00CD70B8" w:rsidRPr="00DD7BD1" w:rsidRDefault="00CD70B8" w:rsidP="00CD70B8">
      <w:pPr>
        <w:spacing w:after="0" w:line="240" w:lineRule="auto"/>
        <w:rPr>
          <w:rFonts w:ascii="Calibri" w:hAnsi="Calibri" w:cs="Calibri"/>
        </w:rPr>
      </w:pPr>
    </w:p>
    <w:p w14:paraId="56A62912"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Unlike the existing law, the amendments also require that employers with 25 or more employees allow leave when employees’ family members are victims. Employers with </w:t>
      </w:r>
      <w:r w:rsidRPr="00DD7BD1">
        <w:rPr>
          <w:rFonts w:ascii="Calibri" w:hAnsi="Calibri" w:cs="Calibri"/>
          <w:b/>
          <w:bCs/>
        </w:rPr>
        <w:t xml:space="preserve">25 or more employees </w:t>
      </w:r>
      <w:r w:rsidRPr="00DD7BD1">
        <w:rPr>
          <w:rFonts w:ascii="Calibri" w:hAnsi="Calibri" w:cs="Calibri"/>
        </w:rPr>
        <w:t>will be able to limit the leave an employee may take as follows:</w:t>
      </w:r>
    </w:p>
    <w:p w14:paraId="3F827BB8"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Twelve weeks for leave for victims of a qualifying act of violence;</w:t>
      </w:r>
    </w:p>
    <w:p w14:paraId="0BD1161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Five days for relocation or enrolling a child in a new school or </w:t>
      </w:r>
      <w:proofErr w:type="gramStart"/>
      <w:r w:rsidRPr="00DD7BD1">
        <w:rPr>
          <w:rFonts w:eastAsiaTheme="minorHAnsi" w:cs="Calibri"/>
          <w:color w:val="auto"/>
          <w:szCs w:val="22"/>
        </w:rPr>
        <w:t>child care</w:t>
      </w:r>
      <w:proofErr w:type="gramEnd"/>
      <w:r w:rsidRPr="00DD7BD1">
        <w:rPr>
          <w:rFonts w:eastAsiaTheme="minorHAnsi" w:cs="Calibri"/>
          <w:color w:val="auto"/>
          <w:szCs w:val="22"/>
        </w:rPr>
        <w:t xml:space="preserve"> facility when the family member was the victim of a nonfatal crime; and</w:t>
      </w:r>
    </w:p>
    <w:p w14:paraId="6F4843F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Ten days for leave when an employee’s family member was the victim of a nonfatal crime. </w:t>
      </w:r>
    </w:p>
    <w:p w14:paraId="4263767A" w14:textId="77777777" w:rsidR="00CD70B8" w:rsidRPr="00DD7BD1" w:rsidRDefault="00CD70B8" w:rsidP="00CD70B8">
      <w:pPr>
        <w:spacing w:after="0" w:line="240" w:lineRule="auto"/>
        <w:rPr>
          <w:rFonts w:ascii="Calibri" w:hAnsi="Calibri" w:cs="Calibri"/>
          <w:sz w:val="16"/>
          <w:szCs w:val="16"/>
        </w:rPr>
      </w:pPr>
    </w:p>
    <w:p w14:paraId="7CC4FEF5" w14:textId="77777777" w:rsidR="00CD70B8" w:rsidRPr="00DD7BD1" w:rsidRDefault="00CD70B8" w:rsidP="00CD70B8">
      <w:pPr>
        <w:keepNext/>
        <w:spacing w:after="0" w:line="240" w:lineRule="auto"/>
        <w:rPr>
          <w:rFonts w:ascii="Calibri" w:hAnsi="Calibri" w:cs="Calibri"/>
        </w:rPr>
      </w:pPr>
      <w:r w:rsidRPr="00DD7BD1">
        <w:rPr>
          <w:rFonts w:ascii="Calibri" w:hAnsi="Calibri" w:cs="Calibri"/>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Enroll children in a new school or </w:t>
      </w:r>
      <w:proofErr w:type="gramStart"/>
      <w:r w:rsidRPr="00DD7BD1">
        <w:rPr>
          <w:rFonts w:cs="Calibri"/>
          <w:color w:val="auto"/>
        </w:rPr>
        <w:t>child care</w:t>
      </w:r>
      <w:proofErr w:type="gramEnd"/>
      <w:r w:rsidRPr="00DD7BD1">
        <w:rPr>
          <w:rFonts w:cs="Calibri"/>
          <w:color w:val="auto"/>
        </w:rPr>
        <w:t>;</w:t>
      </w:r>
    </w:p>
    <w:p w14:paraId="44D053F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Seek, obtain or assist a family member in seeking or obtaining legal services;</w:t>
      </w:r>
    </w:p>
    <w:p w14:paraId="073200E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Prepare for, participate in or attend any civil, administrative or criminal legal proceeding; and</w:t>
      </w:r>
    </w:p>
    <w:p w14:paraId="24594D0D"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Seek, obtain or provide </w:t>
      </w:r>
      <w:proofErr w:type="gramStart"/>
      <w:r w:rsidRPr="00DD7BD1">
        <w:rPr>
          <w:rFonts w:cs="Calibri"/>
          <w:color w:val="auto"/>
        </w:rPr>
        <w:t>child care</w:t>
      </w:r>
      <w:proofErr w:type="gramEnd"/>
      <w:r w:rsidRPr="00DD7BD1">
        <w:rPr>
          <w:rFonts w:cs="Calibri"/>
          <w:color w:val="auto"/>
        </w:rPr>
        <w:t xml:space="preserve"> or care to a care-dependent adult if such care is necessary to ensure their safety. </w:t>
      </w:r>
    </w:p>
    <w:p w14:paraId="10EDA8DE" w14:textId="77777777" w:rsidR="00CD70B8" w:rsidRPr="00DD7BD1" w:rsidRDefault="00CD70B8" w:rsidP="00CD70B8">
      <w:pPr>
        <w:spacing w:after="0" w:line="240" w:lineRule="auto"/>
        <w:rPr>
          <w:rFonts w:ascii="Calibri" w:hAnsi="Calibri" w:cs="Calibri"/>
          <w:b/>
          <w:bCs/>
          <w:sz w:val="16"/>
          <w:szCs w:val="16"/>
        </w:rPr>
      </w:pPr>
    </w:p>
    <w:p w14:paraId="08740885" w14:textId="77777777" w:rsidR="00CD70B8" w:rsidRPr="00DD7BD1" w:rsidRDefault="00CD70B8" w:rsidP="00CD70B8">
      <w:pPr>
        <w:spacing w:after="0" w:line="240" w:lineRule="auto"/>
        <w:rPr>
          <w:rFonts w:ascii="Calibri" w:hAnsi="Calibri" w:cs="Calibri"/>
          <w:b/>
          <w:bCs/>
        </w:rPr>
      </w:pPr>
      <w:r w:rsidRPr="00DD7BD1">
        <w:rPr>
          <w:rFonts w:ascii="Calibri" w:hAnsi="Calibri" w:cs="Calibri"/>
          <w:b/>
          <w:bCs/>
        </w:rPr>
        <w:t>Leave of Absence</w:t>
      </w:r>
    </w:p>
    <w:p w14:paraId="66778ECF" w14:textId="77777777" w:rsidR="00CD70B8" w:rsidRPr="00DD7BD1" w:rsidRDefault="00CD70B8" w:rsidP="00CD70B8">
      <w:pPr>
        <w:spacing w:after="0" w:line="240" w:lineRule="auto"/>
        <w:rPr>
          <w:rFonts w:ascii="Calibri" w:hAnsi="Calibri" w:cs="Calibri"/>
        </w:rPr>
      </w:pPr>
      <w:r w:rsidRPr="00DD7BD1">
        <w:rPr>
          <w:rFonts w:ascii="Calibri" w:hAnsi="Calibri" w:cs="Calibri"/>
        </w:rPr>
        <w:lastRenderedPageBreak/>
        <w:t>AB 2499 (</w:t>
      </w:r>
      <w:hyperlink r:id="rId629" w:tgtFrame="_blank" w:history="1">
        <w:r w:rsidRPr="00DD7BD1">
          <w:rPr>
            <w:rStyle w:val="Hyperlink"/>
            <w:rFonts w:ascii="Calibri" w:hAnsi="Calibri" w:cs="Calibri"/>
          </w:rPr>
          <w:t>CA A 2499</w:t>
        </w:r>
      </w:hyperlink>
      <w:r w:rsidRPr="00DD7BD1">
        <w:rPr>
          <w:rFonts w:ascii="Calibri" w:hAnsi="Calibri" w:cs="Calibri"/>
        </w:rPr>
        <w:t>) 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employees, and  the California Civil Rights Department (CRD) will have enforcement authority.</w:t>
      </w:r>
    </w:p>
    <w:p w14:paraId="13AE99C2" w14:textId="77777777" w:rsidR="00CD70B8" w:rsidRPr="00DD7BD1" w:rsidRDefault="00CD70B8" w:rsidP="00CD70B8">
      <w:pPr>
        <w:spacing w:after="0" w:line="240" w:lineRule="auto"/>
        <w:rPr>
          <w:rFonts w:ascii="Calibri" w:hAnsi="Calibri" w:cs="Calibri"/>
          <w:sz w:val="16"/>
          <w:szCs w:val="16"/>
        </w:rPr>
      </w:pPr>
    </w:p>
    <w:p w14:paraId="2C4D52F0" w14:textId="77777777" w:rsidR="00CD70B8" w:rsidRPr="00DD7BD1" w:rsidRDefault="00CD70B8" w:rsidP="00CD70B8">
      <w:pPr>
        <w:rPr>
          <w:rFonts w:ascii="Calibri" w:hAnsi="Calibri" w:cs="Calibri"/>
        </w:rPr>
      </w:pPr>
      <w:r w:rsidRPr="00DD7BD1">
        <w:rPr>
          <w:rFonts w:ascii="Calibri" w:hAnsi="Calibri" w:cs="Calibri"/>
        </w:rPr>
        <w:t xml:space="preserve">The changes take effect </w:t>
      </w:r>
      <w:r w:rsidRPr="00DD7BD1">
        <w:rPr>
          <w:rFonts w:ascii="Calibri" w:hAnsi="Calibri" w:cs="Calibri"/>
          <w:b/>
          <w:bCs/>
        </w:rPr>
        <w:t>Jan. 1, 2025</w:t>
      </w:r>
      <w:r w:rsidRPr="00DD7BD1">
        <w:rPr>
          <w:rFonts w:ascii="Calibri" w:hAnsi="Calibri" w:cs="Calibri"/>
        </w:rPr>
        <w:t xml:space="preserve">, and include, among other things, revised definitions, expanded reasons for leave, permitted limits on leave and enforcement by the state’s Civil Rights Department. </w:t>
      </w:r>
    </w:p>
    <w:p w14:paraId="2D738227" w14:textId="77777777" w:rsidR="00CD70B8" w:rsidRPr="00DD7BD1" w:rsidRDefault="00CD70B8" w:rsidP="00CD70B8">
      <w:pPr>
        <w:rPr>
          <w:rFonts w:ascii="Calibri" w:hAnsi="Calibri" w:cs="Calibri"/>
        </w:rPr>
      </w:pPr>
      <w:r w:rsidRPr="00DD7BD1">
        <w:rPr>
          <w:rFonts w:ascii="Calibri" w:hAnsi="Calibri" w:cs="Calibri"/>
        </w:rPr>
        <w:t xml:space="preserve">The amendments were contained in </w:t>
      </w:r>
      <w:hyperlink r:id="rId630" w:history="1">
        <w:r w:rsidRPr="00DD7BD1">
          <w:rPr>
            <w:rStyle w:val="Hyperlink"/>
            <w:rFonts w:ascii="Calibri" w:hAnsi="Calibri" w:cs="Calibri"/>
          </w:rPr>
          <w:t>Assembly Bill (AB) 2499</w:t>
        </w:r>
      </w:hyperlink>
      <w:r w:rsidRPr="00DD7BD1">
        <w:rPr>
          <w:rFonts w:ascii="Calibri" w:hAnsi="Calibri" w:cs="Calibri"/>
        </w:rPr>
        <w:t>, enacted Sept. 29, 2024.</w:t>
      </w:r>
    </w:p>
    <w:p w14:paraId="4354D827" w14:textId="77777777" w:rsidR="00CD70B8" w:rsidRPr="00DD7BD1" w:rsidRDefault="00CD70B8" w:rsidP="00CD70B8">
      <w:pPr>
        <w:rPr>
          <w:rFonts w:ascii="Calibri" w:hAnsi="Calibri" w:cs="Calibri"/>
        </w:rPr>
      </w:pPr>
      <w:r w:rsidRPr="00DD7BD1">
        <w:rPr>
          <w:rFonts w:ascii="Calibri" w:hAnsi="Calibri" w:cs="Calibri"/>
        </w:rPr>
        <w:t xml:space="preserve">Lastly, employers also must provide employees with written notice of their rights to victim leave upon hire, annually, and </w:t>
      </w:r>
      <w:proofErr w:type="gramStart"/>
      <w:r w:rsidRPr="00DD7BD1">
        <w:rPr>
          <w:rFonts w:ascii="Calibri" w:hAnsi="Calibri" w:cs="Calibri"/>
        </w:rPr>
        <w:t>any time</w:t>
      </w:r>
      <w:proofErr w:type="gramEnd"/>
      <w:r w:rsidRPr="00DD7BD1">
        <w:rPr>
          <w:rFonts w:ascii="Calibri" w:hAnsi="Calibri" w:cs="Calibri"/>
        </w:rPr>
        <w:t xml:space="preserv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Pr="00DD7BD1" w:rsidRDefault="00CD70B8" w:rsidP="00CD70B8">
      <w:pPr>
        <w:rPr>
          <w:rFonts w:ascii="Calibri" w:hAnsi="Calibri" w:cs="Calibri"/>
        </w:rPr>
      </w:pPr>
      <w:r w:rsidRPr="00DD7BD1">
        <w:rPr>
          <w:rFonts w:ascii="Calibri" w:hAnsi="Calibri" w:cs="Calibri"/>
        </w:rPr>
        <w:t>ETC will be revising State Handbook Addendums and publishing updates early 2025 reflective of this change.</w:t>
      </w:r>
    </w:p>
    <w:p w14:paraId="5E59B76B" w14:textId="31E62D39" w:rsidR="00CD70B8" w:rsidRPr="00DD7BD1" w:rsidRDefault="00CD70B8" w:rsidP="00CD70B8">
      <w:pPr>
        <w:spacing w:after="0" w:line="240" w:lineRule="auto"/>
        <w:jc w:val="center"/>
        <w:rPr>
          <w:rFonts w:ascii="Calibri" w:eastAsiaTheme="majorEastAsia" w:hAnsi="Calibri" w:cs="Calibri"/>
          <w:b/>
          <w:bCs/>
          <w:sz w:val="28"/>
          <w:szCs w:val="28"/>
        </w:rPr>
      </w:pPr>
      <w:r w:rsidRPr="00DD7BD1">
        <w:rPr>
          <w:rFonts w:ascii="Calibri" w:eastAsiaTheme="majorEastAsia" w:hAnsi="Calibri" w:cs="Calibri"/>
          <w:b/>
          <w:bCs/>
          <w:sz w:val="28"/>
          <w:szCs w:val="28"/>
        </w:rPr>
        <w:t xml:space="preserve">Jury &amp;  Witness Duty Leave Oversight &amp; Enforcement Change– </w:t>
      </w:r>
      <w:r w:rsidRPr="00DD7BD1">
        <w:rPr>
          <w:rFonts w:ascii="Calibri" w:eastAsiaTheme="majorEastAsia" w:hAnsi="Calibri" w:cs="Calibri"/>
          <w:b/>
          <w:bCs/>
          <w:color w:val="C00000"/>
          <w:sz w:val="28"/>
          <w:szCs w:val="28"/>
        </w:rPr>
        <w:t>Jan 1, 2025</w:t>
      </w:r>
    </w:p>
    <w:p w14:paraId="32DE61E8" w14:textId="77777777" w:rsidR="00CD70B8" w:rsidRPr="00DD7BD1" w:rsidRDefault="00CD70B8" w:rsidP="00CD70B8">
      <w:pPr>
        <w:spacing w:after="0" w:line="240" w:lineRule="auto"/>
        <w:rPr>
          <w:rFonts w:ascii="Calibri" w:hAnsi="Calibri" w:cs="Calibri"/>
        </w:rPr>
      </w:pPr>
      <w:hyperlink r:id="rId631" w:tgtFrame="_blank" w:history="1">
        <w:r w:rsidRPr="00DD7BD1">
          <w:rPr>
            <w:rStyle w:val="Hyperlink"/>
            <w:rFonts w:ascii="Calibri" w:hAnsi="Calibri" w:cs="Calibri"/>
          </w:rPr>
          <w:t>AB 2499</w:t>
        </w:r>
      </w:hyperlink>
      <w:r w:rsidRPr="00DD7BD1">
        <w:rPr>
          <w:rFonts w:ascii="Calibri" w:hAnsi="Calibri" w:cs="Calibri"/>
        </w:rPr>
        <w:t> also moves jury and witness duty leave from the Labor Code to the Fair Employment and Housing Act (FEHA) meaning the California Civil Rights Department (CRD) will also have enforcement authority over this leave entitlement.</w:t>
      </w:r>
    </w:p>
    <w:p w14:paraId="185ED98D" w14:textId="77777777" w:rsidR="00CD70B8" w:rsidRPr="00DD7BD1" w:rsidRDefault="00CD70B8" w:rsidP="00CD70B8">
      <w:pPr>
        <w:spacing w:after="0" w:line="240" w:lineRule="auto"/>
        <w:rPr>
          <w:rFonts w:ascii="Calibri" w:hAnsi="Calibri" w:cs="Calibri"/>
          <w:sz w:val="16"/>
          <w:szCs w:val="16"/>
        </w:rPr>
      </w:pPr>
    </w:p>
    <w:p w14:paraId="09CCA8A7" w14:textId="24F3A3F8" w:rsidR="00CD70B8" w:rsidRPr="00DD7BD1" w:rsidRDefault="00CD70B8" w:rsidP="00CD70B8">
      <w:pPr>
        <w:pStyle w:val="Heading2"/>
        <w:spacing w:before="0" w:line="240" w:lineRule="auto"/>
        <w:jc w:val="center"/>
        <w:rPr>
          <w:rFonts w:ascii="Calibri" w:hAnsi="Calibri" w:cs="Calibri"/>
          <w:b/>
          <w:bCs/>
          <w:color w:val="auto"/>
          <w:sz w:val="28"/>
          <w:szCs w:val="28"/>
          <w:u w:val="single"/>
        </w:rPr>
      </w:pPr>
      <w:r w:rsidRPr="00DD7BD1">
        <w:rPr>
          <w:rFonts w:ascii="Calibri" w:eastAsiaTheme="minorHAnsi" w:hAnsi="Calibri" w:cs="Calibri"/>
          <w:b/>
          <w:bCs/>
          <w:color w:val="auto"/>
          <w:sz w:val="28"/>
          <w:szCs w:val="28"/>
          <w:shd w:val="clear" w:color="auto" w:fill="FFFFFF"/>
        </w:rPr>
        <w:t xml:space="preserve">State Passes </w:t>
      </w:r>
      <w:r w:rsidRPr="00DD7BD1">
        <w:rPr>
          <w:rFonts w:ascii="Calibri" w:hAnsi="Calibri" w:cs="Calibri"/>
          <w:b/>
          <w:bCs/>
          <w:color w:val="auto"/>
          <w:sz w:val="28"/>
          <w:szCs w:val="28"/>
        </w:rPr>
        <w:t xml:space="preserve">Captive Audience Ban </w:t>
      </w:r>
      <w:r w:rsidRPr="00DD7BD1">
        <w:rPr>
          <w:rFonts w:ascii="Calibri" w:eastAsiaTheme="minorHAnsi" w:hAnsi="Calibri" w:cs="Calibri"/>
          <w:b/>
          <w:bCs/>
          <w:color w:val="auto"/>
          <w:sz w:val="28"/>
          <w:szCs w:val="28"/>
          <w:shd w:val="clear" w:color="auto" w:fill="FFFFFF"/>
        </w:rPr>
        <w:t xml:space="preserve">– </w:t>
      </w:r>
      <w:r w:rsidRPr="00DD7BD1">
        <w:rPr>
          <w:rFonts w:ascii="Calibri" w:eastAsiaTheme="minorHAnsi" w:hAnsi="Calibri" w:cs="Calibri"/>
          <w:b/>
          <w:bCs/>
          <w:color w:val="C00000"/>
          <w:sz w:val="28"/>
          <w:szCs w:val="28"/>
          <w:shd w:val="clear" w:color="auto" w:fill="FFFFFF"/>
        </w:rPr>
        <w:t>Jan 1, 2025</w:t>
      </w:r>
    </w:p>
    <w:p w14:paraId="0B6ECB8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 xml:space="preserve">California passed the </w:t>
      </w:r>
      <w:hyperlink r:id="rId632" w:history="1">
        <w:r w:rsidRPr="00DD7BD1">
          <w:rPr>
            <w:rStyle w:val="Hyperlink"/>
            <w:rFonts w:ascii="Calibri" w:hAnsi="Calibri" w:cs="Calibri"/>
          </w:rPr>
          <w:t>California Worker Freedom from Employer Intimidation Act</w:t>
        </w:r>
      </w:hyperlink>
      <w:r w:rsidRPr="00DD7BD1">
        <w:rPr>
          <w:rFonts w:ascii="Calibri" w:hAnsi="Calibri" w:cs="Calibri"/>
        </w:rPr>
        <w:t xml:space="preserve">, </w:t>
      </w:r>
      <w:hyperlink r:id="rId633" w:tgtFrame="_blank" w:history="1">
        <w:r w:rsidRPr="00DD7BD1">
          <w:rPr>
            <w:rStyle w:val="Hyperlink"/>
            <w:rFonts w:ascii="Calibri" w:hAnsi="Calibri" w:cs="Calibri"/>
          </w:rPr>
          <w:t>CA S 399</w:t>
        </w:r>
      </w:hyperlink>
      <w:r w:rsidRPr="00DD7BD1">
        <w:rPr>
          <w:rFonts w:ascii="Calibri" w:hAnsi="Calibri" w:cs="Calibri"/>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However, under the law:</w:t>
      </w:r>
    </w:p>
    <w:p w14:paraId="001D014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Higher education institutions may communicate information on coursework, symposia or academic programs; </w:t>
      </w:r>
    </w:p>
    <w:p w14:paraId="1186DB0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Public entities may communicate information related to one of its policies or any law or regulation such entity is responsible for administering;</w:t>
      </w:r>
    </w:p>
    <w:p w14:paraId="7D8D96F2"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Religious entities may communicate information regarding relevant religious matters;</w:t>
      </w:r>
    </w:p>
    <w:p w14:paraId="3BE4C856"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Political organizations may communicate information regarding relevant political matters; and</w:t>
      </w:r>
    </w:p>
    <w:p w14:paraId="52E65FFC"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Employers who violate the law may be subject to civil penalties of $500 per employee for each violation, as well as injunctive relief and damages. </w:t>
      </w:r>
    </w:p>
    <w:p w14:paraId="0E514ACD" w14:textId="77777777" w:rsidR="00CD70B8" w:rsidRPr="00DD7BD1" w:rsidRDefault="00CD70B8" w:rsidP="00CD70B8">
      <w:pPr>
        <w:pStyle w:val="Bullet2"/>
        <w:spacing w:after="0" w:line="240" w:lineRule="auto"/>
        <w:ind w:left="0" w:firstLine="0"/>
        <w:rPr>
          <w:rFonts w:cs="Calibri"/>
          <w:color w:val="auto"/>
          <w:sz w:val="16"/>
          <w:szCs w:val="16"/>
        </w:rPr>
      </w:pPr>
    </w:p>
    <w:p w14:paraId="5FAF4F4C" w14:textId="663F4980" w:rsidR="00CD70B8" w:rsidRPr="00DD7BD1" w:rsidRDefault="00CD70B8" w:rsidP="00CD70B8">
      <w:pPr>
        <w:pStyle w:val="SubHeader"/>
        <w:spacing w:line="240" w:lineRule="auto"/>
        <w:jc w:val="center"/>
        <w:rPr>
          <w:rFonts w:cs="Calibri"/>
          <w:color w:val="auto"/>
        </w:rPr>
      </w:pPr>
      <w:r w:rsidRPr="00DD7BD1">
        <w:rPr>
          <w:rFonts w:cs="Calibri"/>
          <w:color w:val="auto"/>
        </w:rPr>
        <w:t>Expanded Use of CA Paid Sick Leave –</w:t>
      </w:r>
      <w:r w:rsidRPr="00DD7BD1">
        <w:rPr>
          <w:rFonts w:cs="Calibri"/>
          <w:color w:val="C00000"/>
        </w:rPr>
        <w:t xml:space="preserve"> Jan 1, 2025</w:t>
      </w:r>
    </w:p>
    <w:p w14:paraId="6381F29F" w14:textId="77777777" w:rsidR="00CD70B8" w:rsidRPr="00DD7BD1" w:rsidRDefault="00CD70B8" w:rsidP="00CD70B8">
      <w:pPr>
        <w:pStyle w:val="SubHeader"/>
        <w:rPr>
          <w:rFonts w:cs="Calibri"/>
          <w:b w:val="0"/>
          <w:color w:val="auto"/>
          <w:sz w:val="22"/>
          <w:szCs w:val="22"/>
        </w:rPr>
      </w:pPr>
      <w:r w:rsidRPr="00DD7BD1">
        <w:rPr>
          <w:rFonts w:cs="Calibri"/>
          <w:b w:val="0"/>
          <w:color w:val="auto"/>
          <w:sz w:val="22"/>
          <w:szCs w:val="22"/>
        </w:rPr>
        <w:t xml:space="preserve">Under </w:t>
      </w:r>
      <w:hyperlink r:id="rId634" w:tgtFrame="_blank" w:history="1">
        <w:r w:rsidRPr="00DD7BD1">
          <w:rPr>
            <w:rStyle w:val="Hyperlink"/>
            <w:rFonts w:cs="Calibri"/>
            <w:b w:val="0"/>
            <w:sz w:val="22"/>
            <w:szCs w:val="22"/>
          </w:rPr>
          <w:t>CA A 2499</w:t>
        </w:r>
      </w:hyperlink>
      <w:r w:rsidRPr="00DD7BD1">
        <w:rPr>
          <w:rFonts w:cs="Calibri"/>
          <w:b w:val="0"/>
          <w:color w:val="auto"/>
          <w:sz w:val="22"/>
          <w:szCs w:val="22"/>
        </w:rPr>
        <w:t>, employees will be able to use paid sick leave for the following:</w:t>
      </w:r>
    </w:p>
    <w:p w14:paraId="0B4599B4"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Jury duty</w:t>
      </w:r>
    </w:p>
    <w:p w14:paraId="08263D00"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To appear in court under a court order as a witness in a judicial proceeding</w:t>
      </w:r>
    </w:p>
    <w:p w14:paraId="3DFEDBBA"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For any reason covered under the victim leave law when they or their family member is a victim of a QAOV</w:t>
      </w:r>
    </w:p>
    <w:p w14:paraId="75404748" w14:textId="77777777" w:rsidR="00CD70B8" w:rsidRPr="00DD7BD1" w:rsidRDefault="00CD70B8" w:rsidP="00CD70B8">
      <w:pPr>
        <w:pStyle w:val="SubHeader"/>
        <w:spacing w:line="240" w:lineRule="auto"/>
        <w:rPr>
          <w:rFonts w:cs="Calibri"/>
          <w:b w:val="0"/>
          <w:color w:val="auto"/>
          <w:sz w:val="22"/>
          <w:szCs w:val="22"/>
        </w:rPr>
      </w:pPr>
    </w:p>
    <w:p w14:paraId="3DFB97C2" w14:textId="77777777" w:rsidR="00CD70B8" w:rsidRPr="00DD7BD1" w:rsidRDefault="00CD70B8" w:rsidP="00CD70B8">
      <w:pPr>
        <w:pStyle w:val="SubHeader"/>
        <w:spacing w:line="240" w:lineRule="auto"/>
        <w:rPr>
          <w:rFonts w:cs="Calibri"/>
          <w:b w:val="0"/>
          <w:color w:val="auto"/>
          <w:sz w:val="22"/>
          <w:szCs w:val="22"/>
        </w:rPr>
      </w:pPr>
      <w:r w:rsidRPr="00DD7BD1">
        <w:rPr>
          <w:rFonts w:cs="Calibri"/>
          <w:b w:val="0"/>
          <w:color w:val="auto"/>
          <w:sz w:val="22"/>
          <w:szCs w:val="22"/>
        </w:rPr>
        <w:t>ETC’s Updated State Handbook Addendums forthcoming.</w:t>
      </w:r>
    </w:p>
    <w:p w14:paraId="77F9B807" w14:textId="77777777" w:rsidR="00CD70B8" w:rsidRPr="00DD7BD1" w:rsidRDefault="00CD70B8" w:rsidP="00CD70B8">
      <w:pPr>
        <w:pStyle w:val="SubHeader"/>
        <w:spacing w:line="240" w:lineRule="auto"/>
        <w:rPr>
          <w:rFonts w:cs="Calibri"/>
          <w:b w:val="0"/>
          <w:color w:val="auto"/>
          <w:sz w:val="16"/>
          <w:szCs w:val="16"/>
        </w:rPr>
      </w:pPr>
    </w:p>
    <w:p w14:paraId="4215DA7B" w14:textId="77777777"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color w:val="C00000"/>
          <w:sz w:val="28"/>
          <w:szCs w:val="28"/>
        </w:rPr>
        <w:t>Reminder:</w:t>
      </w:r>
      <w:r w:rsidRPr="00DD7BD1">
        <w:rPr>
          <w:rFonts w:ascii="Calibri" w:hAnsi="Calibri" w:cs="Calibri"/>
          <w:color w:val="C00000"/>
        </w:rPr>
        <w:t xml:space="preserve"> </w:t>
      </w:r>
      <w:r w:rsidRPr="00DD7BD1">
        <w:rPr>
          <w:rFonts w:ascii="Calibri" w:hAnsi="Calibri" w:cs="Calibri"/>
          <w:b/>
          <w:bCs/>
          <w:sz w:val="28"/>
          <w:szCs w:val="28"/>
          <w:shd w:val="clear" w:color="auto" w:fill="FFFFFF"/>
        </w:rPr>
        <w:t xml:space="preserve">CA Employers Lose Option to Require Vacation Leave Before PFL – </w:t>
      </w:r>
      <w:r w:rsidRPr="00DD7BD1">
        <w:rPr>
          <w:rFonts w:ascii="Calibri" w:hAnsi="Calibri" w:cs="Calibri"/>
          <w:b/>
          <w:bCs/>
          <w:color w:val="C00000"/>
          <w:sz w:val="28"/>
          <w:szCs w:val="28"/>
          <w:shd w:val="clear" w:color="auto" w:fill="FFFFFF"/>
        </w:rPr>
        <w:t>Jan 1, 2025</w:t>
      </w:r>
    </w:p>
    <w:p w14:paraId="5B6B76ED"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Effective Jan. 1, 2025, California employers will no longer be allowed to require their employees to take two weeks of accrued vacation leave before taking paid family leave under the state’s </w:t>
      </w:r>
      <w:hyperlink r:id="rId635" w:history="1">
        <w:r w:rsidRPr="00DD7BD1">
          <w:rPr>
            <w:rStyle w:val="Hyperlink"/>
            <w:rFonts w:cs="Calibri"/>
          </w:rPr>
          <w:t>family temporary disability insurance program</w:t>
        </w:r>
      </w:hyperlink>
      <w:r w:rsidRPr="00DD7BD1">
        <w:rPr>
          <w:rFonts w:cs="Calibri"/>
        </w:rPr>
        <w:t xml:space="preserve">. </w:t>
      </w:r>
      <w:r w:rsidRPr="00DD7BD1">
        <w:rPr>
          <w:rFonts w:cs="Calibri"/>
          <w:color w:val="auto"/>
        </w:rPr>
        <w:t xml:space="preserve">The change was brought about by </w:t>
      </w:r>
      <w:hyperlink r:id="rId636" w:history="1">
        <w:r w:rsidRPr="00DD7BD1">
          <w:rPr>
            <w:rStyle w:val="Hyperlink"/>
            <w:rFonts w:cs="Calibri"/>
          </w:rPr>
          <w:t>Assembly Bill (AB) 2123</w:t>
        </w:r>
      </w:hyperlink>
      <w:r w:rsidRPr="00DD7BD1">
        <w:rPr>
          <w:rFonts w:cs="Calibri"/>
        </w:rPr>
        <w:t xml:space="preserve">, </w:t>
      </w:r>
      <w:r w:rsidRPr="00DD7BD1">
        <w:rPr>
          <w:rFonts w:cs="Calibri"/>
          <w:color w:val="auto"/>
        </w:rPr>
        <w:t xml:space="preserve">enacted Sept. 29, 2024. </w:t>
      </w:r>
    </w:p>
    <w:p w14:paraId="44BE3E8F" w14:textId="77777777" w:rsidR="00CD70B8" w:rsidRPr="00DD7BD1" w:rsidRDefault="00CD70B8" w:rsidP="00CD70B8">
      <w:pPr>
        <w:pStyle w:val="SubHeader"/>
        <w:spacing w:line="240" w:lineRule="auto"/>
        <w:rPr>
          <w:rFonts w:cs="Calibri"/>
          <w:color w:val="auto"/>
          <w:sz w:val="22"/>
          <w:szCs w:val="22"/>
          <w:highlight w:val="lightGray"/>
        </w:rPr>
      </w:pPr>
    </w:p>
    <w:p w14:paraId="5172D355"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color w:val="auto"/>
          <w:sz w:val="22"/>
          <w:szCs w:val="22"/>
          <w:highlight w:val="lightGray"/>
        </w:rPr>
        <w:t>Employer Takeaway:</w:t>
      </w:r>
      <w:r w:rsidRPr="00DD7BD1">
        <w:rPr>
          <w:rFonts w:cs="Calibri"/>
          <w:color w:val="auto"/>
          <w:sz w:val="22"/>
          <w:szCs w:val="22"/>
        </w:rPr>
        <w:t xml:space="preserve"> </w:t>
      </w:r>
      <w:r w:rsidRPr="00DD7BD1">
        <w:rPr>
          <w:rFonts w:cs="Calibri"/>
          <w:b w:val="0"/>
          <w:bCs/>
          <w:color w:val="auto"/>
          <w:sz w:val="22"/>
          <w:szCs w:val="22"/>
        </w:rPr>
        <w:t xml:space="preserve">The above change allows the possibility of longer employee absences overall, as employees will be able to take their full amount of paid family leave </w:t>
      </w:r>
      <w:r w:rsidRPr="00DD7BD1">
        <w:rPr>
          <w:rFonts w:cs="Calibri"/>
          <w:b w:val="0"/>
          <w:bCs/>
          <w:color w:val="auto"/>
          <w:sz w:val="22"/>
          <w:szCs w:val="22"/>
          <w:u w:val="single"/>
        </w:rPr>
        <w:t>without</w:t>
      </w:r>
      <w:r w:rsidRPr="00DD7BD1">
        <w:rPr>
          <w:rFonts w:cs="Calibri"/>
          <w:b w:val="0"/>
          <w:bCs/>
          <w:color w:val="auto"/>
          <w:sz w:val="22"/>
          <w:szCs w:val="22"/>
        </w:rPr>
        <w:t xml:space="preserve"> first using any accrued vacation time. </w:t>
      </w:r>
    </w:p>
    <w:p w14:paraId="3D22467C" w14:textId="77777777" w:rsidR="00CD70B8" w:rsidRPr="00DD7BD1" w:rsidRDefault="00CD70B8" w:rsidP="00CD70B8">
      <w:pPr>
        <w:pStyle w:val="SubHeader"/>
        <w:spacing w:line="240" w:lineRule="auto"/>
        <w:rPr>
          <w:rFonts w:cs="Calibri"/>
          <w:b w:val="0"/>
          <w:bCs/>
          <w:color w:val="auto"/>
          <w:sz w:val="16"/>
          <w:szCs w:val="16"/>
        </w:rPr>
      </w:pPr>
    </w:p>
    <w:p w14:paraId="66F6DE62" w14:textId="64889169" w:rsidR="00CD70B8" w:rsidRPr="00DD7BD1" w:rsidRDefault="00CD70B8" w:rsidP="00CD70B8">
      <w:pPr>
        <w:pStyle w:val="SubHeader"/>
        <w:spacing w:line="240" w:lineRule="auto"/>
        <w:jc w:val="center"/>
        <w:rPr>
          <w:rFonts w:cs="Calibri"/>
          <w:color w:val="auto"/>
        </w:rPr>
      </w:pPr>
      <w:r w:rsidRPr="00DD7BD1">
        <w:rPr>
          <w:rFonts w:cs="Calibri"/>
          <w:color w:val="auto"/>
        </w:rPr>
        <w:t xml:space="preserve">Workplace Safety Enacted Provisions Effective </w:t>
      </w:r>
      <w:r w:rsidRPr="00DD7BD1">
        <w:rPr>
          <w:rFonts w:cs="Calibri"/>
          <w:color w:val="C00000"/>
        </w:rPr>
        <w:t>Jan 1, 2025</w:t>
      </w:r>
    </w:p>
    <w:p w14:paraId="27BE3F8D"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On January 1, 2025, certain provisions from last year's </w:t>
      </w:r>
      <w:hyperlink r:id="rId637" w:tgtFrame="_blank" w:history="1">
        <w:r w:rsidRPr="00DD7BD1">
          <w:rPr>
            <w:rStyle w:val="Hyperlink"/>
            <w:rFonts w:cs="Calibri"/>
            <w:b w:val="0"/>
            <w:bCs/>
            <w:sz w:val="22"/>
            <w:szCs w:val="22"/>
          </w:rPr>
          <w:t>SB 428</w:t>
        </w:r>
      </w:hyperlink>
      <w:r w:rsidRPr="00DD7BD1">
        <w:rPr>
          <w:rFonts w:cs="Calibri"/>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DD7BD1" w:rsidRDefault="00CD70B8" w:rsidP="00CD70B8">
      <w:pPr>
        <w:pStyle w:val="SubHeader"/>
        <w:spacing w:line="240" w:lineRule="auto"/>
        <w:rPr>
          <w:rFonts w:cs="Calibri"/>
          <w:b w:val="0"/>
          <w:bCs/>
          <w:color w:val="auto"/>
          <w:sz w:val="16"/>
          <w:szCs w:val="16"/>
        </w:rPr>
      </w:pPr>
    </w:p>
    <w:p w14:paraId="5D2ECC67" w14:textId="3A4E2FB2" w:rsidR="00CD70B8" w:rsidRPr="00DD7BD1" w:rsidRDefault="00CD70B8" w:rsidP="00CD70B8">
      <w:pPr>
        <w:pStyle w:val="SubHeader"/>
        <w:spacing w:line="240" w:lineRule="auto"/>
        <w:jc w:val="center"/>
        <w:rPr>
          <w:rFonts w:cs="Calibri"/>
          <w:color w:val="auto"/>
        </w:rPr>
      </w:pPr>
      <w:r w:rsidRPr="00DD7BD1">
        <w:rPr>
          <w:rFonts w:cs="Calibri"/>
          <w:color w:val="auto"/>
        </w:rPr>
        <w:t xml:space="preserve">CA Disability Insurance Updates – </w:t>
      </w:r>
      <w:r w:rsidRPr="00DD7BD1">
        <w:rPr>
          <w:rFonts w:cs="Calibri"/>
          <w:color w:val="C00000"/>
        </w:rPr>
        <w:t>Jan 1, 2025</w:t>
      </w:r>
    </w:p>
    <w:p w14:paraId="67646149" w14:textId="77777777" w:rsidR="00CD70B8" w:rsidRPr="00DD7BD1" w:rsidRDefault="00CD70B8" w:rsidP="00CD70B8">
      <w:pPr>
        <w:pStyle w:val="SubHeader"/>
        <w:rPr>
          <w:rFonts w:cs="Calibri"/>
          <w:b w:val="0"/>
          <w:sz w:val="22"/>
          <w:szCs w:val="22"/>
        </w:rPr>
      </w:pPr>
      <w:r w:rsidRPr="00DD7BD1">
        <w:rPr>
          <w:rFonts w:cs="Calibri"/>
          <w:b w:val="0"/>
          <w:color w:val="auto"/>
          <w:sz w:val="22"/>
          <w:szCs w:val="22"/>
        </w:rPr>
        <w:t>Effective January 1, 2025, the California State Disability Insurance (SDI) and Paid Family Leave (PFL) programs will undergo significant changes outlined in </w:t>
      </w:r>
      <w:hyperlink r:id="rId638" w:tgtFrame="_blank" w:history="1">
        <w:r w:rsidRPr="00DD7BD1">
          <w:rPr>
            <w:rStyle w:val="Hyperlink"/>
            <w:rFonts w:cs="Calibri"/>
            <w:b w:val="0"/>
            <w:sz w:val="22"/>
            <w:szCs w:val="22"/>
          </w:rPr>
          <w:t>CA S 1090</w:t>
        </w:r>
      </w:hyperlink>
      <w:r w:rsidRPr="00DD7BD1">
        <w:rPr>
          <w:rFonts w:cs="Calibri"/>
          <w:b w:val="0"/>
          <w:sz w:val="22"/>
          <w:szCs w:val="22"/>
        </w:rPr>
        <w:t xml:space="preserve">. </w:t>
      </w:r>
    </w:p>
    <w:p w14:paraId="10F50D82" w14:textId="77777777" w:rsidR="00CD70B8" w:rsidRPr="00DD7BD1" w:rsidRDefault="00CD70B8" w:rsidP="00CD70B8">
      <w:pPr>
        <w:pStyle w:val="SubHeader"/>
        <w:rPr>
          <w:rFonts w:cs="Calibri"/>
          <w:bCs/>
          <w:color w:val="auto"/>
          <w:sz w:val="22"/>
          <w:szCs w:val="22"/>
        </w:rPr>
      </w:pPr>
      <w:r w:rsidRPr="00DD7BD1">
        <w:rPr>
          <w:rFonts w:cs="Calibri"/>
          <w:bCs/>
          <w:color w:val="auto"/>
          <w:sz w:val="22"/>
          <w:szCs w:val="22"/>
        </w:rPr>
        <w:t>Key highlights include:</w:t>
      </w:r>
    </w:p>
    <w:p w14:paraId="2413DB7E"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Advanced claims filing: Employees can initiate their claims process up to 30 days in advance of their anticipated first compensable day.</w:t>
      </w:r>
    </w:p>
    <w:p w14:paraId="28D82B25"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Pr="00DD7BD1" w:rsidRDefault="00CD70B8" w:rsidP="00CD70B8">
      <w:pPr>
        <w:pStyle w:val="SubHeader"/>
        <w:ind w:left="720"/>
        <w:rPr>
          <w:rFonts w:cs="Calibri"/>
          <w:b w:val="0"/>
          <w:color w:val="auto"/>
          <w:sz w:val="22"/>
          <w:szCs w:val="22"/>
        </w:rPr>
      </w:pPr>
    </w:p>
    <w:p w14:paraId="675A5110" w14:textId="6A4A2A85" w:rsidR="00CD70B8" w:rsidRPr="00DD7BD1" w:rsidRDefault="00CD70B8" w:rsidP="00CD70B8">
      <w:pPr>
        <w:pStyle w:val="SubHeader"/>
        <w:jc w:val="center"/>
        <w:rPr>
          <w:rFonts w:cs="Calibri"/>
          <w:bCs/>
          <w:color w:val="auto"/>
        </w:rPr>
      </w:pPr>
      <w:r w:rsidRPr="00DD7BD1">
        <w:rPr>
          <w:rFonts w:cs="Calibri"/>
          <w:bCs/>
          <w:color w:val="auto"/>
        </w:rPr>
        <w:t xml:space="preserve">Small Employer Mediation Program – Permanent – </w:t>
      </w:r>
      <w:r w:rsidRPr="00DD7BD1">
        <w:rPr>
          <w:rFonts w:cs="Calibri"/>
          <w:bCs/>
          <w:color w:val="C00000"/>
        </w:rPr>
        <w:t>Jan 1, 2025</w:t>
      </w:r>
    </w:p>
    <w:p w14:paraId="0EE4C382" w14:textId="77777777" w:rsidR="00CD70B8" w:rsidRPr="00DD7BD1" w:rsidRDefault="00CD70B8" w:rsidP="00CD70B8">
      <w:pPr>
        <w:pStyle w:val="SubHeader"/>
        <w:rPr>
          <w:rFonts w:cs="Calibri"/>
          <w:b w:val="0"/>
          <w:color w:val="auto"/>
          <w:sz w:val="22"/>
          <w:szCs w:val="22"/>
        </w:rPr>
      </w:pPr>
      <w:hyperlink r:id="rId639" w:tgtFrame="_blank" w:history="1">
        <w:r w:rsidRPr="00DD7BD1">
          <w:rPr>
            <w:rStyle w:val="Hyperlink"/>
            <w:rFonts w:cs="Calibri"/>
            <w:b w:val="0"/>
            <w:sz w:val="22"/>
            <w:szCs w:val="22"/>
          </w:rPr>
          <w:t>AB 2011</w:t>
        </w:r>
      </w:hyperlink>
      <w:r w:rsidRPr="00DD7BD1">
        <w:rPr>
          <w:rFonts w:cs="Calibri"/>
          <w:b w:val="0"/>
          <w:color w:val="auto"/>
          <w:sz w:val="22"/>
          <w:szCs w:val="22"/>
        </w:rPr>
        <w:t xml:space="preserve"> passing now makes the CRD's Small Employer (5-19 Employees) Mediation Program permanent as it was scheduled to end this year. The program is expanded to cover reproductive loss leave disputes in addition to California Family Rights Act (CFRA) and bereavement leave disputes.  Access the </w:t>
      </w:r>
      <w:hyperlink r:id="rId640" w:history="1">
        <w:r w:rsidRPr="00DD7BD1">
          <w:rPr>
            <w:rStyle w:val="Hyperlink"/>
            <w:rFonts w:cs="Calibri"/>
            <w:b w:val="0"/>
            <w:sz w:val="22"/>
            <w:szCs w:val="22"/>
          </w:rPr>
          <w:t>CA Civil Rights Department’s</w:t>
        </w:r>
      </w:hyperlink>
      <w:r w:rsidRPr="00DD7BD1">
        <w:rPr>
          <w:rFonts w:cs="Calibri"/>
          <w:b w:val="0"/>
          <w:color w:val="auto"/>
          <w:sz w:val="22"/>
          <w:szCs w:val="22"/>
        </w:rPr>
        <w:t xml:space="preserve"> webpage to learn more.</w:t>
      </w:r>
    </w:p>
    <w:p w14:paraId="792D0CE4" w14:textId="77777777" w:rsidR="00CD70B8" w:rsidRPr="00DD7BD1" w:rsidRDefault="00CD70B8" w:rsidP="00CD70B8">
      <w:pPr>
        <w:pStyle w:val="SubHeader"/>
        <w:rPr>
          <w:rFonts w:cs="Calibri"/>
          <w:b w:val="0"/>
          <w:bCs/>
          <w:color w:val="auto"/>
          <w:sz w:val="22"/>
          <w:szCs w:val="22"/>
        </w:rPr>
      </w:pPr>
    </w:p>
    <w:p w14:paraId="50548FA6" w14:textId="613285F6" w:rsidR="00CD70B8" w:rsidRPr="00DD7BD1" w:rsidRDefault="00CD70B8" w:rsidP="00CD70B8">
      <w:pPr>
        <w:pStyle w:val="SubHeader"/>
        <w:jc w:val="center"/>
        <w:rPr>
          <w:rFonts w:eastAsiaTheme="minorHAnsi" w:cs="Calibri"/>
          <w:bCs/>
          <w:color w:val="auto"/>
          <w:shd w:val="clear" w:color="auto" w:fill="FFFFFF"/>
        </w:rPr>
      </w:pPr>
      <w:r w:rsidRPr="00DD7BD1">
        <w:rPr>
          <w:rFonts w:eastAsiaTheme="minorHAnsi" w:cs="Calibri"/>
          <w:bCs/>
          <w:color w:val="auto"/>
          <w:shd w:val="clear" w:color="auto" w:fill="FFFFFF"/>
        </w:rPr>
        <w:t>CA PAGA FAQ Published</w:t>
      </w:r>
    </w:p>
    <w:p w14:paraId="5717A0DB"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 xml:space="preserve">The California Labor &amp; Workforce Development Agency (LWDA) recently </w:t>
      </w:r>
      <w:r w:rsidRPr="00DD7BD1">
        <w:rPr>
          <w:rFonts w:cs="Calibri"/>
          <w:b w:val="0"/>
          <w:bCs/>
          <w:sz w:val="22"/>
          <w:szCs w:val="22"/>
        </w:rPr>
        <w:t xml:space="preserve">published </w:t>
      </w:r>
      <w:hyperlink r:id="rId641" w:history="1">
        <w:r w:rsidRPr="00DD7BD1">
          <w:rPr>
            <w:rStyle w:val="Hyperlink"/>
            <w:rFonts w:cs="Calibri"/>
            <w:b w:val="0"/>
            <w:bCs/>
            <w:sz w:val="22"/>
            <w:szCs w:val="22"/>
          </w:rPr>
          <w:t>answers to frequently asked questions</w:t>
        </w:r>
      </w:hyperlink>
      <w:r w:rsidRPr="00DD7BD1">
        <w:rPr>
          <w:rFonts w:cs="Calibri"/>
          <w:b w:val="0"/>
          <w:bCs/>
          <w:sz w:val="22"/>
          <w:szCs w:val="22"/>
        </w:rPr>
        <w:t xml:space="preserve"> </w:t>
      </w:r>
      <w:r w:rsidRPr="00DD7BD1">
        <w:rPr>
          <w:rFonts w:cs="Calibri"/>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DD7BD1" w:rsidRDefault="00CD70B8" w:rsidP="00CD70B8">
      <w:pPr>
        <w:pStyle w:val="SubHeader"/>
        <w:rPr>
          <w:rFonts w:cs="Calibri"/>
          <w:b w:val="0"/>
          <w:bCs/>
          <w:sz w:val="16"/>
          <w:szCs w:val="16"/>
        </w:rPr>
      </w:pPr>
    </w:p>
    <w:p w14:paraId="74BEF9DA" w14:textId="77777777" w:rsidR="00CD70B8" w:rsidRPr="00DD7BD1" w:rsidRDefault="00CD70B8" w:rsidP="00CD70B8">
      <w:pPr>
        <w:pStyle w:val="SubHeader"/>
        <w:rPr>
          <w:rFonts w:cs="Calibri"/>
          <w:color w:val="auto"/>
          <w:sz w:val="22"/>
          <w:szCs w:val="22"/>
        </w:rPr>
      </w:pPr>
      <w:r w:rsidRPr="00DD7BD1">
        <w:rPr>
          <w:rFonts w:cs="Calibri"/>
          <w:color w:val="auto"/>
          <w:sz w:val="22"/>
          <w:szCs w:val="22"/>
        </w:rPr>
        <w:t>What is PAGA?</w:t>
      </w:r>
    </w:p>
    <w:p w14:paraId="5D842411"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DD7BD1" w:rsidRDefault="00CD70B8" w:rsidP="00CD70B8">
      <w:pPr>
        <w:pStyle w:val="SubHeader"/>
        <w:rPr>
          <w:rFonts w:cs="Calibri"/>
          <w:b w:val="0"/>
          <w:bCs/>
          <w:color w:val="auto"/>
          <w:sz w:val="16"/>
          <w:szCs w:val="16"/>
        </w:rPr>
      </w:pPr>
    </w:p>
    <w:p w14:paraId="00BEE788"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Additional information can be found at:</w:t>
      </w:r>
    </w:p>
    <w:p w14:paraId="36C5050E" w14:textId="77777777" w:rsidR="00CD70B8" w:rsidRPr="00DD7BD1" w:rsidRDefault="00CD70B8" w:rsidP="00CD70B8">
      <w:pPr>
        <w:pStyle w:val="SubHeader"/>
        <w:rPr>
          <w:rFonts w:cs="Calibri"/>
          <w:b w:val="0"/>
          <w:bCs/>
          <w:sz w:val="22"/>
          <w:szCs w:val="22"/>
        </w:rPr>
      </w:pPr>
      <w:hyperlink r:id="rId642" w:history="1">
        <w:r w:rsidRPr="00DD7BD1">
          <w:rPr>
            <w:rStyle w:val="Hyperlink"/>
            <w:rFonts w:cs="Calibri"/>
            <w:b w:val="0"/>
            <w:bCs/>
            <w:sz w:val="22"/>
            <w:szCs w:val="22"/>
          </w:rPr>
          <w:t>Cal/OSHA</w:t>
        </w:r>
      </w:hyperlink>
      <w:r w:rsidRPr="00DD7BD1">
        <w:rPr>
          <w:rFonts w:cs="Calibri"/>
          <w:b w:val="0"/>
          <w:bCs/>
          <w:sz w:val="22"/>
          <w:szCs w:val="22"/>
        </w:rPr>
        <w:t xml:space="preserve"> </w:t>
      </w:r>
      <w:r w:rsidRPr="00DD7BD1">
        <w:rPr>
          <w:rFonts w:cs="Calibri"/>
          <w:b w:val="0"/>
          <w:bCs/>
          <w:color w:val="auto"/>
          <w:sz w:val="22"/>
          <w:szCs w:val="22"/>
        </w:rPr>
        <w:t>for health and safety violations</w:t>
      </w:r>
    </w:p>
    <w:p w14:paraId="3F5FA9DA" w14:textId="77777777" w:rsidR="00CD70B8" w:rsidRPr="00DD7BD1" w:rsidRDefault="00CD70B8" w:rsidP="00CD70B8">
      <w:pPr>
        <w:pStyle w:val="SubHeader"/>
        <w:rPr>
          <w:rFonts w:cs="Calibri"/>
          <w:b w:val="0"/>
          <w:bCs/>
          <w:sz w:val="22"/>
          <w:szCs w:val="22"/>
        </w:rPr>
      </w:pPr>
      <w:hyperlink r:id="rId643" w:history="1">
        <w:r w:rsidRPr="00DD7BD1">
          <w:rPr>
            <w:rStyle w:val="Hyperlink"/>
            <w:rFonts w:cs="Calibri"/>
            <w:b w:val="0"/>
            <w:bCs/>
            <w:sz w:val="22"/>
            <w:szCs w:val="22"/>
          </w:rPr>
          <w:t>Labor Commissioner’s Office</w:t>
        </w:r>
      </w:hyperlink>
      <w:r w:rsidRPr="00DD7BD1">
        <w:rPr>
          <w:rFonts w:cs="Calibri"/>
          <w:b w:val="0"/>
          <w:bCs/>
          <w:sz w:val="22"/>
          <w:szCs w:val="22"/>
        </w:rPr>
        <w:t xml:space="preserve"> </w:t>
      </w:r>
      <w:r w:rsidRPr="00DD7BD1">
        <w:rPr>
          <w:rFonts w:cs="Calibri"/>
          <w:b w:val="0"/>
          <w:bCs/>
          <w:color w:val="auto"/>
          <w:sz w:val="22"/>
          <w:szCs w:val="22"/>
        </w:rPr>
        <w:t>(LCO) for wage theft and retaliation claims</w:t>
      </w:r>
    </w:p>
    <w:p w14:paraId="5403E53D" w14:textId="77777777" w:rsidR="00CD70B8" w:rsidRPr="00DD7BD1" w:rsidRDefault="00CD70B8" w:rsidP="00CD70B8">
      <w:pPr>
        <w:pStyle w:val="SubHeader"/>
        <w:rPr>
          <w:rFonts w:cs="Calibri"/>
          <w:color w:val="auto"/>
          <w:sz w:val="16"/>
          <w:szCs w:val="16"/>
        </w:rPr>
      </w:pPr>
    </w:p>
    <w:p w14:paraId="347E3538"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b/>
          <w:bCs/>
          <w:shd w:val="clear" w:color="auto" w:fill="FFFFFF"/>
        </w:rPr>
        <w:t>AB 1034</w:t>
      </w:r>
      <w:r w:rsidRPr="00DD7BD1">
        <w:rPr>
          <w:rFonts w:ascii="Calibri" w:hAnsi="Calibri" w:cs="Calibri"/>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DD7BD1" w:rsidRDefault="00CD70B8" w:rsidP="00CD70B8">
      <w:pPr>
        <w:spacing w:after="0" w:line="240" w:lineRule="auto"/>
        <w:rPr>
          <w:rFonts w:ascii="Calibri" w:hAnsi="Calibri" w:cs="Calibri"/>
          <w:sz w:val="16"/>
          <w:szCs w:val="16"/>
          <w:shd w:val="clear" w:color="auto" w:fill="FFFFFF"/>
        </w:rPr>
      </w:pPr>
    </w:p>
    <w:p w14:paraId="076EC8CD" w14:textId="77777777" w:rsidR="00CD70B8" w:rsidRPr="00DD7BD1" w:rsidRDefault="00CD70B8" w:rsidP="00CD70B8">
      <w:pPr>
        <w:spacing w:after="0" w:line="240" w:lineRule="auto"/>
        <w:rPr>
          <w:rFonts w:ascii="Calibri" w:hAnsi="Calibri" w:cs="Calibri"/>
          <w:shd w:val="clear" w:color="auto" w:fill="FFFFFF"/>
        </w:rPr>
      </w:pPr>
      <w:proofErr w:type="gramStart"/>
      <w:r w:rsidRPr="00DD7BD1">
        <w:rPr>
          <w:rFonts w:ascii="Calibri" w:hAnsi="Calibri" w:cs="Calibri"/>
          <w:shd w:val="clear" w:color="auto" w:fill="FFFFFF"/>
        </w:rPr>
        <w:t>In order to</w:t>
      </w:r>
      <w:proofErr w:type="gramEnd"/>
      <w:r w:rsidRPr="00DD7BD1">
        <w:rPr>
          <w:rFonts w:ascii="Calibri" w:hAnsi="Calibri" w:cs="Calibri"/>
          <w:shd w:val="clear" w:color="auto" w:fill="FFFFFF"/>
        </w:rPr>
        <w:t xml:space="preserve"> qualify for the exemption, the CBA must:</w:t>
      </w:r>
    </w:p>
    <w:p w14:paraId="401A276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Explicitly cover wages, hours of work, and working conditions.</w:t>
      </w:r>
    </w:p>
    <w:p w14:paraId="46678153"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Provide premium wage rates for all overtime hours worked.</w:t>
      </w:r>
    </w:p>
    <w:p w14:paraId="0BD9293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Ensure employees receive a regular hourly pay rate of at least 30% more than the state minimum wage.</w:t>
      </w:r>
    </w:p>
    <w:p w14:paraId="250FEC11"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Contain a grievance and binding arbitration procedure to address labor code violations.</w:t>
      </w:r>
    </w:p>
    <w:p w14:paraId="6EE01905" w14:textId="77777777" w:rsidR="00CD70B8" w:rsidRPr="00DD7BD1" w:rsidRDefault="00CD70B8" w:rsidP="00CD70B8">
      <w:pPr>
        <w:spacing w:after="0" w:line="240" w:lineRule="auto"/>
        <w:rPr>
          <w:rFonts w:ascii="Calibri" w:hAnsi="Calibri" w:cs="Calibri"/>
          <w:sz w:val="16"/>
          <w:szCs w:val="16"/>
          <w:shd w:val="clear" w:color="auto" w:fill="FFFFFF"/>
        </w:rPr>
      </w:pPr>
    </w:p>
    <w:p w14:paraId="262CD4A5"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DD7BD1" w:rsidRDefault="00CD70B8" w:rsidP="00CD70B8">
      <w:pPr>
        <w:spacing w:after="0" w:line="240" w:lineRule="auto"/>
        <w:rPr>
          <w:rFonts w:ascii="Calibri" w:hAnsi="Calibri" w:cs="Calibri"/>
          <w:b/>
          <w:bCs/>
          <w:color w:val="C00000"/>
          <w:shd w:val="clear" w:color="auto" w:fill="FFFFFF"/>
        </w:rPr>
      </w:pPr>
    </w:p>
    <w:p w14:paraId="48AD2D16" w14:textId="5DC81DF7" w:rsidR="00CD70B8" w:rsidRPr="00DD7BD1" w:rsidRDefault="00CD70B8" w:rsidP="00CD70B8">
      <w:pPr>
        <w:spacing w:after="0" w:line="240" w:lineRule="auto"/>
        <w:jc w:val="center"/>
        <w:rPr>
          <w:rFonts w:ascii="Calibri" w:hAnsi="Calibri" w:cs="Calibri"/>
          <w:b/>
          <w:bCs/>
          <w:sz w:val="28"/>
          <w:szCs w:val="28"/>
          <w:shd w:val="clear" w:color="auto" w:fill="FFFFFF"/>
        </w:rPr>
      </w:pPr>
      <w:bookmarkStart w:id="73" w:name="_Hlk181118806"/>
      <w:r w:rsidRPr="00DD7BD1">
        <w:rPr>
          <w:rFonts w:ascii="Calibri" w:hAnsi="Calibri" w:cs="Calibri"/>
          <w:b/>
          <w:bCs/>
          <w:sz w:val="28"/>
          <w:szCs w:val="28"/>
          <w:shd w:val="clear" w:color="auto" w:fill="FFFFFF"/>
        </w:rPr>
        <w:t>State Transparency Requirements-Child Labor Practices–</w:t>
      </w:r>
      <w:r w:rsidRPr="00DD7BD1">
        <w:rPr>
          <w:rFonts w:ascii="Calibri" w:hAnsi="Calibri" w:cs="Calibri"/>
          <w:b/>
          <w:bCs/>
          <w:color w:val="C00000"/>
          <w:sz w:val="28"/>
          <w:szCs w:val="28"/>
          <w:shd w:val="clear" w:color="auto" w:fill="FFFFFF"/>
        </w:rPr>
        <w:t>Jan 1, 2025</w:t>
      </w:r>
    </w:p>
    <w:p w14:paraId="36A78F77"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644"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into law, which imposes transparency requirements for employers who audit their child labor practices. The bill will take effect on January 1, 2025. To learn more, access the September HR WIRE</w:t>
      </w:r>
    </w:p>
    <w:bookmarkEnd w:id="73"/>
    <w:p w14:paraId="6494E072" w14:textId="77777777" w:rsidR="00CD70B8" w:rsidRPr="00DD7BD1" w:rsidRDefault="00CD70B8" w:rsidP="008561D0">
      <w:pPr>
        <w:spacing w:after="0" w:line="240" w:lineRule="auto"/>
        <w:rPr>
          <w:rFonts w:ascii="Calibri" w:hAnsi="Calibri" w:cs="Calibri"/>
          <w:b/>
          <w:bCs/>
          <w:color w:val="2E74B5" w:themeColor="accent5" w:themeShade="BF"/>
          <w:shd w:val="clear" w:color="auto" w:fill="FFFFFF"/>
          <w:lang w:val="en"/>
        </w:rPr>
      </w:pPr>
    </w:p>
    <w:p w14:paraId="6E4F8F19" w14:textId="77777777" w:rsidR="008273A7" w:rsidRPr="00DD7BD1" w:rsidRDefault="008273A7" w:rsidP="008273A7">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Law Imposes Transparency Requirements -  Child Labor Practices – </w:t>
      </w:r>
      <w:r w:rsidRPr="00DD7BD1">
        <w:rPr>
          <w:rFonts w:ascii="Calibri" w:hAnsi="Calibri" w:cs="Calibri"/>
          <w:b/>
          <w:bCs/>
          <w:color w:val="C00000"/>
          <w:sz w:val="28"/>
          <w:szCs w:val="28"/>
          <w:shd w:val="clear" w:color="auto" w:fill="FFFFFF"/>
        </w:rPr>
        <w:t>Jan 1</w:t>
      </w:r>
      <w:proofErr w:type="gramStart"/>
      <w:r w:rsidRPr="00DD7BD1">
        <w:rPr>
          <w:rFonts w:ascii="Calibri" w:hAnsi="Calibri" w:cs="Calibri"/>
          <w:b/>
          <w:bCs/>
          <w:color w:val="C00000"/>
          <w:sz w:val="28"/>
          <w:szCs w:val="28"/>
          <w:shd w:val="clear" w:color="auto" w:fill="FFFFFF"/>
        </w:rPr>
        <w:t xml:space="preserve"> 2025</w:t>
      </w:r>
      <w:proofErr w:type="gramEnd"/>
    </w:p>
    <w:p w14:paraId="7D31B12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645"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into law, which imposes transparency requirements for employers who audit their child labor practices. The bill will take effect on January 1, 2025. </w:t>
      </w:r>
    </w:p>
    <w:p w14:paraId="76664E21" w14:textId="77777777" w:rsidR="008273A7" w:rsidRPr="00DD7BD1" w:rsidRDefault="008273A7" w:rsidP="008273A7">
      <w:pPr>
        <w:spacing w:after="0" w:line="240" w:lineRule="auto"/>
        <w:rPr>
          <w:rFonts w:ascii="Calibri" w:hAnsi="Calibri" w:cs="Calibri"/>
          <w:sz w:val="16"/>
          <w:szCs w:val="16"/>
          <w:shd w:val="clear" w:color="auto" w:fill="FFFFFF"/>
        </w:rPr>
      </w:pPr>
    </w:p>
    <w:p w14:paraId="4DD038E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DD7BD1">
        <w:rPr>
          <w:rFonts w:ascii="Calibri" w:hAnsi="Calibri" w:cs="Calibri"/>
          <w:shd w:val="clear" w:color="auto" w:fill="FFFFFF"/>
        </w:rPr>
        <w:t>are in compliance with</w:t>
      </w:r>
      <w:proofErr w:type="gramEnd"/>
      <w:r w:rsidRPr="00DD7BD1">
        <w:rPr>
          <w:rFonts w:ascii="Calibri" w:hAnsi="Calibri" w:cs="Calibri"/>
          <w:shd w:val="clear" w:color="auto" w:fill="FFFFFF"/>
        </w:rPr>
        <w:t xml:space="preserve"> state or federal labor laws, including wage-and-hour and health and safety regulations, including those regarding child labor.</w:t>
      </w:r>
    </w:p>
    <w:p w14:paraId="4823EBEE" w14:textId="77777777" w:rsidR="008273A7" w:rsidRPr="00DD7BD1" w:rsidRDefault="008273A7" w:rsidP="008273A7">
      <w:pPr>
        <w:spacing w:after="0" w:line="240" w:lineRule="auto"/>
        <w:rPr>
          <w:rFonts w:ascii="Calibri" w:hAnsi="Calibri" w:cs="Calibri"/>
          <w:b/>
          <w:bCs/>
          <w:sz w:val="16"/>
          <w:szCs w:val="16"/>
          <w:highlight w:val="lightGray"/>
          <w:shd w:val="clear" w:color="auto" w:fill="FFFFFF"/>
        </w:rPr>
      </w:pPr>
    </w:p>
    <w:p w14:paraId="251EE686" w14:textId="77777777" w:rsidR="008273A7" w:rsidRPr="00DD7BD1" w:rsidRDefault="008273A7" w:rsidP="008273A7">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2D7E6D16"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w:t>
      </w:r>
      <w:proofErr w:type="gramStart"/>
      <w:r w:rsidRPr="00DD7BD1">
        <w:rPr>
          <w:rFonts w:ascii="Calibri" w:hAnsi="Calibri" w:cs="Calibri"/>
          <w:shd w:val="clear" w:color="auto" w:fill="FFFFFF"/>
        </w:rPr>
        <w:t>ensue</w:t>
      </w:r>
      <w:proofErr w:type="gramEnd"/>
      <w:r w:rsidRPr="00DD7BD1">
        <w:rPr>
          <w:rFonts w:ascii="Calibri" w:hAnsi="Calibri" w:cs="Calibri"/>
          <w:shd w:val="clear" w:color="auto" w:fill="FFFFFF"/>
        </w:rPr>
        <w:t>.</w:t>
      </w:r>
    </w:p>
    <w:p w14:paraId="4124086E"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Pr="00DD7BD1" w:rsidRDefault="001A2C87" w:rsidP="001A2C87">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LA County – Fair Chance Ordinance – </w:t>
      </w:r>
      <w:r w:rsidRPr="00DD7BD1">
        <w:rPr>
          <w:rFonts w:ascii="Calibri" w:hAnsi="Calibri" w:cs="Calibri"/>
          <w:b/>
          <w:bCs/>
          <w:color w:val="C00000"/>
          <w:sz w:val="28"/>
          <w:szCs w:val="28"/>
          <w:shd w:val="clear" w:color="auto" w:fill="FFFFFF"/>
          <w:lang w:val="en"/>
        </w:rPr>
        <w:t>Eff Sept 3, 2024</w:t>
      </w:r>
    </w:p>
    <w:p w14:paraId="770B8E2C"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As previously reported in the HR WIRE, employers in the unincorporated areas of Los Angeles County must comply with the Los Angeles County Fair Chance Ordinance (FCO), which places restrictions on criminal background screening beyond those required by California’s Fair Chance Act (Fair Chance Act) as of September 3, 2024</w:t>
      </w:r>
    </w:p>
    <w:p w14:paraId="115A1B3C" w14:textId="77777777" w:rsidR="001A2C87" w:rsidRPr="00DD7BD1" w:rsidRDefault="001A2C87" w:rsidP="001A2C87">
      <w:pPr>
        <w:spacing w:after="0" w:line="240" w:lineRule="auto"/>
        <w:rPr>
          <w:rFonts w:ascii="Calibri" w:hAnsi="Calibri" w:cs="Calibri"/>
          <w:shd w:val="clear" w:color="auto" w:fill="FFFFFF"/>
        </w:rPr>
      </w:pPr>
    </w:p>
    <w:p w14:paraId="48D379FA"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DD7BD1" w:rsidRDefault="001A2C87" w:rsidP="001A2C87">
      <w:pPr>
        <w:spacing w:after="0" w:line="240" w:lineRule="auto"/>
        <w:rPr>
          <w:rFonts w:ascii="Calibri" w:hAnsi="Calibri" w:cs="Calibri"/>
          <w:sz w:val="16"/>
          <w:szCs w:val="16"/>
          <w:shd w:val="clear" w:color="auto" w:fill="FFFFFF"/>
        </w:rPr>
      </w:pPr>
    </w:p>
    <w:p w14:paraId="0CB73306" w14:textId="77777777" w:rsidR="001A2C87" w:rsidRPr="00DD7BD1" w:rsidRDefault="001A2C87" w:rsidP="001A2C87">
      <w:pPr>
        <w:spacing w:after="0" w:line="240" w:lineRule="auto"/>
        <w:rPr>
          <w:rFonts w:ascii="Calibri" w:hAnsi="Calibri" w:cs="Calibri"/>
          <w:shd w:val="clear" w:color="auto" w:fill="FFFFFF"/>
          <w:lang w:val="en"/>
        </w:rPr>
      </w:pPr>
      <w:r w:rsidRPr="00DD7BD1">
        <w:rPr>
          <w:rFonts w:ascii="Calibri" w:hAnsi="Calibri" w:cs="Calibri"/>
          <w:shd w:val="clear" w:color="auto" w:fill="FFFFFF"/>
        </w:rPr>
        <w:t>Additional information published by the California Civil Rights Department regarding the </w:t>
      </w:r>
      <w:hyperlink r:id="rId646" w:history="1">
        <w:r w:rsidRPr="00DD7BD1">
          <w:rPr>
            <w:rStyle w:val="Hyperlink"/>
            <w:rFonts w:ascii="Calibri" w:hAnsi="Calibri" w:cs="Calibri"/>
            <w:shd w:val="clear" w:color="auto" w:fill="FFFFFF"/>
          </w:rPr>
          <w:t>Fair Chance Act can be found online</w:t>
        </w:r>
      </w:hyperlink>
      <w:r w:rsidRPr="00DD7BD1">
        <w:rPr>
          <w:rFonts w:ascii="Calibri" w:hAnsi="Calibri" w:cs="Calibri"/>
          <w:shd w:val="clear" w:color="auto" w:fill="FFFFFF"/>
        </w:rPr>
        <w:t xml:space="preserve"> and Los Angeles County has </w:t>
      </w:r>
      <w:hyperlink r:id="rId647" w:history="1">
        <w:r w:rsidRPr="00DD7BD1">
          <w:rPr>
            <w:rStyle w:val="Hyperlink"/>
            <w:rFonts w:ascii="Calibri" w:hAnsi="Calibri" w:cs="Calibri"/>
            <w:shd w:val="clear" w:color="auto" w:fill="FFFFFF"/>
          </w:rPr>
          <w:t>published some useful FAQs online</w:t>
        </w:r>
      </w:hyperlink>
      <w:r w:rsidRPr="00DD7BD1">
        <w:rPr>
          <w:rFonts w:ascii="Calibri" w:hAnsi="Calibri" w:cs="Calibri"/>
          <w:shd w:val="clear" w:color="auto" w:fill="FFFFFF"/>
        </w:rPr>
        <w:t>.</w:t>
      </w:r>
    </w:p>
    <w:p w14:paraId="6BBE8132" w14:textId="77777777" w:rsidR="001A2C87" w:rsidRPr="00DD7BD1" w:rsidRDefault="001A2C87" w:rsidP="008561D0">
      <w:pPr>
        <w:spacing w:after="0" w:line="240" w:lineRule="auto"/>
        <w:rPr>
          <w:rFonts w:ascii="Calibri" w:hAnsi="Calibri" w:cs="Calibri"/>
          <w:b/>
          <w:bCs/>
          <w:color w:val="2E74B5" w:themeColor="accent5" w:themeShade="BF"/>
          <w:shd w:val="clear" w:color="auto" w:fill="FFFFFF"/>
          <w:lang w:val="en"/>
        </w:rPr>
      </w:pPr>
    </w:p>
    <w:p w14:paraId="2A996C19" w14:textId="77777777" w:rsidR="00ED58D7" w:rsidRPr="00DD7BD1" w:rsidRDefault="00ED58D7" w:rsidP="00ED58D7">
      <w:pPr>
        <w:spacing w:after="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San Francisco-Based Employees &amp; Health Care Expenditures May Be Required</w:t>
      </w:r>
    </w:p>
    <w:p w14:paraId="5AD4C3B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DD7BD1" w:rsidRDefault="00ED58D7" w:rsidP="00ED58D7">
      <w:pPr>
        <w:spacing w:after="0" w:line="240" w:lineRule="auto"/>
        <w:jc w:val="both"/>
        <w:rPr>
          <w:rFonts w:ascii="Calibri" w:eastAsia="Times New Roman" w:hAnsi="Calibri" w:cs="Calibri"/>
          <w:sz w:val="16"/>
          <w:szCs w:val="16"/>
        </w:rPr>
      </w:pPr>
    </w:p>
    <w:p w14:paraId="2CF2D352" w14:textId="77777777" w:rsidR="00ED58D7" w:rsidRPr="00DD7BD1" w:rsidRDefault="00ED58D7" w:rsidP="00ED58D7">
      <w:pPr>
        <w:spacing w:after="0" w:line="240" w:lineRule="auto"/>
        <w:jc w:val="both"/>
        <w:rPr>
          <w:rFonts w:ascii="Calibri" w:eastAsia="Times New Roman" w:hAnsi="Calibri" w:cs="Calibri"/>
          <w:b/>
          <w:bCs/>
        </w:rPr>
      </w:pPr>
      <w:r w:rsidRPr="00DD7BD1">
        <w:rPr>
          <w:rFonts w:ascii="Calibri" w:eastAsia="Times New Roman" w:hAnsi="Calibri" w:cs="Calibri"/>
          <w:b/>
          <w:bCs/>
          <w:highlight w:val="lightGray"/>
        </w:rPr>
        <w:t>Employer Take-aways:</w:t>
      </w:r>
      <w:r w:rsidRPr="00DD7BD1">
        <w:rPr>
          <w:rFonts w:ascii="Calibri" w:eastAsia="Times New Roman" w:hAnsi="Calibri" w:cs="Calibri"/>
          <w:b/>
          <w:bCs/>
        </w:rPr>
        <w:t xml:space="preserve"> </w:t>
      </w:r>
    </w:p>
    <w:p w14:paraId="7AA1B592"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Determine if organization is a Covered Employer</w:t>
      </w:r>
    </w:p>
    <w:p w14:paraId="28BF9881"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 xml:space="preserve">Determine Employer Spending Requirements </w:t>
      </w:r>
    </w:p>
    <w:p w14:paraId="594A4715"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Maintain Records</w:t>
      </w:r>
    </w:p>
    <w:p w14:paraId="1195CFA4"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Post the </w:t>
      </w:r>
      <w:hyperlink r:id="rId648" w:history="1">
        <w:r w:rsidRPr="00DD7BD1">
          <w:rPr>
            <w:rStyle w:val="Hyperlink"/>
            <w:rFonts w:ascii="Calibri" w:eastAsia="Times New Roman" w:hAnsi="Calibri" w:cs="Calibri"/>
          </w:rPr>
          <w:t>2024 HCSO Poster</w:t>
        </w:r>
      </w:hyperlink>
      <w:r w:rsidRPr="00DD7BD1">
        <w:rPr>
          <w:rFonts w:ascii="Calibri" w:eastAsia="Times New Roman" w:hAnsi="Calibri" w:cs="Calibri"/>
          <w:color w:val="222222"/>
        </w:rPr>
        <w:t> </w:t>
      </w:r>
      <w:r w:rsidRPr="00DD7BD1">
        <w:rPr>
          <w:rFonts w:ascii="Calibri" w:eastAsia="Times New Roman" w:hAnsi="Calibri" w:cs="Calibri"/>
        </w:rPr>
        <w:t>(effective January 1, 2024) in all workplaces with covered employees.</w:t>
      </w:r>
    </w:p>
    <w:p w14:paraId="3B4B8658"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Submit an HCSO Annual Reporting Form to the OLSE by April 30th of each year. </w:t>
      </w:r>
    </w:p>
    <w:p w14:paraId="5B6DA78C" w14:textId="77777777" w:rsidR="00ED58D7" w:rsidRPr="00DD7BD1" w:rsidRDefault="00ED58D7" w:rsidP="00ED58D7">
      <w:pPr>
        <w:spacing w:after="0" w:line="240" w:lineRule="auto"/>
        <w:jc w:val="both"/>
        <w:rPr>
          <w:rFonts w:ascii="Calibri" w:eastAsia="Times New Roman" w:hAnsi="Calibri" w:cs="Calibri"/>
          <w:sz w:val="16"/>
          <w:szCs w:val="16"/>
        </w:rPr>
      </w:pPr>
    </w:p>
    <w:p w14:paraId="18C18DF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 xml:space="preserve">Access the </w:t>
      </w:r>
      <w:hyperlink r:id="rId649" w:history="1">
        <w:r w:rsidRPr="00DD7BD1">
          <w:rPr>
            <w:rStyle w:val="Hyperlink"/>
            <w:rFonts w:ascii="Calibri" w:eastAsia="Times New Roman" w:hAnsi="Calibri" w:cs="Calibri"/>
          </w:rPr>
          <w:t>San Franscico. Gov Health care Security Ordinance website</w:t>
        </w:r>
      </w:hyperlink>
      <w:r w:rsidRPr="00DD7BD1">
        <w:rPr>
          <w:rFonts w:ascii="Calibri" w:eastAsia="Times New Roman" w:hAnsi="Calibri" w:cs="Calibri"/>
          <w:color w:val="222222"/>
        </w:rPr>
        <w:t xml:space="preserve"> </w:t>
      </w:r>
      <w:r w:rsidRPr="00DD7BD1">
        <w:rPr>
          <w:rFonts w:ascii="Calibri" w:eastAsia="Times New Roman" w:hAnsi="Calibri" w:cs="Calibri"/>
        </w:rPr>
        <w:t xml:space="preserve">to learn more, access training, administrative Code &amp; FAQs </w:t>
      </w:r>
    </w:p>
    <w:p w14:paraId="6BD02146" w14:textId="77777777" w:rsidR="00ED58D7" w:rsidRPr="00DD7BD1" w:rsidRDefault="00ED58D7" w:rsidP="008561D0">
      <w:pPr>
        <w:spacing w:after="0" w:line="240" w:lineRule="auto"/>
        <w:rPr>
          <w:rFonts w:ascii="Calibri" w:hAnsi="Calibri" w:cs="Calibri"/>
          <w:b/>
          <w:bCs/>
          <w:color w:val="2E74B5" w:themeColor="accent5" w:themeShade="BF"/>
          <w:sz w:val="16"/>
          <w:szCs w:val="16"/>
          <w:shd w:val="clear" w:color="auto" w:fill="FFFFFF"/>
          <w:lang w:val="en"/>
        </w:rPr>
      </w:pPr>
    </w:p>
    <w:p w14:paraId="3E0C6C68" w14:textId="16B7080E"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7DA7AF97" w14:textId="77777777" w:rsidR="008C6649" w:rsidRPr="00DD7BD1" w:rsidRDefault="008C6649" w:rsidP="008C6649">
      <w:pPr>
        <w:spacing w:after="0" w:line="240" w:lineRule="auto"/>
        <w:jc w:val="both"/>
        <w:rPr>
          <w:rFonts w:ascii="Calibri" w:hAnsi="Calibri" w:cs="Calibri"/>
          <w:color w:val="282828"/>
          <w:shd w:val="clear" w:color="auto" w:fill="FFFFFF"/>
        </w:rPr>
      </w:pPr>
      <w:r w:rsidRPr="00DD7BD1">
        <w:rPr>
          <w:rStyle w:val="Strong"/>
          <w:rFonts w:ascii="Calibri" w:hAnsi="Calibri" w:cs="Calibri"/>
          <w:shd w:val="clear" w:color="auto" w:fill="FFFFFF"/>
        </w:rPr>
        <w:t xml:space="preserve">MINIMUM WAGE FOR HEALTHCARE WORKERS DELAYED - </w:t>
      </w:r>
      <w:r w:rsidRPr="00DD7BD1">
        <w:rPr>
          <w:rFonts w:ascii="Calibri" w:hAnsi="Calibri" w:cs="Calibri"/>
          <w:shd w:val="clear" w:color="auto" w:fill="FFFFFF"/>
        </w:rPr>
        <w:t xml:space="preserve">The new minimum wage rates and salary threshold will now take effect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(instead of June 1)</w:t>
      </w:r>
    </w:p>
    <w:p w14:paraId="25081D9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43639BF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r w:rsidRPr="00DD7BD1">
        <w:rPr>
          <w:rFonts w:ascii="Calibri" w:hAnsi="Calibri" w:cs="Calibri"/>
          <w:sz w:val="22"/>
          <w:szCs w:val="22"/>
        </w:rPr>
        <w:br/>
        <w:t>On July 1, 2024, numerous cities and counties across California will increase their hourly minimum wage. The new rates are as follows:</w:t>
      </w:r>
    </w:p>
    <w:p w14:paraId="5F64485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Alameda: $17</w:t>
      </w:r>
    </w:p>
    <w:p w14:paraId="253764F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Berkeley: $18.67</w:t>
      </w:r>
    </w:p>
    <w:p w14:paraId="5928C57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Emeryville: $19.36</w:t>
      </w:r>
    </w:p>
    <w:p w14:paraId="0C2B9A5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Fremont: $17.30</w:t>
      </w:r>
    </w:p>
    <w:p w14:paraId="7FCC6247"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Long Beach hotels with 100+ guest rooms: $18.16</w:t>
      </w:r>
    </w:p>
    <w:p w14:paraId="5EE32EDC"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Los Angeles City: $17.28</w:t>
      </w:r>
      <w:r w:rsidRPr="00DD7BD1">
        <w:rPr>
          <w:rFonts w:ascii="Calibri" w:hAnsi="Calibri" w:cs="Calibri"/>
          <w:sz w:val="22"/>
          <w:szCs w:val="22"/>
        </w:rPr>
        <w:br/>
        <w:t>Los Angeles City hotels with 60+ guest rooms: $20.32</w:t>
      </w:r>
    </w:p>
    <w:p w14:paraId="4C898B8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Unincorporated Los Angeles County: $17.27</w:t>
      </w:r>
    </w:p>
    <w:p w14:paraId="53B9CF0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Malibu: $17.27</w:t>
      </w:r>
    </w:p>
    <w:p w14:paraId="1A48CA8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Milpitas: $17.70</w:t>
      </w:r>
    </w:p>
    <w:p w14:paraId="758DE48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Pasadena: $17.50</w:t>
      </w:r>
    </w:p>
    <w:p w14:paraId="3519E900" w14:textId="5F85AA58" w:rsidR="008C6649" w:rsidRPr="00DD7BD1" w:rsidRDefault="008C6649" w:rsidP="008C6649">
      <w:pPr>
        <w:spacing w:after="0" w:line="240" w:lineRule="auto"/>
        <w:rPr>
          <w:rFonts w:ascii="Calibri" w:hAnsi="Calibri" w:cs="Calibri"/>
        </w:rPr>
      </w:pPr>
      <w:r w:rsidRPr="00DD7BD1">
        <w:rPr>
          <w:rFonts w:ascii="Calibri" w:hAnsi="Calibri" w:cs="Calibri"/>
        </w:rPr>
        <w:t>San Francisco: $18.67</w:t>
      </w:r>
    </w:p>
    <w:p w14:paraId="272D238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Santa Monica: $17.27</w:t>
      </w:r>
      <w:r w:rsidRPr="00DD7BD1">
        <w:rPr>
          <w:rFonts w:ascii="Calibri" w:hAnsi="Calibri" w:cs="Calibri"/>
          <w:sz w:val="22"/>
          <w:szCs w:val="22"/>
        </w:rPr>
        <w:br/>
        <w:t>Santa Monica hotels: $20.32</w:t>
      </w:r>
    </w:p>
    <w:p w14:paraId="0DD45E2A" w14:textId="6EE75DA5"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West Hollywood hotels: $19.61</w:t>
      </w:r>
    </w:p>
    <w:p w14:paraId="5395039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4685F653" w14:textId="33D12706" w:rsidR="008C6649" w:rsidRPr="00DD7BD1" w:rsidRDefault="008C6649" w:rsidP="008C664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Cal/OSHA Passes Indoor Heat Regulation</w:t>
      </w:r>
    </w:p>
    <w:p w14:paraId="1C479902" w14:textId="77777777" w:rsidR="008C6649" w:rsidRPr="00DD7BD1" w:rsidRDefault="008C6649" w:rsidP="008C6649">
      <w:pPr>
        <w:pStyle w:val="NormalWeb"/>
        <w:shd w:val="clear" w:color="auto" w:fill="FFFFFF"/>
        <w:spacing w:before="0" w:beforeAutospacing="0" w:after="0" w:afterAutospacing="0"/>
        <w:jc w:val="both"/>
        <w:rPr>
          <w:rFonts w:ascii="Calibri" w:hAnsi="Calibri" w:cs="Calibri"/>
          <w:color w:val="333333"/>
          <w:sz w:val="22"/>
          <w:szCs w:val="22"/>
          <w:shd w:val="clear" w:color="auto" w:fill="FFFFFF"/>
        </w:rPr>
      </w:pPr>
      <w:r w:rsidRPr="00DD7BD1">
        <w:rPr>
          <w:rFonts w:ascii="Calibri" w:hAnsi="Calibri" w:cs="Calibri"/>
          <w:sz w:val="22"/>
          <w:szCs w:val="22"/>
        </w:rPr>
        <w:t>On June 20, 2024, the California Occupational Safety and Health Standards Board (Cal/OSHA) unanimously</w:t>
      </w:r>
      <w:r w:rsidRPr="00DD7BD1">
        <w:rPr>
          <w:rFonts w:ascii="Calibri" w:hAnsi="Calibri" w:cs="Calibri"/>
          <w:color w:val="333333"/>
          <w:sz w:val="22"/>
          <w:szCs w:val="22"/>
          <w:shd w:val="clear" w:color="auto" w:fill="FFFFFF"/>
        </w:rPr>
        <w:t> </w:t>
      </w:r>
      <w:hyperlink r:id="rId650" w:tgtFrame="_blank" w:history="1">
        <w:r w:rsidRPr="00DD7BD1">
          <w:rPr>
            <w:rStyle w:val="Hyperlink"/>
            <w:rFonts w:ascii="Calibri" w:hAnsi="Calibri" w:cs="Calibri"/>
            <w:sz w:val="22"/>
            <w:szCs w:val="22"/>
          </w:rPr>
          <w:t>adopted a new standard for Heat Illness Prevention in Indoor Places of Employment</w:t>
        </w:r>
      </w:hyperlink>
      <w:r w:rsidRPr="00DD7BD1">
        <w:rPr>
          <w:rStyle w:val="Hyperlink"/>
          <w:rFonts w:ascii="Calibri" w:hAnsi="Calibri" w:cs="Calibri"/>
          <w:sz w:val="22"/>
          <w:szCs w:val="22"/>
        </w:rPr>
        <w:t>.</w:t>
      </w:r>
      <w:r w:rsidRPr="00DD7BD1">
        <w:rPr>
          <w:rFonts w:ascii="Calibri" w:hAnsi="Calibri" w:cs="Calibri"/>
          <w:color w:val="333333"/>
          <w:sz w:val="22"/>
          <w:szCs w:val="22"/>
          <w:shd w:val="clear" w:color="auto" w:fill="FFFFFF"/>
        </w:rPr>
        <w:t> </w:t>
      </w:r>
    </w:p>
    <w:p w14:paraId="01C5A6D1"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 Obligations</w:t>
      </w:r>
    </w:p>
    <w:p w14:paraId="169D3F2C"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For workplaces subject to the regulations employers will be required to do some or </w:t>
      </w:r>
      <w:proofErr w:type="gramStart"/>
      <w:r w:rsidRPr="00DD7BD1">
        <w:rPr>
          <w:rFonts w:ascii="Calibri" w:eastAsia="Times New Roman" w:hAnsi="Calibri" w:cs="Calibri"/>
        </w:rPr>
        <w:t>all of</w:t>
      </w:r>
      <w:proofErr w:type="gramEnd"/>
      <w:r w:rsidRPr="00DD7BD1">
        <w:rPr>
          <w:rFonts w:ascii="Calibri" w:eastAsia="Times New Roman" w:hAnsi="Calibri" w:cs="Calibri"/>
        </w:rPr>
        <w:t xml:space="preserve"> the following depending on the heat index at the workplace:</w:t>
      </w:r>
    </w:p>
    <w:p w14:paraId="298D4B03"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lastRenderedPageBreak/>
        <w:t xml:space="preserve">Provide drinking water. Where drinking water is not plumbed or otherwise continuously supplied, employers </w:t>
      </w:r>
      <w:proofErr w:type="gramStart"/>
      <w:r w:rsidRPr="00DD7BD1">
        <w:rPr>
          <w:rFonts w:ascii="Calibri" w:eastAsia="Times New Roman" w:hAnsi="Calibri" w:cs="Calibri"/>
        </w:rPr>
        <w:t>shall</w:t>
      </w:r>
      <w:proofErr w:type="gramEnd"/>
      <w:r w:rsidRPr="00DD7BD1">
        <w:rPr>
          <w:rFonts w:ascii="Calibri" w:eastAsia="Times New Roman" w:hAnsi="Calibri" w:cs="Calibri"/>
        </w:rPr>
        <w:t xml:space="preserve"> provide </w:t>
      </w:r>
      <w:proofErr w:type="gramStart"/>
      <w:r w:rsidRPr="00DD7BD1">
        <w:rPr>
          <w:rFonts w:ascii="Calibri" w:eastAsia="Times New Roman" w:hAnsi="Calibri" w:cs="Calibri"/>
        </w:rPr>
        <w:t>sufficient quantities</w:t>
      </w:r>
      <w:proofErr w:type="gramEnd"/>
      <w:r w:rsidRPr="00DD7BD1">
        <w:rPr>
          <w:rFonts w:ascii="Calibri" w:eastAsia="Times New Roman" w:hAnsi="Calibri" w:cs="Calibri"/>
        </w:rPr>
        <w:t xml:space="preserve"> at the start of the shift to provide one quart per employee per hour of drinking for the entire shift.</w:t>
      </w:r>
    </w:p>
    <w:p w14:paraId="2C837C4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Provide access to cool-down areas which are defined as an indoor or outdoor area that are blocked from direct sunlight and shielded from other high radiant heat sources.</w:t>
      </w:r>
    </w:p>
    <w:p w14:paraId="4B433629"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Assess temperature and heat index and evaluate risk factors of heat illness.</w:t>
      </w:r>
    </w:p>
    <w:p w14:paraId="6C81AD97"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Establish and maintain accurate records of either the temperature or heat index measurements.</w:t>
      </w:r>
    </w:p>
    <w:p w14:paraId="45ED6CDF"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Use control measures to minimize the risk of heat illness including engineering controls, and administrative controls.</w:t>
      </w:r>
    </w:p>
    <w:p w14:paraId="407679F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Develop emergency response procedures and conduct employee training.</w:t>
      </w:r>
    </w:p>
    <w:p w14:paraId="1C3188C5" w14:textId="77777777" w:rsidR="008C6649" w:rsidRPr="00DD7BD1" w:rsidRDefault="008C6649" w:rsidP="008C6649">
      <w:pPr>
        <w:shd w:val="clear" w:color="auto" w:fill="FFFFFF"/>
        <w:spacing w:after="0" w:line="240" w:lineRule="auto"/>
        <w:jc w:val="both"/>
        <w:rPr>
          <w:rFonts w:ascii="Calibri" w:eastAsia="Times New Roman" w:hAnsi="Calibri" w:cs="Calibri"/>
          <w:color w:val="333333"/>
        </w:rPr>
      </w:pPr>
      <w:r w:rsidRPr="00DD7BD1">
        <w:rPr>
          <w:rFonts w:ascii="Calibri" w:eastAsia="Times New Roman" w:hAnsi="Calibri" w:cs="Calibri"/>
        </w:rPr>
        <w:t>The Cal/OSHA Board has requested that the Office of Administrative Law (OAL) expedite its effective date. If this happens the standard will take effect in early </w:t>
      </w:r>
      <w:r w:rsidRPr="00DD7BD1">
        <w:rPr>
          <w:rFonts w:ascii="Calibri" w:eastAsia="Times New Roman" w:hAnsi="Calibri" w:cs="Calibri"/>
          <w:b/>
          <w:bCs/>
          <w:color w:val="C00000"/>
        </w:rPr>
        <w:t>August 2024</w:t>
      </w:r>
      <w:r w:rsidRPr="00DD7BD1">
        <w:rPr>
          <w:rFonts w:ascii="Calibri" w:eastAsia="Times New Roman" w:hAnsi="Calibri" w:cs="Calibri"/>
          <w:b/>
          <w:bCs/>
        </w:rPr>
        <w:t>.</w:t>
      </w:r>
      <w:r w:rsidRPr="00DD7BD1">
        <w:rPr>
          <w:rFonts w:ascii="Calibri" w:eastAsia="Times New Roman" w:hAnsi="Calibri" w:cs="Calibri"/>
        </w:rPr>
        <w:t> If the rule is not expedited, then it will take effect on </w:t>
      </w:r>
      <w:r w:rsidRPr="00DD7BD1">
        <w:rPr>
          <w:rFonts w:ascii="Calibri" w:eastAsia="Times New Roman" w:hAnsi="Calibri" w:cs="Calibri"/>
          <w:b/>
          <w:bCs/>
          <w:color w:val="C00000"/>
        </w:rPr>
        <w:t>October 1, 2024</w:t>
      </w:r>
      <w:r w:rsidRPr="00DD7BD1">
        <w:rPr>
          <w:rFonts w:ascii="Calibri" w:eastAsia="Times New Roman" w:hAnsi="Calibri" w:cs="Calibri"/>
          <w:color w:val="333333"/>
        </w:rPr>
        <w:t>.</w:t>
      </w:r>
    </w:p>
    <w:p w14:paraId="33589C19" w14:textId="77777777" w:rsidR="008C6649" w:rsidRPr="00DD7BD1" w:rsidRDefault="008C6649" w:rsidP="008C6649">
      <w:pPr>
        <w:spacing w:after="0" w:line="240" w:lineRule="auto"/>
        <w:jc w:val="both"/>
        <w:rPr>
          <w:rFonts w:ascii="Calibri" w:hAnsi="Calibri" w:cs="Calibri"/>
          <w:b/>
          <w:bCs/>
          <w:color w:val="2E74B5" w:themeColor="accent5" w:themeShade="BF"/>
          <w:sz w:val="16"/>
          <w:szCs w:val="16"/>
          <w:shd w:val="clear" w:color="auto" w:fill="FFFFFF"/>
          <w:lang w:val="en"/>
        </w:rPr>
      </w:pPr>
    </w:p>
    <w:p w14:paraId="69693D34" w14:textId="3F40CBA4" w:rsidR="008C6649" w:rsidRPr="00DD7BD1" w:rsidRDefault="008C6649" w:rsidP="008C6649">
      <w:pPr>
        <w:pStyle w:val="Heading1"/>
        <w:shd w:val="clear" w:color="auto" w:fill="FFFFFF"/>
        <w:spacing w:before="0" w:beforeAutospacing="0" w:after="0" w:afterAutospacing="0"/>
        <w:jc w:val="center"/>
        <w:rPr>
          <w:rFonts w:ascii="Calibri" w:hAnsi="Calibri" w:cs="Calibri"/>
          <w:color w:val="515151"/>
          <w:sz w:val="28"/>
          <w:szCs w:val="28"/>
        </w:rPr>
      </w:pPr>
      <w:r w:rsidRPr="00DD7BD1">
        <w:rPr>
          <w:rFonts w:ascii="Calibri" w:hAnsi="Calibri" w:cs="Calibri"/>
          <w:sz w:val="28"/>
          <w:szCs w:val="28"/>
        </w:rPr>
        <w:t>Cal/OSHA Issues Guidance &amp; Model Workplace Violence Prevention Plan-</w:t>
      </w:r>
      <w:r w:rsidRPr="00DD7BD1">
        <w:rPr>
          <w:rFonts w:ascii="Calibri" w:hAnsi="Calibri" w:cs="Calibri"/>
          <w:color w:val="C00000"/>
          <w:sz w:val="28"/>
          <w:szCs w:val="28"/>
        </w:rPr>
        <w:t>July 1</w:t>
      </w:r>
    </w:p>
    <w:p w14:paraId="055DD0BB"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previously communicated, starting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California employers across all industries must have a written Workplace Violence Prevention Plan (“WVPP”) in place. </w:t>
      </w:r>
    </w:p>
    <w:p w14:paraId="7B1D4B6E"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2DE3AF5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On March 18, 2024, California’s Division of Occupational Safety and Health (“Cal/OSHA”), the agency responsible for enforcing the new law’s requirements, announced the creation of its </w:t>
      </w:r>
      <w:hyperlink r:id="rId651" w:tgtFrame="_blank" w:history="1">
        <w:r w:rsidRPr="00DD7BD1">
          <w:rPr>
            <w:rStyle w:val="Hyperlink"/>
            <w:rFonts w:ascii="Calibri" w:eastAsia="Times New Roman" w:hAnsi="Calibri" w:cs="Calibri"/>
          </w:rPr>
          <w:t>Cal/OSHA Workplace Violence Prevention Guidance and Resources webpage</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The webpage contains guidance and educational materials on the new law and workplace violence prevention, a </w:t>
      </w:r>
      <w:hyperlink r:id="rId652" w:tgtFrame="_blank" w:history="1">
        <w:r w:rsidRPr="00DD7BD1">
          <w:rPr>
            <w:rStyle w:val="Hyperlink"/>
            <w:rFonts w:ascii="Calibri" w:eastAsia="Times New Roman" w:hAnsi="Calibri" w:cs="Calibri"/>
          </w:rPr>
          <w:t>model WVPP</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fact sheets, and other resources for employers and employees.</w:t>
      </w:r>
    </w:p>
    <w:p w14:paraId="12C9E071"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65B407FF"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are required to provide employees with training on the workplace violence plan when it’s first established and annually thereafter. Additional training </w:t>
      </w:r>
      <w:proofErr w:type="gramStart"/>
      <w:r w:rsidRPr="00DD7BD1">
        <w:rPr>
          <w:rFonts w:ascii="Calibri" w:hAnsi="Calibri" w:cs="Calibri"/>
          <w:shd w:val="clear" w:color="auto" w:fill="FFFFFF"/>
        </w:rPr>
        <w:t>has to</w:t>
      </w:r>
      <w:proofErr w:type="gramEnd"/>
      <w:r w:rsidRPr="00DD7BD1">
        <w:rPr>
          <w:rFonts w:ascii="Calibri" w:hAnsi="Calibri" w:cs="Calibri"/>
          <w:shd w:val="clear" w:color="auto" w:fill="FFFFFF"/>
        </w:rPr>
        <w:t xml:space="preserve"> be provided when a new workplace violence hazard is identified or when changes are made to the plan, but this training can be limited to covering those specific topics. </w:t>
      </w:r>
    </w:p>
    <w:p w14:paraId="46A39D46" w14:textId="77777777" w:rsidR="008C6649" w:rsidRPr="00DD7BD1" w:rsidRDefault="008C6649" w:rsidP="008C6649">
      <w:pPr>
        <w:spacing w:after="0" w:line="240" w:lineRule="auto"/>
        <w:jc w:val="both"/>
        <w:rPr>
          <w:rFonts w:ascii="Calibri" w:hAnsi="Calibri" w:cs="Calibri"/>
          <w:b/>
          <w:bCs/>
          <w:color w:val="333333"/>
          <w:sz w:val="16"/>
          <w:szCs w:val="16"/>
          <w:highlight w:val="lightGray"/>
          <w:shd w:val="clear" w:color="auto" w:fill="FFFFFF"/>
        </w:rPr>
      </w:pPr>
    </w:p>
    <w:p w14:paraId="0DD565E4"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xml:space="preserve"> Although the provided model WVPP reflects the procedures required by section 6401.9, employer likely need to </w:t>
      </w:r>
      <w:proofErr w:type="gramStart"/>
      <w:r w:rsidRPr="00DD7BD1">
        <w:rPr>
          <w:rFonts w:ascii="Calibri" w:hAnsi="Calibri" w:cs="Calibri"/>
          <w:shd w:val="clear" w:color="auto" w:fill="FFFFFF"/>
        </w:rPr>
        <w:t>customize to</w:t>
      </w:r>
      <w:proofErr w:type="gramEnd"/>
      <w:r w:rsidRPr="00DD7BD1">
        <w:rPr>
          <w:rFonts w:ascii="Calibri" w:hAnsi="Calibri" w:cs="Calibri"/>
          <w:shd w:val="clear" w:color="auto" w:fill="FFFFFF"/>
        </w:rPr>
        <w:t xml:space="preserve"> their industry and worksite-specifics to ensure compliance. </w:t>
      </w:r>
    </w:p>
    <w:p w14:paraId="6592A9B8" w14:textId="77777777" w:rsidR="008C6649" w:rsidRPr="00DD7BD1" w:rsidRDefault="008C6649" w:rsidP="00EF3557">
      <w:pPr>
        <w:spacing w:after="0" w:line="240" w:lineRule="auto"/>
        <w:jc w:val="center"/>
        <w:rPr>
          <w:rStyle w:val="Strong"/>
          <w:rFonts w:ascii="Calibri" w:hAnsi="Calibri" w:cs="Calibri"/>
          <w:sz w:val="20"/>
          <w:szCs w:val="20"/>
        </w:rPr>
      </w:pPr>
    </w:p>
    <w:p w14:paraId="4109F3F8" w14:textId="223EFD93" w:rsidR="00EF3557" w:rsidRPr="00DD7BD1" w:rsidRDefault="00EF3557" w:rsidP="00EF3557">
      <w:pPr>
        <w:spacing w:after="0" w:line="240" w:lineRule="auto"/>
        <w:jc w:val="center"/>
        <w:rPr>
          <w:rStyle w:val="Strong"/>
          <w:rFonts w:ascii="Calibri" w:hAnsi="Calibri" w:cs="Calibri"/>
          <w:color w:val="C00000"/>
          <w:sz w:val="28"/>
          <w:szCs w:val="28"/>
        </w:rPr>
      </w:pPr>
      <w:r w:rsidRPr="00DD7BD1">
        <w:rPr>
          <w:rStyle w:val="Strong"/>
          <w:rFonts w:ascii="Calibri" w:hAnsi="Calibri" w:cs="Calibri"/>
          <w:sz w:val="28"/>
          <w:szCs w:val="28"/>
        </w:rPr>
        <w:t>CA Pay Data Reporting filing Deadline May 2024</w:t>
      </w:r>
    </w:p>
    <w:p w14:paraId="35E14AA2" w14:textId="77777777" w:rsidR="00EF3557" w:rsidRPr="00DD7BD1" w:rsidRDefault="00EF3557" w:rsidP="00EF3557">
      <w:pPr>
        <w:spacing w:after="0" w:line="240" w:lineRule="auto"/>
        <w:jc w:val="both"/>
        <w:rPr>
          <w:rFonts w:ascii="Calibri" w:hAnsi="Calibri" w:cs="Calibri"/>
          <w:shd w:val="clear" w:color="auto" w:fill="FFFFFF"/>
        </w:rPr>
      </w:pPr>
      <w:r w:rsidRPr="00DD7BD1">
        <w:rPr>
          <w:rFonts w:ascii="Calibri" w:hAnsi="Calibri" w:cs="Calibri"/>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DD7BD1" w:rsidRDefault="00EF3557" w:rsidP="00EF3557">
      <w:pPr>
        <w:spacing w:after="0" w:line="240" w:lineRule="auto"/>
        <w:jc w:val="both"/>
        <w:rPr>
          <w:rFonts w:ascii="Calibri" w:eastAsia="Times New Roman" w:hAnsi="Calibri" w:cs="Calibri"/>
          <w:sz w:val="12"/>
          <w:szCs w:val="12"/>
        </w:rPr>
      </w:pPr>
    </w:p>
    <w:p w14:paraId="52422DF6" w14:textId="77777777" w:rsidR="00EF3557" w:rsidRPr="00DD7BD1" w:rsidRDefault="00EF3557" w:rsidP="00EF3557">
      <w:pPr>
        <w:spacing w:after="0" w:line="240" w:lineRule="auto"/>
        <w:rPr>
          <w:rFonts w:ascii="Calibri" w:eastAsia="Times New Roman" w:hAnsi="Calibri" w:cs="Calibri"/>
        </w:rPr>
      </w:pPr>
      <w:r w:rsidRPr="00DD7BD1">
        <w:rPr>
          <w:rFonts w:ascii="Calibri" w:eastAsia="Times New Roman" w:hAnsi="Calibri" w:cs="Calibri"/>
          <w:b/>
          <w:bCs/>
        </w:rPr>
        <w:t>Portal Opens:</w:t>
      </w:r>
      <w:r w:rsidRPr="00DD7BD1">
        <w:rPr>
          <w:rFonts w:ascii="Calibri" w:eastAsia="Times New Roman" w:hAnsi="Calibri" w:cs="Calibri"/>
        </w:rPr>
        <w:t xml:space="preserve"> 2/2024       </w:t>
      </w:r>
    </w:p>
    <w:p w14:paraId="4FEA2975" w14:textId="77777777" w:rsidR="00EF3557" w:rsidRPr="00DD7BD1" w:rsidRDefault="00EF3557" w:rsidP="00EF3557">
      <w:pPr>
        <w:spacing w:after="0" w:line="240" w:lineRule="auto"/>
        <w:rPr>
          <w:rFonts w:ascii="Calibri" w:eastAsia="Times New Roman" w:hAnsi="Calibri" w:cs="Calibri"/>
          <w:b/>
          <w:bCs/>
          <w:color w:val="C00000"/>
        </w:rPr>
      </w:pPr>
      <w:r w:rsidRPr="00DD7BD1">
        <w:rPr>
          <w:rFonts w:ascii="Calibri" w:eastAsia="Times New Roman" w:hAnsi="Calibri" w:cs="Calibri"/>
          <w:b/>
          <w:bCs/>
        </w:rPr>
        <w:t>Filing Deadline</w:t>
      </w:r>
      <w:r w:rsidRPr="00DD7BD1">
        <w:rPr>
          <w:rFonts w:ascii="Calibri" w:eastAsia="Times New Roman" w:hAnsi="Calibri" w:cs="Calibri"/>
        </w:rPr>
        <w:t xml:space="preserve">: </w:t>
      </w:r>
      <w:r w:rsidRPr="00DD7BD1">
        <w:rPr>
          <w:rFonts w:ascii="Calibri" w:eastAsia="Times New Roman" w:hAnsi="Calibri" w:cs="Calibri"/>
          <w:b/>
          <w:bCs/>
          <w:u w:val="single"/>
        </w:rPr>
        <w:t>5/8/24</w:t>
      </w:r>
    </w:p>
    <w:p w14:paraId="65454757" w14:textId="77777777" w:rsidR="00EF3557" w:rsidRPr="00DD7BD1" w:rsidRDefault="00EF3557" w:rsidP="00EF3557">
      <w:pPr>
        <w:pStyle w:val="NormalWeb"/>
        <w:shd w:val="clear" w:color="auto" w:fill="FFFFFF"/>
        <w:spacing w:before="0" w:beforeAutospacing="0" w:after="0" w:afterAutospacing="0"/>
        <w:rPr>
          <w:rFonts w:ascii="Calibri" w:hAnsi="Calibri" w:cs="Calibri"/>
          <w:sz w:val="12"/>
          <w:szCs w:val="12"/>
        </w:rPr>
      </w:pPr>
    </w:p>
    <w:p w14:paraId="2DCECCA4" w14:textId="77777777" w:rsidR="00EF3557" w:rsidRPr="00DD7BD1" w:rsidRDefault="00EF3557" w:rsidP="00EF355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CRD has published “important announcements” regarding changes to this year’s reporting requirements, including the following (March 2024):</w:t>
      </w:r>
    </w:p>
    <w:p w14:paraId="718D88F7" w14:textId="77777777" w:rsidR="00EF3557" w:rsidRPr="00DD7BD1" w:rsidRDefault="00EF3557">
      <w:pPr>
        <w:numPr>
          <w:ilvl w:val="0"/>
          <w:numId w:val="33"/>
        </w:numPr>
        <w:shd w:val="clear" w:color="auto" w:fill="FFFFFF"/>
        <w:spacing w:after="0" w:line="240" w:lineRule="auto"/>
        <w:rPr>
          <w:rFonts w:ascii="Calibri" w:hAnsi="Calibri" w:cs="Calibri"/>
        </w:rPr>
      </w:pPr>
      <w:r w:rsidRPr="00DD7BD1">
        <w:rPr>
          <w:rStyle w:val="Strong"/>
          <w:rFonts w:ascii="Calibri" w:hAnsi="Calibri" w:cs="Calibri"/>
        </w:rPr>
        <w:t>New data fields for remote workers</w:t>
      </w:r>
      <w:r w:rsidRPr="00DD7BD1">
        <w:rPr>
          <w:rFonts w:ascii="Calibri" w:hAnsi="Calibri" w:cs="Calibri"/>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DD7BD1" w:rsidRDefault="00EF3557">
      <w:pPr>
        <w:numPr>
          <w:ilvl w:val="0"/>
          <w:numId w:val="33"/>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Race, ethnicity, sex for Labor Contractor Employee Reports</w:t>
      </w:r>
      <w:r w:rsidRPr="00DD7BD1">
        <w:rPr>
          <w:rFonts w:ascii="Calibri" w:hAnsi="Calibri" w:cs="Calibri"/>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DD7BD1">
        <w:rPr>
          <w:rStyle w:val="Emphasis"/>
          <w:rFonts w:ascii="Calibri" w:hAnsi="Calibri" w:cs="Calibri"/>
        </w:rPr>
        <w:t>number</w:t>
      </w:r>
      <w:r w:rsidRPr="00DD7BD1">
        <w:rPr>
          <w:rFonts w:ascii="Calibri" w:hAnsi="Calibri" w:cs="Calibri"/>
        </w:rPr>
        <w:t>] individuals in this grouping is being reported based on observer perception.”).</w:t>
      </w:r>
    </w:p>
    <w:p w14:paraId="0497F58C" w14:textId="77777777" w:rsidR="00EF3557" w:rsidRPr="00DD7BD1" w:rsidRDefault="00EF3557">
      <w:pPr>
        <w:numPr>
          <w:ilvl w:val="0"/>
          <w:numId w:val="33"/>
        </w:numPr>
        <w:shd w:val="clear" w:color="auto" w:fill="FFFFFF"/>
        <w:spacing w:after="0" w:line="240" w:lineRule="auto"/>
        <w:rPr>
          <w:rFonts w:ascii="Calibri" w:hAnsi="Calibri" w:cs="Calibri"/>
          <w:color w:val="333333"/>
        </w:rPr>
      </w:pPr>
      <w:r w:rsidRPr="00DD7BD1">
        <w:rPr>
          <w:rStyle w:val="Strong"/>
          <w:rFonts w:ascii="Calibri" w:hAnsi="Calibri" w:cs="Calibri"/>
        </w:rPr>
        <w:lastRenderedPageBreak/>
        <w:t>Filing deadline</w:t>
      </w:r>
      <w:r w:rsidRPr="00DD7BD1">
        <w:rPr>
          <w:rFonts w:ascii="Calibri" w:hAnsi="Calibri" w:cs="Calibri"/>
        </w:rPr>
        <w:t xml:space="preserve">: Reports are </w:t>
      </w:r>
      <w:proofErr w:type="gramStart"/>
      <w:r w:rsidRPr="00DD7BD1">
        <w:rPr>
          <w:rFonts w:ascii="Calibri" w:hAnsi="Calibri" w:cs="Calibri"/>
        </w:rPr>
        <w:t>due by</w:t>
      </w:r>
      <w:proofErr w:type="gramEnd"/>
      <w:r w:rsidRPr="00DD7BD1">
        <w:rPr>
          <w:rFonts w:ascii="Calibri" w:hAnsi="Calibri" w:cs="Calibri"/>
        </w:rPr>
        <w:t xml:space="preserve"> May 8, 2024. Unlike last year’s reporting period, it does not appear that the CRD will be accepting or granting any pay reporting submission deferral requests.</w:t>
      </w:r>
    </w:p>
    <w:p w14:paraId="54B3A179" w14:textId="77777777" w:rsidR="00EF3557" w:rsidRPr="00DD7BD1" w:rsidRDefault="00EF3557" w:rsidP="00EF355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Employers are well-advised to use this year’s reporting templates and consult the updated User Guide available</w:t>
      </w:r>
      <w:r w:rsidRPr="00DD7BD1">
        <w:rPr>
          <w:rStyle w:val="Hyperlink"/>
          <w:rFonts w:ascii="Calibri" w:eastAsiaTheme="minorHAnsi" w:hAnsi="Calibri" w:cs="Calibri"/>
          <w:color w:val="auto"/>
          <w:sz w:val="22"/>
          <w:szCs w:val="22"/>
        </w:rPr>
        <w:t> </w:t>
      </w:r>
      <w:hyperlink r:id="rId653" w:tgtFrame="_blank" w:history="1">
        <w:r w:rsidRPr="00DD7BD1">
          <w:rPr>
            <w:rStyle w:val="Hyperlink"/>
            <w:rFonts w:ascii="Calibri" w:eastAsiaTheme="minorHAnsi" w:hAnsi="Calibri" w:cs="Calibri"/>
            <w:sz w:val="22"/>
            <w:szCs w:val="22"/>
          </w:rPr>
          <w:t>here</w:t>
        </w:r>
      </w:hyperlink>
      <w:r w:rsidRPr="00DD7BD1">
        <w:rPr>
          <w:rFonts w:ascii="Calibri" w:hAnsi="Calibri" w:cs="Calibri"/>
          <w:color w:val="333333"/>
          <w:sz w:val="22"/>
          <w:szCs w:val="22"/>
        </w:rPr>
        <w:t xml:space="preserve">. </w:t>
      </w:r>
      <w:r w:rsidRPr="00DD7BD1">
        <w:rPr>
          <w:rFonts w:ascii="Calibri" w:hAnsi="Calibri" w:cs="Calibri"/>
          <w:sz w:val="22"/>
          <w:szCs w:val="22"/>
        </w:rPr>
        <w:t>California employers also may wish to consult the </w:t>
      </w:r>
      <w:hyperlink r:id="rId654" w:tgtFrame="_blank" w:history="1">
        <w:r w:rsidRPr="00DD7BD1">
          <w:rPr>
            <w:rStyle w:val="Hyperlink"/>
            <w:rFonts w:ascii="Calibri" w:eastAsiaTheme="minorHAnsi" w:hAnsi="Calibri" w:cs="Calibri"/>
            <w:sz w:val="22"/>
            <w:szCs w:val="22"/>
          </w:rPr>
          <w:t>CRD’s Updated FAQs</w:t>
        </w:r>
      </w:hyperlink>
    </w:p>
    <w:p w14:paraId="70FD5099" w14:textId="57C5E156" w:rsidR="00EF3557" w:rsidRPr="00DD7BD1" w:rsidRDefault="00EF3557" w:rsidP="00EF3557">
      <w:pPr>
        <w:spacing w:after="0" w:line="240" w:lineRule="auto"/>
        <w:jc w:val="both"/>
        <w:rPr>
          <w:rStyle w:val="Strong"/>
          <w:rFonts w:ascii="Calibri" w:eastAsia="Times New Roman" w:hAnsi="Calibri" w:cs="Calibri"/>
          <w:b w:val="0"/>
          <w:bCs w:val="0"/>
        </w:rPr>
      </w:pPr>
      <w:r w:rsidRPr="00DD7BD1">
        <w:rPr>
          <w:rFonts w:ascii="Calibri" w:eastAsia="Times New Roman" w:hAnsi="Calibri" w:cs="Calibri"/>
        </w:rPr>
        <w:t>See also ETC’s February HR WIRE supplemental publication released Friday, February 9th for additional details and links to resources.</w:t>
      </w:r>
    </w:p>
    <w:p w14:paraId="743F22F6" w14:textId="77777777" w:rsidR="001221BB" w:rsidRPr="00DD7BD1" w:rsidRDefault="001221BB" w:rsidP="008561D0">
      <w:pPr>
        <w:spacing w:after="0" w:line="240" w:lineRule="auto"/>
        <w:rPr>
          <w:rFonts w:ascii="Calibri" w:hAnsi="Calibri" w:cs="Calibri"/>
          <w:b/>
          <w:bCs/>
          <w:color w:val="2E74B5" w:themeColor="accent5" w:themeShade="BF"/>
          <w:sz w:val="12"/>
          <w:szCs w:val="12"/>
          <w:shd w:val="clear" w:color="auto" w:fill="FFFFFF"/>
          <w:lang w:val="en"/>
        </w:rPr>
      </w:pPr>
    </w:p>
    <w:p w14:paraId="156AD526" w14:textId="77777777" w:rsidR="00427CA7" w:rsidRPr="00DD7BD1" w:rsidRDefault="00427CA7" w:rsidP="00427CA7">
      <w:pPr>
        <w:pStyle w:val="Heading1"/>
        <w:shd w:val="clear" w:color="auto" w:fill="FFFFFF"/>
        <w:spacing w:before="0" w:beforeAutospacing="0" w:after="0" w:afterAutospacing="0" w:line="264" w:lineRule="atLeast"/>
        <w:jc w:val="center"/>
        <w:rPr>
          <w:rStyle w:val="Strong"/>
          <w:rFonts w:ascii="Calibri" w:hAnsi="Calibri" w:cs="Calibri"/>
          <w:b/>
          <w:bCs/>
          <w:color w:val="000000"/>
        </w:rPr>
      </w:pPr>
      <w:r w:rsidRPr="00DD7BD1">
        <w:rPr>
          <w:rFonts w:ascii="Calibri" w:hAnsi="Calibri" w:cs="Calibri"/>
          <w:color w:val="000000"/>
          <w:sz w:val="28"/>
          <w:szCs w:val="28"/>
        </w:rPr>
        <w:t xml:space="preserve">CA Supreme Court Clarifies Whether Employers Must Pay for Certain </w:t>
      </w:r>
      <w:r w:rsidRPr="00DD7BD1">
        <w:rPr>
          <w:rFonts w:ascii="Calibri" w:hAnsi="Calibri" w:cs="Calibri"/>
          <w:color w:val="000000"/>
          <w:sz w:val="28"/>
          <w:szCs w:val="28"/>
          <w:u w:val="single"/>
        </w:rPr>
        <w:t>Pre-Shift Activities</w:t>
      </w:r>
    </w:p>
    <w:p w14:paraId="3E7FC96E" w14:textId="77777777" w:rsidR="00427CA7" w:rsidRPr="00DD7BD1" w:rsidRDefault="00427CA7" w:rsidP="00427CA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In </w:t>
      </w:r>
      <w:r w:rsidRPr="00DD7BD1">
        <w:rPr>
          <w:rFonts w:ascii="Calibri" w:hAnsi="Calibri" w:cs="Calibri"/>
          <w:i/>
          <w:iCs/>
          <w:spacing w:val="3"/>
        </w:rPr>
        <w:t>Huerta v. CSI Electrical Contractors</w:t>
      </w:r>
      <w:r w:rsidRPr="00DD7BD1">
        <w:rPr>
          <w:rFonts w:ascii="Calibri" w:hAnsi="Calibri" w:cs="Calibri"/>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DD7BD1" w:rsidRDefault="00503F70" w:rsidP="00503F70">
      <w:pPr>
        <w:pStyle w:val="ListParagraph"/>
        <w:spacing w:after="0" w:line="240" w:lineRule="auto"/>
        <w:jc w:val="both"/>
        <w:rPr>
          <w:rFonts w:ascii="Calibri" w:hAnsi="Calibri" w:cs="Calibri"/>
          <w:spacing w:val="3"/>
          <w:shd w:val="clear" w:color="auto" w:fill="FFFFFF"/>
        </w:rPr>
      </w:pPr>
    </w:p>
    <w:p w14:paraId="7CFA5FBA"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b/>
          <w:bCs/>
          <w:spacing w:val="3"/>
          <w:sz w:val="22"/>
          <w:szCs w:val="22"/>
          <w:shd w:val="clear" w:color="auto" w:fill="FFFFFF"/>
        </w:rPr>
      </w:pPr>
      <w:r w:rsidRPr="00DD7BD1">
        <w:rPr>
          <w:rFonts w:ascii="Calibri" w:hAnsi="Calibri" w:cs="Calibri"/>
          <w:b/>
          <w:bCs/>
          <w:spacing w:val="3"/>
          <w:sz w:val="22"/>
          <w:szCs w:val="22"/>
          <w:highlight w:val="lightGray"/>
          <w:shd w:val="clear" w:color="auto" w:fill="FFFFFF"/>
        </w:rPr>
        <w:t>Employer Takeaways:</w:t>
      </w:r>
      <w:r w:rsidRPr="00DD7BD1">
        <w:rPr>
          <w:rFonts w:ascii="Calibri" w:hAnsi="Calibri" w:cs="Calibri"/>
          <w:b/>
          <w:bCs/>
          <w:spacing w:val="3"/>
          <w:sz w:val="22"/>
          <w:szCs w:val="22"/>
          <w:shd w:val="clear" w:color="auto" w:fill="FFFFFF"/>
        </w:rPr>
        <w:t xml:space="preserve"> </w:t>
      </w:r>
    </w:p>
    <w:p w14:paraId="2C376BC4"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 xml:space="preserve">Employers who have implemented mandatory screening procedures before </w:t>
      </w:r>
      <w:proofErr w:type="gramStart"/>
      <w:r w:rsidRPr="00DD7BD1">
        <w:rPr>
          <w:rFonts w:ascii="Calibri" w:hAnsi="Calibri" w:cs="Calibri"/>
          <w:spacing w:val="3"/>
          <w:sz w:val="22"/>
          <w:szCs w:val="22"/>
          <w:shd w:val="clear" w:color="auto" w:fill="FFFFFF"/>
        </w:rPr>
        <w:t>employees may</w:t>
      </w:r>
      <w:proofErr w:type="gramEnd"/>
      <w:r w:rsidRPr="00DD7BD1">
        <w:rPr>
          <w:rFonts w:ascii="Calibri" w:hAnsi="Calibri" w:cs="Calibri"/>
          <w:spacing w:val="3"/>
          <w:sz w:val="22"/>
          <w:szCs w:val="22"/>
          <w:shd w:val="clear" w:color="auto" w:fill="FFFFFF"/>
        </w:rPr>
        <w:t xml:space="preserve"> enter or leave the premises should read this decision carefully, particularly if the process involves visual scanning or searches by security personnel as </w:t>
      </w:r>
      <w:r w:rsidRPr="00DD7BD1">
        <w:rPr>
          <w:rFonts w:ascii="Calibri" w:hAnsi="Calibri" w:cs="Calibri"/>
          <w:sz w:val="23"/>
          <w:szCs w:val="23"/>
          <w:shd w:val="clear" w:color="auto" w:fill="FFFFFF"/>
        </w:rPr>
        <w:t xml:space="preserve">the </w:t>
      </w:r>
      <w:r w:rsidRPr="00DD7BD1">
        <w:rPr>
          <w:rFonts w:ascii="Calibri" w:hAnsi="Calibri" w:cs="Calibri"/>
          <w:b/>
          <w:bCs/>
          <w:sz w:val="22"/>
          <w:szCs w:val="22"/>
          <w:shd w:val="clear" w:color="auto" w:fill="FFFFFF"/>
        </w:rPr>
        <w:t>Court concluded:</w:t>
      </w:r>
    </w:p>
    <w:p w14:paraId="652E0828"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2"/>
          <w:szCs w:val="22"/>
          <w:shd w:val="clear" w:color="auto" w:fill="FFFFFF"/>
        </w:rPr>
        <w:t xml:space="preserve"> that when an employee is required to spend time on the employer’s premises waiting to undergo an employer-mandated security procedure, that time is compensable</w:t>
      </w:r>
      <w:r w:rsidRPr="00DD7BD1">
        <w:rPr>
          <w:rFonts w:ascii="Calibri" w:hAnsi="Calibri" w:cs="Calibri"/>
          <w:sz w:val="23"/>
          <w:szCs w:val="23"/>
          <w:shd w:val="clear" w:color="auto" w:fill="FFFFFF"/>
        </w:rPr>
        <w:t xml:space="preserve">. </w:t>
      </w:r>
    </w:p>
    <w:p w14:paraId="31FBCB16"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DD7BD1">
        <w:rPr>
          <w:rFonts w:ascii="Calibri" w:hAnsi="Calibri" w:cs="Calibri"/>
          <w:sz w:val="23"/>
          <w:szCs w:val="23"/>
          <w:shd w:val="clear" w:color="auto" w:fill="FFFFFF"/>
        </w:rPr>
        <w:t>.</w:t>
      </w:r>
    </w:p>
    <w:p w14:paraId="23AADBB1"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DD7BD1">
        <w:rPr>
          <w:rFonts w:ascii="Calibri" w:hAnsi="Calibri" w:cs="Calibri"/>
          <w:i/>
          <w:iCs/>
          <w:spacing w:val="3"/>
          <w:sz w:val="22"/>
          <w:szCs w:val="22"/>
          <w:shd w:val="clear" w:color="auto" w:fill="FFFFFF"/>
        </w:rPr>
        <w:t>Huerta </w:t>
      </w:r>
      <w:r w:rsidRPr="00DD7BD1">
        <w:rPr>
          <w:rFonts w:ascii="Calibri" w:hAnsi="Calibri" w:cs="Calibri"/>
          <w:spacing w:val="3"/>
          <w:sz w:val="22"/>
          <w:szCs w:val="22"/>
          <w:shd w:val="clear" w:color="auto" w:fill="FFFFFF"/>
        </w:rPr>
        <w:t>said were insufficient to make on-site travel compensable.</w:t>
      </w:r>
    </w:p>
    <w:p w14:paraId="6CBAE0D3"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DD7BD1" w:rsidRDefault="00427CA7" w:rsidP="00427CA7">
      <w:pPr>
        <w:spacing w:after="0" w:line="240" w:lineRule="auto"/>
        <w:jc w:val="center"/>
        <w:rPr>
          <w:rStyle w:val="Strong"/>
          <w:rFonts w:ascii="Calibri" w:hAnsi="Calibri" w:cs="Calibri"/>
          <w:color w:val="C00000"/>
          <w:sz w:val="16"/>
          <w:szCs w:val="16"/>
        </w:rPr>
      </w:pPr>
    </w:p>
    <w:p w14:paraId="107AE31A" w14:textId="6323C4E7" w:rsidR="00427CA7" w:rsidRPr="00DD7BD1" w:rsidRDefault="00427CA7" w:rsidP="00427CA7">
      <w:pPr>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 xml:space="preserve">California </w:t>
      </w:r>
      <w:r w:rsidRPr="00DD7BD1">
        <w:rPr>
          <w:rStyle w:val="Strong"/>
          <w:rFonts w:ascii="Calibri" w:hAnsi="Calibri" w:cs="Calibri"/>
          <w:sz w:val="28"/>
          <w:szCs w:val="28"/>
          <w:u w:val="single"/>
        </w:rPr>
        <w:t>Fast Food</w:t>
      </w:r>
      <w:r w:rsidRPr="00DD7BD1">
        <w:rPr>
          <w:rStyle w:val="Strong"/>
          <w:rFonts w:ascii="Calibri" w:hAnsi="Calibri" w:cs="Calibri"/>
          <w:sz w:val="28"/>
          <w:szCs w:val="28"/>
        </w:rPr>
        <w:t xml:space="preserve"> Minimum Wage Exemptions</w:t>
      </w:r>
    </w:p>
    <w:p w14:paraId="55671072"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California Department of Industrial Relations initially updated its </w:t>
      </w:r>
      <w:hyperlink r:id="rId655" w:tgtFrame="_blank" w:history="1">
        <w:r w:rsidRPr="00DD7BD1">
          <w:rPr>
            <w:rStyle w:val="Hyperlink"/>
            <w:rFonts w:ascii="Calibri" w:eastAsiaTheme="minorHAnsi" w:hAnsi="Calibri" w:cs="Calibri"/>
            <w:sz w:val="22"/>
            <w:szCs w:val="22"/>
          </w:rPr>
          <w:t>FAQs</w:t>
        </w:r>
      </w:hyperlink>
      <w:r w:rsidRPr="00DD7BD1">
        <w:rPr>
          <w:rFonts w:ascii="Calibri" w:hAnsi="Calibri" w:cs="Calibri"/>
          <w:color w:val="282828"/>
          <w:sz w:val="22"/>
          <w:szCs w:val="22"/>
        </w:rPr>
        <w:t> </w:t>
      </w:r>
      <w:r w:rsidRPr="00DD7BD1">
        <w:rPr>
          <w:rFonts w:ascii="Calibri" w:hAnsi="Calibri" w:cs="Calibri"/>
          <w:sz w:val="22"/>
          <w:szCs w:val="22"/>
        </w:rPr>
        <w:t>to indicate that the April 1 minimum wage increase for fast food workers will also increase the </w:t>
      </w:r>
      <w:r w:rsidRPr="00DD7BD1">
        <w:rPr>
          <w:rFonts w:ascii="Calibri" w:hAnsi="Calibri" w:cs="Calibri"/>
          <w:i/>
          <w:iCs/>
          <w:sz w:val="22"/>
          <w:szCs w:val="22"/>
        </w:rPr>
        <w:t>minimum salary threshold</w:t>
      </w:r>
      <w:r w:rsidRPr="00DD7BD1">
        <w:rPr>
          <w:rFonts w:ascii="Calibri" w:hAnsi="Calibri" w:cs="Calibri"/>
          <w:sz w:val="22"/>
          <w:szCs w:val="22"/>
        </w:rPr>
        <w:t> for exempt executive, administrative, and professional (EAP) employees in fast food restaurants. </w:t>
      </w:r>
    </w:p>
    <w:p w14:paraId="6DEEC180"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new minimum salary for these employees will be $83,200 per year. This increase is happening because under California </w:t>
      </w:r>
      <w:r w:rsidRPr="00DD7BD1">
        <w:rPr>
          <w:rStyle w:val="il"/>
          <w:rFonts w:ascii="Calibri" w:hAnsi="Calibri" w:cs="Calibri"/>
          <w:sz w:val="22"/>
          <w:szCs w:val="22"/>
        </w:rPr>
        <w:t>law</w:t>
      </w:r>
      <w:r w:rsidRPr="00DD7BD1">
        <w:rPr>
          <w:rFonts w:ascii="Calibri" w:hAnsi="Calibri" w:cs="Calibri"/>
          <w:sz w:val="22"/>
          <w:szCs w:val="22"/>
        </w:rPr>
        <w:t>, EAP employees must earn a monthly salary of at least two times the </w:t>
      </w:r>
      <w:r w:rsidRPr="00DD7BD1">
        <w:rPr>
          <w:rFonts w:ascii="Calibri" w:hAnsi="Calibri" w:cs="Calibri"/>
          <w:i/>
          <w:iCs/>
          <w:sz w:val="22"/>
          <w:szCs w:val="22"/>
        </w:rPr>
        <w:t>state minimum wage</w:t>
      </w:r>
      <w:r w:rsidRPr="00DD7BD1">
        <w:rPr>
          <w:rFonts w:ascii="Calibri" w:hAnsi="Calibri" w:cs="Calibri"/>
          <w:sz w:val="22"/>
          <w:szCs w:val="22"/>
        </w:rPr>
        <w:t>, and the new $20 rate will function as the </w:t>
      </w:r>
      <w:r w:rsidRPr="00DD7BD1">
        <w:rPr>
          <w:rFonts w:ascii="Calibri" w:hAnsi="Calibri" w:cs="Calibri"/>
          <w:i/>
          <w:iCs/>
          <w:sz w:val="22"/>
          <w:szCs w:val="22"/>
        </w:rPr>
        <w:t>state minimum wage</w:t>
      </w:r>
      <w:r w:rsidRPr="00DD7BD1">
        <w:rPr>
          <w:rFonts w:ascii="Calibri" w:hAnsi="Calibri" w:cs="Calibri"/>
          <w:sz w:val="22"/>
          <w:szCs w:val="22"/>
        </w:rPr>
        <w:t> for fast food restaurant employees.</w:t>
      </w:r>
    </w:p>
    <w:p w14:paraId="7B822E67"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Impacted employers have two options:</w:t>
      </w:r>
    </w:p>
    <w:p w14:paraId="4C3B1CA1"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Ensure that employees in EAP positions are paid $83,200 per year, or</w:t>
      </w:r>
    </w:p>
    <w:p w14:paraId="12C62608"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 xml:space="preserve">Reclassify these employees as nonexempt and provide them with the rights and benefits that nonexempt employees are entitled to (overtime, breaks, lunches, and reporting time </w:t>
      </w:r>
      <w:proofErr w:type="gramStart"/>
      <w:r w:rsidRPr="00DD7BD1">
        <w:rPr>
          <w:rFonts w:ascii="Calibri" w:eastAsia="Times New Roman" w:hAnsi="Calibri" w:cs="Calibri"/>
        </w:rPr>
        <w:t>pay,</w:t>
      </w:r>
      <w:proofErr w:type="gramEnd"/>
      <w:r w:rsidRPr="00DD7BD1">
        <w:rPr>
          <w:rFonts w:ascii="Calibri" w:eastAsia="Times New Roman" w:hAnsi="Calibri" w:cs="Calibri"/>
        </w:rPr>
        <w:t xml:space="preserve"> to name a few)</w:t>
      </w:r>
    </w:p>
    <w:p w14:paraId="56ADB6B4"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1470143"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Required Notice</w:t>
      </w:r>
      <w:r w:rsidRPr="00DD7BD1">
        <w:rPr>
          <w:rFonts w:ascii="Calibri" w:hAnsi="Calibri" w:cs="Calibri"/>
          <w:sz w:val="22"/>
          <w:szCs w:val="22"/>
        </w:rPr>
        <w:br/>
        <w:t>Employers with covered employees are required to post a </w:t>
      </w:r>
      <w:hyperlink r:id="rId656" w:tgtFrame="_blank" w:history="1">
        <w:r w:rsidRPr="00DD7BD1">
          <w:rPr>
            <w:rStyle w:val="Hyperlink"/>
            <w:rFonts w:ascii="Calibri" w:eastAsiaTheme="minorHAnsi" w:hAnsi="Calibri" w:cs="Calibri"/>
            <w:sz w:val="22"/>
            <w:szCs w:val="22"/>
          </w:rPr>
          <w:t>supplement to the minimum wage order</w:t>
        </w:r>
      </w:hyperlink>
      <w:r w:rsidRPr="00DD7BD1">
        <w:rPr>
          <w:rFonts w:ascii="Calibri" w:hAnsi="Calibri" w:cs="Calibri"/>
          <w:color w:val="282828"/>
          <w:sz w:val="22"/>
          <w:szCs w:val="22"/>
        </w:rPr>
        <w:t> </w:t>
      </w:r>
      <w:r w:rsidRPr="00DD7BD1">
        <w:rPr>
          <w:rFonts w:ascii="Calibri" w:hAnsi="Calibri" w:cs="Calibri"/>
          <w:sz w:val="22"/>
          <w:szCs w:val="22"/>
        </w:rPr>
        <w:t>in a place where employees will frequently see it.</w:t>
      </w:r>
    </w:p>
    <w:p w14:paraId="7C085A6D"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78207CC"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lastRenderedPageBreak/>
        <w:t>Future Increases</w:t>
      </w:r>
      <w:r w:rsidRPr="00DD7BD1">
        <w:rPr>
          <w:rFonts w:ascii="Calibri" w:hAnsi="Calibri" w:cs="Calibri"/>
          <w:sz w:val="22"/>
          <w:szCs w:val="22"/>
        </w:rPr>
        <w:br/>
        <w:t xml:space="preserve">The newly created </w:t>
      </w:r>
      <w:proofErr w:type="gramStart"/>
      <w:r w:rsidRPr="00DD7BD1">
        <w:rPr>
          <w:rFonts w:ascii="Calibri" w:hAnsi="Calibri" w:cs="Calibri"/>
          <w:sz w:val="22"/>
          <w:szCs w:val="22"/>
        </w:rPr>
        <w:t>Fast Food</w:t>
      </w:r>
      <w:proofErr w:type="gramEnd"/>
      <w:r w:rsidRPr="00DD7BD1">
        <w:rPr>
          <w:rFonts w:ascii="Calibri" w:hAnsi="Calibri" w:cs="Calibri"/>
          <w:sz w:val="22"/>
          <w:szCs w:val="22"/>
        </w:rPr>
        <w:t xml:space="preserve"> Council will have the authority to raise this minimum wage annually beginning January 1, 2025</w:t>
      </w:r>
    </w:p>
    <w:p w14:paraId="02721539"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Then with a mere seven days before the new minimum wage for employees of </w:t>
      </w:r>
      <w:proofErr w:type="gramStart"/>
      <w:r w:rsidRPr="00DD7BD1">
        <w:rPr>
          <w:rFonts w:ascii="Calibri" w:hAnsi="Calibri" w:cs="Calibri"/>
          <w:i/>
          <w:iCs/>
          <w:sz w:val="22"/>
          <w:szCs w:val="22"/>
        </w:rPr>
        <w:t>fast food</w:t>
      </w:r>
      <w:proofErr w:type="gramEnd"/>
      <w:r w:rsidRPr="00DD7BD1">
        <w:rPr>
          <w:rFonts w:ascii="Calibri" w:hAnsi="Calibri" w:cs="Calibri"/>
          <w:i/>
          <w:iCs/>
          <w:sz w:val="22"/>
          <w:szCs w:val="22"/>
        </w:rPr>
        <w:t xml:space="preserve"> restaurants </w:t>
      </w:r>
      <w:proofErr w:type="gramStart"/>
      <w:r w:rsidRPr="00DD7BD1">
        <w:rPr>
          <w:rFonts w:ascii="Calibri" w:hAnsi="Calibri" w:cs="Calibri"/>
          <w:sz w:val="22"/>
          <w:szCs w:val="22"/>
        </w:rPr>
        <w:t>is</w:t>
      </w:r>
      <w:proofErr w:type="gramEnd"/>
      <w:r w:rsidRPr="00DD7BD1">
        <w:rPr>
          <w:rFonts w:ascii="Calibri" w:hAnsi="Calibri" w:cs="Calibri"/>
          <w:sz w:val="22"/>
          <w:szCs w:val="22"/>
        </w:rPr>
        <w:t xml:space="preserve"> set to take effect in California, the legislature added new exemptions to the law. In addition to the original exemptions for certain bakeries and restaurants inside grocery stores, the law will </w:t>
      </w:r>
      <w:r w:rsidRPr="00DD7BD1">
        <w:rPr>
          <w:rStyle w:val="Strong"/>
          <w:rFonts w:ascii="Calibri" w:hAnsi="Calibri" w:cs="Calibri"/>
          <w:sz w:val="22"/>
          <w:szCs w:val="22"/>
        </w:rPr>
        <w:t>not </w:t>
      </w:r>
      <w:r w:rsidRPr="00DD7BD1">
        <w:rPr>
          <w:rFonts w:ascii="Calibri" w:hAnsi="Calibri" w:cs="Calibri"/>
          <w:sz w:val="22"/>
          <w:szCs w:val="22"/>
        </w:rPr>
        <w:t>apply to restaurants that are any of the following: </w:t>
      </w:r>
    </w:p>
    <w:p w14:paraId="6DA4E5B3"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 airport  </w:t>
      </w:r>
    </w:p>
    <w:p w14:paraId="6A0CF47F"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Connected to or operated in conjunction with a hotel, event center, theme park, museum, or gambling establishment </w:t>
      </w:r>
    </w:p>
    <w:p w14:paraId="0E0C8F4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on land owned by the government and operated pursuant to a concession or food service contract </w:t>
      </w:r>
    </w:p>
    <w:p w14:paraId="5E349A9B"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Please note that each of these exemptions has a more detailed definition under the law, which you should make sure applies before considering your establishment exempt. </w:t>
      </w:r>
    </w:p>
    <w:p w14:paraId="231C02A1"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Due to the most recent change, the </w:t>
      </w:r>
      <w:hyperlink r:id="rId657" w:tgtFrame="_blank" w:history="1">
        <w:r w:rsidRPr="00DD7BD1">
          <w:rPr>
            <w:rStyle w:val="Hyperlink"/>
            <w:rFonts w:ascii="Calibri" w:hAnsi="Calibri" w:cs="Calibri"/>
            <w:sz w:val="22"/>
            <w:szCs w:val="22"/>
          </w:rPr>
          <w:t>state’s FAQs</w:t>
        </w:r>
      </w:hyperlink>
      <w:r w:rsidRPr="00DD7BD1">
        <w:rPr>
          <w:rFonts w:ascii="Calibri" w:hAnsi="Calibri" w:cs="Calibri"/>
          <w:color w:val="282828"/>
          <w:sz w:val="22"/>
          <w:szCs w:val="22"/>
        </w:rPr>
        <w:t> </w:t>
      </w:r>
      <w:r w:rsidRPr="00DD7BD1">
        <w:rPr>
          <w:rFonts w:ascii="Calibri" w:hAnsi="Calibri" w:cs="Calibri"/>
          <w:sz w:val="22"/>
          <w:szCs w:val="22"/>
        </w:rPr>
        <w:t>have not been updated yet, but we expect that they will be shortly.</w:t>
      </w:r>
    </w:p>
    <w:p w14:paraId="049D978F" w14:textId="77777777" w:rsidR="00427CA7" w:rsidRPr="00DD7BD1" w:rsidRDefault="00427CA7" w:rsidP="00427CA7">
      <w:pPr>
        <w:pStyle w:val="NormalWeb"/>
        <w:shd w:val="clear" w:color="auto" w:fill="FFFFFF"/>
        <w:spacing w:before="0" w:beforeAutospacing="0" w:after="0" w:afterAutospacing="0"/>
        <w:rPr>
          <w:rFonts w:ascii="Calibri" w:hAnsi="Calibri" w:cs="Calibri"/>
          <w:sz w:val="16"/>
          <w:szCs w:val="16"/>
        </w:rPr>
      </w:pPr>
    </w:p>
    <w:p w14:paraId="2CCBFDDA" w14:textId="6F491E7E" w:rsidR="00427CA7" w:rsidRPr="00DD7BD1" w:rsidRDefault="00427CA7" w:rsidP="00427CA7">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u w:val="single"/>
        </w:rPr>
        <w:t>LA County</w:t>
      </w:r>
      <w:r w:rsidRPr="00DD7BD1">
        <w:rPr>
          <w:rFonts w:ascii="Calibri" w:hAnsi="Calibri" w:cs="Calibri"/>
          <w:color w:val="000000"/>
          <w:sz w:val="28"/>
          <w:szCs w:val="28"/>
        </w:rPr>
        <w:t xml:space="preserve"> Fair Chance Ordinance Applicable to Unincorporated Areas </w:t>
      </w:r>
    </w:p>
    <w:p w14:paraId="28D650D0"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Fair Chance Ordinance (FCO) applies to employers with </w:t>
      </w:r>
      <w:r w:rsidRPr="00DD7BD1">
        <w:rPr>
          <w:rStyle w:val="Strong"/>
          <w:rFonts w:ascii="Calibri" w:hAnsi="Calibri" w:cs="Calibri"/>
          <w:spacing w:val="3"/>
          <w:sz w:val="22"/>
          <w:szCs w:val="22"/>
        </w:rPr>
        <w:t>5 or more employees</w:t>
      </w:r>
      <w:r w:rsidRPr="00DD7BD1">
        <w:rPr>
          <w:rFonts w:ascii="Calibri" w:hAnsi="Calibri" w:cs="Calibri"/>
          <w:spacing w:val="3"/>
          <w:sz w:val="22"/>
          <w:szCs w:val="22"/>
        </w:rPr>
        <w:t> in </w:t>
      </w:r>
      <w:r w:rsidRPr="00DD7BD1">
        <w:rPr>
          <w:rStyle w:val="Strong"/>
          <w:rFonts w:ascii="Calibri" w:hAnsi="Calibri" w:cs="Calibri"/>
          <w:spacing w:val="3"/>
          <w:sz w:val="22"/>
          <w:szCs w:val="22"/>
        </w:rPr>
        <w:t>unincorporated areas of Los Angeles County</w:t>
      </w:r>
      <w:r w:rsidRPr="00DD7BD1">
        <w:rPr>
          <w:rFonts w:ascii="Calibri" w:hAnsi="Calibri" w:cs="Calibri"/>
          <w:spacing w:val="3"/>
          <w:sz w:val="22"/>
          <w:szCs w:val="22"/>
        </w:rPr>
        <w:t>.</w:t>
      </w:r>
    </w:p>
    <w:p w14:paraId="7BDF4594"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spacing w:val="3"/>
          <w:sz w:val="22"/>
          <w:szCs w:val="22"/>
        </w:rPr>
        <w:t>The ordinance takes effect </w:t>
      </w:r>
      <w:r w:rsidRPr="00DD7BD1">
        <w:rPr>
          <w:rStyle w:val="Strong"/>
          <w:rFonts w:ascii="Calibri" w:hAnsi="Calibri" w:cs="Calibri"/>
          <w:spacing w:val="3"/>
          <w:sz w:val="22"/>
          <w:szCs w:val="22"/>
        </w:rPr>
        <w:t>March 28, 2024</w:t>
      </w:r>
      <w:r w:rsidRPr="00DD7BD1">
        <w:rPr>
          <w:rFonts w:ascii="Calibri" w:hAnsi="Calibri" w:cs="Calibri"/>
          <w:spacing w:val="3"/>
          <w:sz w:val="22"/>
          <w:szCs w:val="22"/>
        </w:rPr>
        <w:t>, and is operative </w:t>
      </w:r>
      <w:r w:rsidRPr="00DD7BD1">
        <w:rPr>
          <w:rStyle w:val="Strong"/>
          <w:rFonts w:ascii="Calibri" w:hAnsi="Calibri" w:cs="Calibri"/>
          <w:spacing w:val="3"/>
          <w:sz w:val="22"/>
          <w:szCs w:val="22"/>
        </w:rPr>
        <w:t>September 3, 2024</w:t>
      </w:r>
      <w:r w:rsidRPr="00DD7BD1">
        <w:rPr>
          <w:rFonts w:ascii="Calibri" w:hAnsi="Calibri" w:cs="Calibri"/>
          <w:spacing w:val="3"/>
          <w:sz w:val="22"/>
          <w:szCs w:val="22"/>
        </w:rPr>
        <w:t>.</w:t>
      </w:r>
    </w:p>
    <w:p w14:paraId="3F7D3AB3"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 xml:space="preserve">The ordinance’s requirements </w:t>
      </w:r>
      <w:proofErr w:type="gramStart"/>
      <w:r w:rsidRPr="00DD7BD1">
        <w:rPr>
          <w:rFonts w:ascii="Calibri" w:hAnsi="Calibri" w:cs="Calibri"/>
          <w:spacing w:val="3"/>
          <w:sz w:val="22"/>
          <w:szCs w:val="22"/>
          <w:shd w:val="clear" w:color="auto" w:fill="FFFFFF"/>
        </w:rPr>
        <w:t>impacts</w:t>
      </w:r>
      <w:proofErr w:type="gramEnd"/>
      <w:r w:rsidRPr="00DD7BD1">
        <w:rPr>
          <w:rFonts w:ascii="Calibri" w:hAnsi="Calibri" w:cs="Calibri"/>
          <w:spacing w:val="3"/>
          <w:sz w:val="22"/>
          <w:szCs w:val="22"/>
          <w:shd w:val="clear" w:color="auto" w:fill="FFFFFF"/>
        </w:rPr>
        <w:t>:</w:t>
      </w:r>
    </w:p>
    <w:p w14:paraId="4241A94A"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Job Postings</w:t>
      </w:r>
    </w:p>
    <w:p w14:paraId="6C084190"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Background Checks</w:t>
      </w:r>
    </w:p>
    <w:p w14:paraId="13C82EAC" w14:textId="77777777" w:rsidR="00427CA7" w:rsidRPr="00DD7BD1" w:rsidRDefault="00427CA7">
      <w:pPr>
        <w:pStyle w:val="NormalWeb"/>
        <w:numPr>
          <w:ilvl w:val="0"/>
          <w:numId w:val="37"/>
        </w:numPr>
        <w:shd w:val="clear" w:color="auto" w:fill="FFFFFF"/>
        <w:spacing w:before="0" w:beforeAutospacing="0" w:after="0" w:afterAutospacing="0"/>
        <w:rPr>
          <w:rStyle w:val="Strong"/>
          <w:rFonts w:ascii="Calibri" w:hAnsi="Calibri" w:cs="Calibri"/>
          <w:b w:val="0"/>
          <w:bCs w:val="0"/>
          <w:spacing w:val="3"/>
          <w:sz w:val="22"/>
          <w:szCs w:val="22"/>
          <w:shd w:val="clear" w:color="auto" w:fill="FFFFFF"/>
        </w:rPr>
      </w:pPr>
      <w:r w:rsidRPr="00DD7BD1">
        <w:rPr>
          <w:rStyle w:val="Strong"/>
          <w:rFonts w:ascii="Calibri" w:hAnsi="Calibri" w:cs="Calibri"/>
          <w:b w:val="0"/>
          <w:bCs w:val="0"/>
          <w:spacing w:val="3"/>
          <w:sz w:val="22"/>
          <w:szCs w:val="22"/>
          <w:shd w:val="clear" w:color="auto" w:fill="FFFFFF"/>
        </w:rPr>
        <w:t>Preliminary Notice and Notice of Adverse Action</w:t>
      </w:r>
    </w:p>
    <w:p w14:paraId="01B32B9E"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rPr>
      </w:pPr>
      <w:r w:rsidRPr="00DD7BD1">
        <w:rPr>
          <w:rStyle w:val="Strong"/>
          <w:rFonts w:ascii="Calibri" w:hAnsi="Calibri" w:cs="Calibri"/>
          <w:b w:val="0"/>
          <w:bCs w:val="0"/>
          <w:spacing w:val="3"/>
          <w:sz w:val="22"/>
          <w:szCs w:val="22"/>
          <w:shd w:val="clear" w:color="auto" w:fill="FFFFFF"/>
        </w:rPr>
        <w:t>Recordkeeping</w:t>
      </w:r>
    </w:p>
    <w:p w14:paraId="28AC1D6E"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Impacted employer should access the March 13</w:t>
      </w:r>
      <w:r w:rsidRPr="00DD7BD1">
        <w:rPr>
          <w:rFonts w:ascii="Calibri" w:hAnsi="Calibri" w:cs="Calibri"/>
          <w:sz w:val="22"/>
          <w:szCs w:val="22"/>
          <w:vertAlign w:val="superscript"/>
        </w:rPr>
        <w:t>th</w:t>
      </w:r>
      <w:r w:rsidRPr="00DD7BD1">
        <w:rPr>
          <w:rFonts w:ascii="Calibri" w:hAnsi="Calibri" w:cs="Calibri"/>
          <w:sz w:val="22"/>
          <w:szCs w:val="22"/>
        </w:rPr>
        <w:t xml:space="preserve"> Jakson Lewis publication </w:t>
      </w:r>
      <w:hyperlink r:id="rId658"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or the LA County government website </w:t>
      </w:r>
      <w:hyperlink r:id="rId659"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to learn more.</w:t>
      </w:r>
    </w:p>
    <w:p w14:paraId="3BAFFCD9" w14:textId="2C9D46A6" w:rsidR="009040C5" w:rsidRPr="00DD7BD1" w:rsidRDefault="00BC2995" w:rsidP="00427CA7">
      <w:pPr>
        <w:pStyle w:val="NormalWeb"/>
        <w:shd w:val="clear" w:color="auto" w:fill="FFFFFF"/>
        <w:spacing w:before="0" w:beforeAutospacing="0" w:after="0" w:afterAutospacing="0"/>
        <w:rPr>
          <w:rFonts w:ascii="Calibri" w:hAnsi="Calibri" w:cs="Calibri"/>
          <w:color w:val="282828"/>
          <w:sz w:val="16"/>
          <w:szCs w:val="16"/>
        </w:rPr>
      </w:pPr>
      <w:r w:rsidRPr="00DD7BD1">
        <w:rPr>
          <w:rFonts w:ascii="Calibri" w:hAnsi="Calibri" w:cs="Calibri"/>
          <w:b/>
          <w:bCs/>
          <w:color w:val="2E74B5" w:themeColor="accent5" w:themeShade="BF"/>
          <w:sz w:val="28"/>
          <w:szCs w:val="28"/>
          <w:shd w:val="clear" w:color="auto" w:fill="FFFFFF"/>
          <w:lang w:val="en"/>
        </w:rPr>
        <w:t xml:space="preserve">   </w:t>
      </w:r>
    </w:p>
    <w:p w14:paraId="0254C6B7"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Style w:val="Strong"/>
          <w:rFonts w:ascii="Calibri" w:eastAsiaTheme="minorHAnsi" w:hAnsi="Calibri" w:cs="Calibri"/>
          <w:b/>
          <w:bCs/>
          <w:kern w:val="0"/>
          <w:sz w:val="28"/>
          <w:szCs w:val="28"/>
        </w:rPr>
        <w:t>Employers Must Notify California Employees of Void Non-Competes</w:t>
      </w:r>
    </w:p>
    <w:p w14:paraId="095804F8"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color w:val="292929"/>
          <w:spacing w:val="3"/>
          <w:highlight w:val="lightGray"/>
          <w:shd w:val="clear" w:color="auto" w:fill="FFFFFF"/>
        </w:rPr>
        <w:t>Employer Takeaway:</w:t>
      </w:r>
      <w:r w:rsidRPr="00DD7BD1">
        <w:rPr>
          <w:rFonts w:ascii="Calibri" w:hAnsi="Calibri" w:cs="Calibri"/>
          <w:b/>
          <w:bCs/>
          <w:color w:val="292929"/>
          <w:spacing w:val="3"/>
          <w:shd w:val="clear" w:color="auto" w:fill="FFFFFF"/>
        </w:rPr>
        <w:t xml:space="preserve"> </w:t>
      </w:r>
      <w:r w:rsidRPr="00DD7BD1">
        <w:rPr>
          <w:rFonts w:ascii="Calibri" w:hAnsi="Calibri" w:cs="Calibri"/>
          <w:spacing w:val="3"/>
          <w:shd w:val="clear" w:color="auto" w:fill="FFFFFF"/>
        </w:rPr>
        <w:t>Deadline for employers to give their California employees a notice that any non-compete agreements are void was February 14, 2024. (Employers who fail to give the notice could face $2,500 per violation plus sanctions.)</w:t>
      </w:r>
    </w:p>
    <w:p w14:paraId="10C35133" w14:textId="77777777" w:rsidR="009040C5" w:rsidRPr="00DD7BD1" w:rsidRDefault="009040C5" w:rsidP="009040C5">
      <w:pPr>
        <w:spacing w:after="0" w:line="240" w:lineRule="auto"/>
        <w:jc w:val="both"/>
        <w:rPr>
          <w:rFonts w:ascii="Calibri" w:hAnsi="Calibri" w:cs="Calibri"/>
          <w:b/>
          <w:bCs/>
          <w:color w:val="292929"/>
          <w:spacing w:val="3"/>
          <w:sz w:val="12"/>
          <w:szCs w:val="12"/>
          <w:highlight w:val="lightGray"/>
          <w:shd w:val="clear" w:color="auto" w:fill="FFFFFF"/>
        </w:rPr>
      </w:pPr>
    </w:p>
    <w:p w14:paraId="300ED75A"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spacing w:val="3"/>
          <w:highlight w:val="lightGray"/>
          <w:shd w:val="clear" w:color="auto" w:fill="FFFFFF"/>
        </w:rPr>
        <w:t>Learn More:</w:t>
      </w:r>
    </w:p>
    <w:p w14:paraId="44686D60" w14:textId="77777777" w:rsidR="009040C5" w:rsidRPr="00DD7BD1" w:rsidRDefault="009040C5" w:rsidP="009040C5">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DD7BD1">
        <w:rPr>
          <w:rFonts w:ascii="Calibri" w:hAnsi="Calibri" w:cs="Calibri"/>
          <w:spacing w:val="3"/>
          <w:u w:val="single"/>
          <w:shd w:val="clear" w:color="auto" w:fill="FFFFFF"/>
        </w:rPr>
        <w:t>any agreement which restrains someone “from engaging in a lawful profession, trade, or business” is against public policy and statutorily void</w:t>
      </w:r>
      <w:r w:rsidRPr="00DD7BD1">
        <w:rPr>
          <w:rFonts w:ascii="Calibri" w:hAnsi="Calibri" w:cs="Calibri"/>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DD7BD1" w:rsidRDefault="009040C5" w:rsidP="009040C5">
      <w:pPr>
        <w:spacing w:after="0" w:line="240" w:lineRule="auto"/>
        <w:jc w:val="both"/>
        <w:rPr>
          <w:rFonts w:ascii="Calibri" w:hAnsi="Calibri" w:cs="Calibri"/>
          <w:spacing w:val="3"/>
          <w:shd w:val="clear" w:color="auto" w:fill="FFFFFF"/>
        </w:rPr>
      </w:pPr>
    </w:p>
    <w:p w14:paraId="219AE18C" w14:textId="77777777" w:rsidR="009040C5" w:rsidRPr="00DD7BD1" w:rsidRDefault="009040C5" w:rsidP="009040C5">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DD7BD1" w:rsidRDefault="009040C5" w:rsidP="009040C5">
      <w:pPr>
        <w:pStyle w:val="Heading1"/>
        <w:shd w:val="clear" w:color="auto" w:fill="FFFFFF"/>
        <w:spacing w:before="0" w:beforeAutospacing="0" w:after="0" w:afterAutospacing="0"/>
        <w:rPr>
          <w:rFonts w:ascii="Calibri" w:hAnsi="Calibri" w:cs="Calibri"/>
          <w:color w:val="C00000"/>
          <w:sz w:val="16"/>
          <w:szCs w:val="16"/>
        </w:rPr>
      </w:pPr>
    </w:p>
    <w:p w14:paraId="76B49EF4" w14:textId="47CEED67" w:rsidR="009040C5" w:rsidRPr="00DD7BD1" w:rsidRDefault="009040C5" w:rsidP="009040C5">
      <w:pPr>
        <w:pStyle w:val="Heading1"/>
        <w:shd w:val="clear" w:color="auto" w:fill="FFFFFF"/>
        <w:spacing w:before="0" w:beforeAutospacing="0" w:after="0" w:afterAutospacing="0"/>
        <w:jc w:val="center"/>
        <w:rPr>
          <w:rStyle w:val="Strong"/>
          <w:rFonts w:ascii="Calibri" w:hAnsi="Calibri" w:cs="Calibri"/>
          <w:b/>
          <w:bCs/>
          <w:kern w:val="0"/>
          <w:sz w:val="28"/>
          <w:szCs w:val="28"/>
        </w:rPr>
      </w:pPr>
      <w:r w:rsidRPr="00DD7BD1">
        <w:rPr>
          <w:rFonts w:ascii="Calibri" w:hAnsi="Calibri" w:cs="Calibri"/>
          <w:sz w:val="28"/>
          <w:szCs w:val="28"/>
        </w:rPr>
        <w:t>N</w:t>
      </w:r>
      <w:r w:rsidRPr="00DD7BD1">
        <w:rPr>
          <w:rStyle w:val="Strong"/>
          <w:rFonts w:ascii="Calibri" w:hAnsi="Calibri" w:cs="Calibri"/>
          <w:b/>
          <w:bCs/>
          <w:kern w:val="0"/>
          <w:sz w:val="28"/>
          <w:szCs w:val="28"/>
        </w:rPr>
        <w:t>ew Workplace Violence Prevention Mandate</w:t>
      </w:r>
    </w:p>
    <w:p w14:paraId="0A42E7F0" w14:textId="77777777" w:rsidR="009040C5" w:rsidRPr="00DD7BD1" w:rsidRDefault="009040C5" w:rsidP="009040C5">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 xml:space="preserve">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 To learn more, access a recent McDermott, Will &amp; Emery Legal White Paper &amp; Special Report </w:t>
      </w:r>
      <w:hyperlink r:id="rId660" w:history="1">
        <w:r w:rsidRPr="00DD7BD1">
          <w:rPr>
            <w:rStyle w:val="Hyperlink"/>
            <w:rFonts w:ascii="Calibri" w:hAnsi="Calibri" w:cs="Calibri"/>
            <w:shd w:val="clear" w:color="auto" w:fill="FFFFFF"/>
          </w:rPr>
          <w:t>HERE</w:t>
        </w:r>
      </w:hyperlink>
    </w:p>
    <w:p w14:paraId="2BCC529D" w14:textId="5FDE40B0" w:rsidR="002006C2" w:rsidRPr="00DD7BD1" w:rsidRDefault="00BC2995" w:rsidP="008C6649">
      <w:pPr>
        <w:spacing w:after="0" w:line="240" w:lineRule="auto"/>
        <w:rPr>
          <w:rStyle w:val="Strong"/>
          <w:rFonts w:ascii="Calibri" w:hAnsi="Calibri" w:cs="Calibri"/>
          <w:color w:val="2E74B5" w:themeColor="accent5" w:themeShade="BF"/>
          <w:sz w:val="16"/>
          <w:szCs w:val="16"/>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                 </w:t>
      </w:r>
    </w:p>
    <w:p w14:paraId="7D8426F8" w14:textId="52088467" w:rsidR="00022BF0" w:rsidRPr="00DD7BD1" w:rsidRDefault="00022BF0" w:rsidP="008561D0">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Style w:val="Strong"/>
          <w:rFonts w:ascii="Calibri" w:eastAsia="Times New Roman" w:hAnsi="Calibri" w:cs="Calibri"/>
          <w:sz w:val="28"/>
          <w:szCs w:val="28"/>
        </w:rPr>
        <w:t>CA Labor Notice Reminders</w:t>
      </w:r>
    </w:p>
    <w:p w14:paraId="51D7E590" w14:textId="77777777" w:rsidR="00022BF0" w:rsidRPr="00DD7BD1" w:rsidRDefault="00022BF0" w:rsidP="00B06DBE">
      <w:pPr>
        <w:spacing w:after="0" w:line="240" w:lineRule="auto"/>
        <w:jc w:val="both"/>
        <w:rPr>
          <w:rFonts w:ascii="Calibri" w:hAnsi="Calibri" w:cs="Calibri"/>
          <w:color w:val="000000"/>
          <w:sz w:val="23"/>
          <w:szCs w:val="23"/>
          <w:shd w:val="clear" w:color="auto" w:fill="FFFFFF"/>
        </w:rPr>
      </w:pPr>
      <w:r w:rsidRPr="00DD7BD1">
        <w:rPr>
          <w:rStyle w:val="Strong"/>
          <w:rFonts w:ascii="Calibri" w:eastAsia="Times New Roman" w:hAnsi="Calibri" w:cs="Calibri"/>
          <w:sz w:val="23"/>
          <w:szCs w:val="23"/>
        </w:rPr>
        <w:t>Updated § 2810.5 Notice</w:t>
      </w:r>
    </w:p>
    <w:p w14:paraId="628EADB0" w14:textId="77777777" w:rsidR="00022BF0"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March 1, 2024. The current notice is located </w:t>
      </w:r>
      <w:hyperlink r:id="rId661"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hyperlink r:id="rId662" w:tgtFrame="_blank" w:history="1">
        <w:r w:rsidRPr="00DD7BD1">
          <w:rPr>
            <w:rStyle w:val="Hyperlink"/>
            <w:rFonts w:ascii="Calibri" w:hAnsi="Calibri" w:cs="Calibri"/>
            <w:sz w:val="22"/>
            <w:szCs w:val="22"/>
          </w:rPr>
          <w:t>CA AB 636</w:t>
        </w:r>
      </w:hyperlink>
      <w:r w:rsidRPr="00DD7BD1">
        <w:rPr>
          <w:rFonts w:ascii="Calibri" w:hAnsi="Calibri" w:cs="Calibri"/>
          <w:color w:val="282828"/>
          <w:sz w:val="22"/>
          <w:szCs w:val="22"/>
        </w:rPr>
        <w:t> </w:t>
      </w:r>
      <w:r w:rsidRPr="00DD7BD1">
        <w:rPr>
          <w:rFonts w:ascii="Calibri" w:hAnsi="Calibri" w:cs="Calibri"/>
          <w:sz w:val="22"/>
          <w:szCs w:val="22"/>
        </w:rPr>
        <w:t>was signed by the governor on October 8, 2023)</w:t>
      </w:r>
    </w:p>
    <w:p w14:paraId="33D66439" w14:textId="77777777" w:rsidR="008561D0" w:rsidRPr="00DD7BD1" w:rsidRDefault="008561D0" w:rsidP="008561D0">
      <w:pPr>
        <w:pStyle w:val="NormalWeb"/>
        <w:shd w:val="clear" w:color="auto" w:fill="FFFFFF"/>
        <w:spacing w:before="0" w:beforeAutospacing="0" w:after="0" w:afterAutospacing="0"/>
        <w:jc w:val="both"/>
        <w:rPr>
          <w:rFonts w:ascii="Calibri" w:hAnsi="Calibri" w:cs="Calibri"/>
          <w:sz w:val="16"/>
          <w:szCs w:val="16"/>
        </w:rPr>
      </w:pPr>
    </w:p>
    <w:p w14:paraId="16AA13C1" w14:textId="77777777" w:rsidR="00022BF0" w:rsidRPr="00DD7BD1" w:rsidRDefault="00022BF0" w:rsidP="008561D0">
      <w:pPr>
        <w:pStyle w:val="Heading1"/>
        <w:shd w:val="clear" w:color="auto" w:fill="FFFFFF"/>
        <w:spacing w:before="0" w:beforeAutospacing="0" w:after="0" w:afterAutospacing="0"/>
        <w:rPr>
          <w:rStyle w:val="Strong"/>
          <w:rFonts w:ascii="Calibri" w:hAnsi="Calibri" w:cs="Calibri"/>
          <w:b/>
          <w:bCs/>
          <w:kern w:val="0"/>
          <w:sz w:val="23"/>
          <w:szCs w:val="23"/>
        </w:rPr>
      </w:pPr>
      <w:r w:rsidRPr="00DD7BD1">
        <w:rPr>
          <w:rStyle w:val="Strong"/>
          <w:rFonts w:ascii="Calibri" w:hAnsi="Calibri" w:cs="Calibri"/>
          <w:b/>
          <w:bCs/>
          <w:kern w:val="0"/>
          <w:sz w:val="23"/>
          <w:szCs w:val="23"/>
        </w:rPr>
        <w:t>New Notice Requirement for New Hires</w:t>
      </w:r>
    </w:p>
    <w:p w14:paraId="538A7135" w14:textId="4CDC8CB8" w:rsidR="001A2C87"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663" w:tgtFrame="_blank" w:history="1">
        <w:r w:rsidRPr="00DD7BD1">
          <w:rPr>
            <w:rStyle w:val="Hyperlink"/>
            <w:rFonts w:ascii="Calibri" w:hAnsi="Calibri" w:cs="Calibri"/>
            <w:sz w:val="22"/>
            <w:szCs w:val="22"/>
          </w:rPr>
          <w:t>NOTICE TO EMPLOYEE</w:t>
        </w:r>
      </w:hyperlink>
      <w:r w:rsidRPr="00DD7BD1">
        <w:rPr>
          <w:rFonts w:ascii="Calibri" w:hAnsi="Calibri" w:cs="Calibri"/>
          <w:color w:val="282828"/>
          <w:sz w:val="22"/>
          <w:szCs w:val="22"/>
        </w:rPr>
        <w:t> </w:t>
      </w:r>
      <w:r w:rsidRPr="00DD7BD1">
        <w:rPr>
          <w:rFonts w:ascii="Calibri" w:hAnsi="Calibri" w:cs="Calibri"/>
          <w:sz w:val="22"/>
          <w:szCs w:val="22"/>
        </w:rPr>
        <w:t>template.</w:t>
      </w:r>
    </w:p>
    <w:p w14:paraId="304696B3" w14:textId="77777777" w:rsidR="00022BF0" w:rsidRPr="00DD7BD1" w:rsidRDefault="00022BF0" w:rsidP="00022BF0">
      <w:pPr>
        <w:pStyle w:val="NormalWeb"/>
        <w:shd w:val="clear" w:color="auto" w:fill="FFFFFF"/>
        <w:spacing w:before="0" w:beforeAutospacing="0" w:after="0" w:afterAutospacing="0"/>
        <w:rPr>
          <w:rFonts w:ascii="Calibri" w:hAnsi="Calibri" w:cs="Calibri"/>
          <w:sz w:val="12"/>
          <w:szCs w:val="12"/>
        </w:rPr>
      </w:pPr>
    </w:p>
    <w:p w14:paraId="1F102420" w14:textId="04F19A23" w:rsidR="00022BF0" w:rsidRPr="00DD7BD1" w:rsidRDefault="00022BF0" w:rsidP="00022BF0">
      <w:pPr>
        <w:shd w:val="clear" w:color="auto" w:fill="FFFFFF"/>
        <w:spacing w:after="0" w:line="240" w:lineRule="auto"/>
        <w:jc w:val="center"/>
        <w:rPr>
          <w:rStyle w:val="typographytype-sc-ws1d2d-0"/>
          <w:rFonts w:ascii="Calibri" w:hAnsi="Calibri" w:cs="Calibri"/>
          <w:color w:val="282828"/>
        </w:rPr>
      </w:pPr>
      <w:r w:rsidRPr="00DD7BD1">
        <w:rPr>
          <w:rStyle w:val="Strong"/>
          <w:rFonts w:ascii="Calibri" w:eastAsia="Times New Roman" w:hAnsi="Calibri" w:cs="Calibri"/>
          <w:sz w:val="28"/>
          <w:szCs w:val="28"/>
        </w:rPr>
        <w:t>California Updates Criminal History Regulations</w:t>
      </w:r>
    </w:p>
    <w:p w14:paraId="4946A3F6"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If an applicant voluntarily discloses their criminal history, employers can’t consider that information until after a conditional job offer is made (assuming the record can be considered at all).  </w:t>
      </w:r>
    </w:p>
    <w:p w14:paraId="0BBF26F4"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 but don’t have to, use the </w:t>
      </w:r>
      <w:hyperlink r:id="rId664" w:tgtFrame="_blank" w:history="1">
        <w:r w:rsidRPr="00DD7BD1">
          <w:rPr>
            <w:rStyle w:val="Hyperlink"/>
            <w:rFonts w:ascii="Calibri" w:eastAsia="Times New Roman" w:hAnsi="Calibri" w:cs="Calibri"/>
          </w:rPr>
          <w:t>sample notices</w:t>
        </w:r>
      </w:hyperlink>
      <w:r w:rsidRPr="00DD7BD1">
        <w:rPr>
          <w:rFonts w:ascii="Calibri" w:hAnsi="Calibri" w:cs="Calibri"/>
          <w:color w:val="282828"/>
        </w:rPr>
        <w:t> </w:t>
      </w:r>
      <w:r w:rsidRPr="00DD7BD1">
        <w:rPr>
          <w:rFonts w:ascii="Calibri" w:hAnsi="Calibri" w:cs="Calibri"/>
        </w:rPr>
        <w:t>provided by the California Civil Rights Department when communicating with applicants about employment decisions based on criminal history. </w:t>
      </w:r>
    </w:p>
    <w:p w14:paraId="7CFB6889"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665"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p>
    <w:p w14:paraId="2CA762F1"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1CB9ECD7" w14:textId="77777777" w:rsidR="00CD70B8" w:rsidRPr="00DD7BD1" w:rsidRDefault="00CD70B8"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209A4733" w14:textId="21B74C41" w:rsidR="00A942A1" w:rsidRPr="00752A36" w:rsidRDefault="00022BF0" w:rsidP="00752A36">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Colorado</w:t>
      </w:r>
    </w:p>
    <w:p w14:paraId="63088A45" w14:textId="77777777" w:rsidR="00565EB8" w:rsidRDefault="00565EB8" w:rsidP="00565EB8">
      <w:pPr>
        <w:rPr>
          <w:b/>
          <w:bCs/>
          <w:caps/>
          <w:noProof/>
          <w:color w:val="0E425C"/>
          <w:sz w:val="26"/>
          <w:szCs w:val="26"/>
        </w:rPr>
      </w:pPr>
      <w:r w:rsidRPr="00650968">
        <w:rPr>
          <w:b/>
          <w:bCs/>
          <w:caps/>
          <w:color w:val="0070C0"/>
          <w:sz w:val="26"/>
          <w:szCs w:val="26"/>
        </w:rPr>
        <w:t xml:space="preserve">New! </w:t>
      </w:r>
      <w:r w:rsidRPr="00650968">
        <w:rPr>
          <w:b/>
          <w:bCs/>
          <w:caps/>
          <w:noProof/>
          <w:color w:val="0E425C"/>
          <w:sz w:val="26"/>
          <w:szCs w:val="26"/>
        </w:rPr>
        <w:t>State’s Protections Regarding Seizures of Identification Documents Effective</w:t>
      </w:r>
      <w:r w:rsidRPr="00650968">
        <w:rPr>
          <w:b/>
          <w:bCs/>
          <w:caps/>
          <w:color w:val="0070C0"/>
          <w:sz w:val="26"/>
          <w:szCs w:val="26"/>
        </w:rPr>
        <w:t xml:space="preserve"> August 12, 2026</w:t>
      </w:r>
    </w:p>
    <w:p w14:paraId="59AD66E9" w14:textId="77777777" w:rsidR="00565EB8" w:rsidRDefault="00565EB8" w:rsidP="00565EB8">
      <w:pPr>
        <w:rPr>
          <w:rFonts w:eastAsia="Times New Roman"/>
          <w:sz w:val="26"/>
          <w:szCs w:val="26"/>
        </w:rPr>
      </w:pPr>
      <w:r>
        <w:rPr>
          <w:rFonts w:eastAsia="Times New Roman"/>
          <w:sz w:val="26"/>
          <w:szCs w:val="26"/>
        </w:rPr>
        <w:t>The state</w:t>
      </w:r>
      <w:r w:rsidRPr="009C1EEC">
        <w:rPr>
          <w:rFonts w:eastAsia="Times New Roman"/>
          <w:sz w:val="26"/>
          <w:szCs w:val="26"/>
        </w:rPr>
        <w:t xml:space="preserve"> has enacted House Bill 26-1283, “</w:t>
      </w:r>
      <w:r w:rsidRPr="009C1EEC">
        <w:rPr>
          <w:rFonts w:eastAsia="Times New Roman"/>
          <w:i/>
          <w:iCs/>
          <w:sz w:val="26"/>
          <w:szCs w:val="26"/>
        </w:rPr>
        <w:t>Protections Regarding Seizures of Identification Documents</w:t>
      </w:r>
      <w:r w:rsidRPr="009C1EEC">
        <w:rPr>
          <w:rFonts w:eastAsia="Times New Roman"/>
          <w:sz w:val="26"/>
          <w:szCs w:val="26"/>
        </w:rPr>
        <w:t>,” establishing new restrictions on how employers may handle government-issued identification documents</w:t>
      </w:r>
      <w:r>
        <w:rPr>
          <w:rFonts w:eastAsia="Times New Roman"/>
          <w:sz w:val="26"/>
          <w:szCs w:val="26"/>
        </w:rPr>
        <w:t xml:space="preserve"> </w:t>
      </w:r>
      <w:r w:rsidRPr="009C1EEC">
        <w:rPr>
          <w:rFonts w:eastAsia="Times New Roman"/>
          <w:sz w:val="26"/>
          <w:szCs w:val="26"/>
        </w:rPr>
        <w:t xml:space="preserve">and creates an additional compliance consideration for employers conducting onboarding and employment </w:t>
      </w:r>
      <w:r w:rsidRPr="009C1EEC">
        <w:rPr>
          <w:rFonts w:eastAsia="Times New Roman"/>
          <w:sz w:val="26"/>
          <w:szCs w:val="26"/>
        </w:rPr>
        <w:lastRenderedPageBreak/>
        <w:t>eligibility verification.</w:t>
      </w:r>
      <w:r>
        <w:rPr>
          <w:rFonts w:eastAsia="Times New Roman"/>
          <w:sz w:val="26"/>
          <w:szCs w:val="26"/>
        </w:rPr>
        <w:t xml:space="preserve"> </w:t>
      </w:r>
      <w:r w:rsidRPr="009C1EEC">
        <w:rPr>
          <w:rFonts w:eastAsia="Times New Roman"/>
          <w:sz w:val="26"/>
          <w:szCs w:val="26"/>
        </w:rPr>
        <w:t>HB26-1283 prohibits an employer or its agents from demanding, confiscating, retaining, or otherwise requiring employees, applicants, migrant workers, seasonal workers, or other individuals seeking work to surrender a government-issued identification document, subject to limited exceptions established by law. </w:t>
      </w:r>
    </w:p>
    <w:p w14:paraId="6C51DD6C" w14:textId="77777777" w:rsidR="00565EB8" w:rsidRDefault="00565EB8" w:rsidP="00565EB8">
      <w:pPr>
        <w:rPr>
          <w:rFonts w:eastAsia="Times New Roman"/>
          <w:sz w:val="26"/>
          <w:szCs w:val="26"/>
        </w:rPr>
      </w:pPr>
      <w:r w:rsidRPr="00971BEF">
        <w:rPr>
          <w:rFonts w:eastAsia="Times New Roman"/>
          <w:sz w:val="26"/>
          <w:szCs w:val="26"/>
        </w:rPr>
        <w:t>HB26-1283 does not prohibit employers from examining original government-issued identity documents or making copies when permitted by law. Rather, it permits employers to temporarily retain an original government-issued identification document for up to 10 hours to verify employment eligibility and make a copy. </w:t>
      </w:r>
    </w:p>
    <w:p w14:paraId="1BA85DD7" w14:textId="77777777" w:rsidR="00565EB8" w:rsidRPr="00971BEF" w:rsidRDefault="00565EB8" w:rsidP="00565EB8">
      <w:pPr>
        <w:rPr>
          <w:rFonts w:eastAsia="Times New Roman"/>
          <w:sz w:val="26"/>
          <w:szCs w:val="26"/>
          <w:u w:val="single"/>
        </w:rPr>
      </w:pPr>
      <w:r>
        <w:rPr>
          <w:rFonts w:eastAsia="Times New Roman"/>
          <w:sz w:val="26"/>
          <w:szCs w:val="26"/>
        </w:rPr>
        <w:t>T</w:t>
      </w:r>
      <w:r w:rsidRPr="00971BEF">
        <w:rPr>
          <w:rFonts w:eastAsia="Times New Roman"/>
          <w:sz w:val="26"/>
          <w:szCs w:val="26"/>
        </w:rPr>
        <w:t>here is one additional obligation that will impact employment eligibility verification. When verifying an individual’s employment eligibility</w:t>
      </w:r>
      <w:r w:rsidRPr="00971BEF">
        <w:rPr>
          <w:rFonts w:eastAsia="Times New Roman"/>
          <w:sz w:val="26"/>
          <w:szCs w:val="26"/>
          <w:u w:val="single"/>
        </w:rPr>
        <w:t>, Colorado employers must provide a written notice informing the individual of the statute’s prohibition on confiscating or improperly retaining government-issued identification documents</w:t>
      </w:r>
      <w:r w:rsidRPr="00971BEF">
        <w:rPr>
          <w:rFonts w:eastAsia="Times New Roman"/>
          <w:sz w:val="26"/>
          <w:szCs w:val="26"/>
        </w:rPr>
        <w:t xml:space="preserve"> and</w:t>
      </w:r>
      <w:r w:rsidRPr="00971BEF">
        <w:rPr>
          <w:rFonts w:eastAsia="Times New Roman"/>
          <w:sz w:val="26"/>
          <w:szCs w:val="26"/>
          <w:u w:val="single"/>
        </w:rPr>
        <w:t xml:space="preserve"> obtain the individual’s </w:t>
      </w:r>
      <w:r w:rsidRPr="00971BEF">
        <w:rPr>
          <w:rFonts w:eastAsia="Times New Roman"/>
          <w:b/>
          <w:bCs/>
          <w:sz w:val="26"/>
          <w:szCs w:val="26"/>
          <w:u w:val="single"/>
        </w:rPr>
        <w:t>written acknowledgment</w:t>
      </w:r>
      <w:r w:rsidRPr="00971BEF">
        <w:rPr>
          <w:rFonts w:eastAsia="Times New Roman"/>
          <w:sz w:val="26"/>
          <w:szCs w:val="26"/>
          <w:u w:val="single"/>
        </w:rPr>
        <w:t>.</w:t>
      </w:r>
      <w:r w:rsidRPr="00971BEF">
        <w:rPr>
          <w:rFonts w:eastAsia="Times New Roman"/>
          <w:sz w:val="26"/>
          <w:szCs w:val="26"/>
        </w:rPr>
        <w:t xml:space="preserve"> This written acknowledgement is then required to be </w:t>
      </w:r>
      <w:r w:rsidRPr="00971BEF">
        <w:rPr>
          <w:rFonts w:eastAsia="Times New Roman"/>
          <w:sz w:val="26"/>
          <w:szCs w:val="26"/>
          <w:u w:val="single"/>
        </w:rPr>
        <w:t xml:space="preserve">retained in the </w:t>
      </w:r>
      <w:r w:rsidRPr="00971BEF">
        <w:rPr>
          <w:rFonts w:eastAsia="Times New Roman"/>
          <w:b/>
          <w:bCs/>
          <w:sz w:val="26"/>
          <w:szCs w:val="26"/>
          <w:u w:val="single"/>
        </w:rPr>
        <w:t>employee’s employment file.</w:t>
      </w:r>
      <w:r w:rsidRPr="00971BEF">
        <w:rPr>
          <w:rFonts w:eastAsia="Times New Roman"/>
          <w:sz w:val="26"/>
          <w:szCs w:val="26"/>
          <w:u w:val="single"/>
        </w:rPr>
        <w:t> </w:t>
      </w:r>
    </w:p>
    <w:p w14:paraId="0DF0F5A1" w14:textId="3893FAEB" w:rsidR="00565EB8" w:rsidRPr="009C1EEC" w:rsidRDefault="00565EB8" w:rsidP="00565EB8">
      <w:pPr>
        <w:rPr>
          <w:rFonts w:eastAsia="Times New Roman"/>
          <w:sz w:val="26"/>
          <w:szCs w:val="26"/>
        </w:rPr>
      </w:pPr>
      <w:r w:rsidRPr="00971BEF">
        <w:rPr>
          <w:rFonts w:eastAsia="Times New Roman"/>
          <w:b/>
          <w:bCs/>
          <w:sz w:val="26"/>
          <w:szCs w:val="26"/>
          <w:highlight w:val="lightGray"/>
        </w:rPr>
        <w:t>Employer Takeaway</w:t>
      </w:r>
      <w:r>
        <w:rPr>
          <w:rFonts w:eastAsia="Times New Roman"/>
          <w:sz w:val="26"/>
          <w:szCs w:val="26"/>
        </w:rPr>
        <w:t>: Employers are advised to adjust their employee onboarding process to ensure compliance with this new regulation.</w:t>
      </w:r>
    </w:p>
    <w:p w14:paraId="700BDDCE" w14:textId="77777777" w:rsidR="00565EB8" w:rsidRDefault="00565EB8" w:rsidP="00565EB8">
      <w:r>
        <w:rPr>
          <w:b/>
          <w:bCs/>
          <w:caps/>
          <w:color w:val="0E425C"/>
          <w:sz w:val="28"/>
          <w:szCs w:val="28"/>
        </w:rPr>
        <w:t xml:space="preserve">SAMPLE Employee Ackowledgement: </w:t>
      </w:r>
      <w:r w:rsidRPr="00650968">
        <w:rPr>
          <w:b/>
          <w:bCs/>
          <w:caps/>
          <w:sz w:val="28"/>
          <w:szCs w:val="28"/>
        </w:rPr>
        <w:t>Colorado HB 26-1283 Employee Notice and Acknowledgment: Government-Issued Identification Documents</w:t>
      </w:r>
    </w:p>
    <w:p w14:paraId="12490A25" w14:textId="77777777" w:rsidR="00565EB8" w:rsidRDefault="00565EB8" w:rsidP="00565EB8">
      <w:r>
        <w:rPr>
          <w:sz w:val="26"/>
          <w:szCs w:val="26"/>
        </w:rPr>
        <w:t>Colorado House Bill 26-1283, “Protections Regarding Seizures of Identification Documents,” prohibits an employer or an employer’s agent from demanding, confiscating, retaining, or otherwise requiring an individual who is an employee, applicant for employment, migrant worker, seasonal worker, or other individual performing or seeking to perform work to surrender a government-issued identification document, except as permitted by law.</w:t>
      </w:r>
    </w:p>
    <w:p w14:paraId="1716ECE9" w14:textId="77777777" w:rsidR="00565EB8" w:rsidRDefault="00565EB8" w:rsidP="00565EB8">
      <w:r>
        <w:rPr>
          <w:sz w:val="26"/>
          <w:szCs w:val="26"/>
        </w:rPr>
        <w:t>This prohibition does not prevent the Company from examining original identification documents, making copies when permitted by law, or temporarily retaining an original government-issued identification document for no more than 10 hours for the limited purpose of verifying employment eligibility and making a copy.</w:t>
      </w:r>
    </w:p>
    <w:p w14:paraId="658B5459" w14:textId="77777777" w:rsidR="00565EB8" w:rsidRDefault="00565EB8" w:rsidP="00565EB8">
      <w:r>
        <w:rPr>
          <w:sz w:val="26"/>
          <w:szCs w:val="26"/>
        </w:rPr>
        <w:t>If the Company knows that an individual’s primary language is not English, this notice should also be provided in the individual’s primary language. The Company will retain the signed acknowledgment in the employee’s employment file.</w:t>
      </w:r>
    </w:p>
    <w:p w14:paraId="2D2FD2E5" w14:textId="77777777" w:rsidR="00565EB8" w:rsidRDefault="00565EB8" w:rsidP="00565EB8">
      <w:r>
        <w:rPr>
          <w:b/>
          <w:bCs/>
          <w:sz w:val="26"/>
          <w:szCs w:val="26"/>
          <w:shd w:val="clear" w:color="auto" w:fill="D3D3D3"/>
        </w:rPr>
        <w:t>Acknowledgment:</w:t>
      </w:r>
      <w:r>
        <w:rPr>
          <w:sz w:val="26"/>
          <w:szCs w:val="26"/>
        </w:rPr>
        <w:t xml:space="preserve"> I acknowledge that I have received this written notice regarding Colorado HB 26-1283 and understand that the Company is prohibited from confiscating or improperly retaining my government-issued identification documents, except as permitted by law.</w:t>
      </w:r>
    </w:p>
    <w:p w14:paraId="1EBA58A3" w14:textId="77777777" w:rsidR="00565EB8" w:rsidRDefault="00565EB8" w:rsidP="00565EB8">
      <w:r>
        <w:rPr>
          <w:sz w:val="26"/>
          <w:szCs w:val="26"/>
        </w:rPr>
        <w:t>Individual Name: ________________________________________________</w:t>
      </w:r>
    </w:p>
    <w:p w14:paraId="6DE71697" w14:textId="77777777" w:rsidR="00565EB8" w:rsidRDefault="00565EB8" w:rsidP="00565EB8">
      <w:r>
        <w:rPr>
          <w:sz w:val="26"/>
          <w:szCs w:val="26"/>
        </w:rPr>
        <w:t>Signature: _______________________________________________________</w:t>
      </w:r>
    </w:p>
    <w:p w14:paraId="555A9398" w14:textId="77777777" w:rsidR="00565EB8" w:rsidRDefault="00565EB8" w:rsidP="00565EB8">
      <w:r>
        <w:rPr>
          <w:sz w:val="26"/>
          <w:szCs w:val="26"/>
        </w:rPr>
        <w:lastRenderedPageBreak/>
        <w:t>Date: __________________________</w:t>
      </w:r>
    </w:p>
    <w:p w14:paraId="5127C980" w14:textId="77777777" w:rsidR="00565EB8" w:rsidRDefault="00565EB8" w:rsidP="00A942A1">
      <w:pPr>
        <w:spacing w:after="0" w:line="240" w:lineRule="auto"/>
        <w:rPr>
          <w:b/>
          <w:bCs/>
          <w:caps/>
          <w:color w:val="0070C0"/>
          <w:sz w:val="26"/>
          <w:szCs w:val="26"/>
        </w:rPr>
      </w:pPr>
    </w:p>
    <w:p w14:paraId="5675D4E5" w14:textId="37BFB8F8" w:rsidR="00A942A1" w:rsidRPr="001578A1" w:rsidRDefault="00A942A1" w:rsidP="00A942A1">
      <w:pPr>
        <w:spacing w:after="0" w:line="240" w:lineRule="auto"/>
        <w:rPr>
          <w:b/>
          <w:bCs/>
          <w:caps/>
          <w:noProof/>
          <w:color w:val="0E425C"/>
          <w:sz w:val="28"/>
          <w:szCs w:val="28"/>
          <w:u w:val="single"/>
        </w:rPr>
      </w:pPr>
      <w:r w:rsidRPr="001578A1">
        <w:rPr>
          <w:b/>
          <w:bCs/>
          <w:caps/>
          <w:color w:val="0070C0"/>
          <w:sz w:val="26"/>
          <w:szCs w:val="26"/>
        </w:rPr>
        <w:t>New!</w:t>
      </w:r>
      <w:r w:rsidRPr="001578A1">
        <w:rPr>
          <w:b/>
          <w:bCs/>
          <w:caps/>
          <w:noProof/>
          <w:color w:val="0E425C"/>
          <w:sz w:val="26"/>
          <w:szCs w:val="26"/>
        </w:rPr>
        <w:t xml:space="preserve"> State Enacts AI Regulations Effective </w:t>
      </w:r>
      <w:r w:rsidRPr="001578A1">
        <w:rPr>
          <w:b/>
          <w:bCs/>
          <w:caps/>
          <w:color w:val="0070C0"/>
          <w:sz w:val="26"/>
          <w:szCs w:val="26"/>
        </w:rPr>
        <w:t>October 1, 2026</w:t>
      </w:r>
    </w:p>
    <w:p w14:paraId="01752A9D" w14:textId="77777777" w:rsidR="00A942A1" w:rsidRDefault="00A942A1" w:rsidP="00A942A1">
      <w:pPr>
        <w:spacing w:after="0" w:line="240" w:lineRule="auto"/>
        <w:rPr>
          <w:rFonts w:eastAsia="Times New Roman"/>
        </w:rPr>
      </w:pPr>
      <w:r w:rsidRPr="00AC734D">
        <w:rPr>
          <w:rFonts w:eastAsia="Times New Roman"/>
        </w:rPr>
        <w:t xml:space="preserve">On June 2, 2026, the Governor signed Senate Bill 5 into law, designated as Public Act 26-15 </w:t>
      </w:r>
      <w:proofErr w:type="gramStart"/>
      <w:r w:rsidRPr="00AC734D">
        <w:rPr>
          <w:rFonts w:eastAsia="Times New Roman"/>
        </w:rPr>
        <w:t>and also</w:t>
      </w:r>
      <w:proofErr w:type="gramEnd"/>
      <w:r w:rsidRPr="00AC734D">
        <w:rPr>
          <w:rFonts w:eastAsia="Times New Roman"/>
        </w:rPr>
        <w:t xml:space="preserve"> known as the</w:t>
      </w:r>
      <w:r w:rsidRPr="004D692C">
        <w:rPr>
          <w:rFonts w:eastAsia="Times New Roman"/>
        </w:rPr>
        <w:t xml:space="preserve"> </w:t>
      </w:r>
      <w:hyperlink r:id="rId666" w:history="1">
        <w:r w:rsidRPr="004D692C">
          <w:rPr>
            <w:rStyle w:val="Hyperlink"/>
            <w:rFonts w:eastAsia="Times New Roman"/>
          </w:rPr>
          <w:t>Connecticut Artificial Intelligence Responsibility and Transparency Act</w:t>
        </w:r>
      </w:hyperlink>
      <w:r w:rsidRPr="004D692C">
        <w:rPr>
          <w:rFonts w:eastAsia="Times New Roman"/>
        </w:rPr>
        <w:t xml:space="preserve"> </w:t>
      </w:r>
      <w:r w:rsidRPr="00AC734D">
        <w:rPr>
          <w:rFonts w:eastAsia="Times New Roman"/>
        </w:rPr>
        <w:t>(the “CART Act”). </w:t>
      </w:r>
    </w:p>
    <w:p w14:paraId="06F07F36" w14:textId="77777777" w:rsidR="00A942A1" w:rsidRPr="004D692C" w:rsidRDefault="00A942A1" w:rsidP="00A942A1">
      <w:pPr>
        <w:spacing w:after="0" w:line="240" w:lineRule="auto"/>
        <w:rPr>
          <w:rFonts w:eastAsia="Times New Roman"/>
          <w:b/>
          <w:bCs/>
        </w:rPr>
      </w:pPr>
      <w:r w:rsidRPr="004D692C">
        <w:rPr>
          <w:rFonts w:eastAsia="Times New Roman"/>
        </w:rPr>
        <w:t>The CART Act is among the most comprehensive state AI laws enacted to date, creating distinct obligations for employment-related automated decision tools, consumer chatbots, frontier-model developers, generative-AI provenance, and online platforms used by minors, while also addressing AI applications in healthcare through targeted carveouts and innovation initiatives.</w:t>
      </w:r>
      <w:r w:rsidRPr="004D692C">
        <w:rPr>
          <w:rFonts w:eastAsia="Times New Roman"/>
          <w:b/>
          <w:bCs/>
        </w:rPr>
        <w:t xml:space="preserve"> </w:t>
      </w:r>
    </w:p>
    <w:p w14:paraId="534CFA9B" w14:textId="77777777" w:rsidR="00A942A1" w:rsidRDefault="00A942A1" w:rsidP="00A942A1">
      <w:pPr>
        <w:spacing w:after="0" w:line="240" w:lineRule="auto"/>
        <w:rPr>
          <w:rFonts w:eastAsia="Times New Roman"/>
        </w:rPr>
      </w:pPr>
      <w:r w:rsidRPr="004D692C">
        <w:rPr>
          <w:rFonts w:eastAsia="Times New Roman"/>
        </w:rPr>
        <w:t>For businesses operating in Connecticut, the Act’s most immediate operational impact is likely to be in employment and workforce decision-making. Employers using AI in hiring or personnel management will face new disclosure obligations and, when issuing mass-layoff notices, must disclose whether AI informed the decision. </w:t>
      </w:r>
    </w:p>
    <w:p w14:paraId="4B36F64B" w14:textId="77777777" w:rsidR="00A942A1" w:rsidRPr="00DB7DE9" w:rsidRDefault="00A942A1" w:rsidP="00A942A1">
      <w:pPr>
        <w:spacing w:after="0" w:line="240" w:lineRule="auto"/>
        <w:rPr>
          <w:rFonts w:eastAsia="Times New Roman"/>
        </w:rPr>
      </w:pPr>
      <w:r w:rsidRPr="00DB7DE9">
        <w:rPr>
          <w:rFonts w:eastAsia="Times New Roman"/>
        </w:rPr>
        <w:t>The following are key compliance deadlines under the CART Act:</w:t>
      </w:r>
    </w:p>
    <w:p w14:paraId="169385A6"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October 1, 2026:</w:t>
      </w:r>
      <w:r w:rsidRPr="00DB7DE9">
        <w:rPr>
          <w:rFonts w:eastAsia="Times New Roman"/>
        </w:rPr>
        <w:t> AEDT statutory framework takes effect, including definitions, enforcement structure, trade-secret limitations, and amendments providing that use of an AEDT is not a defense to employment-discrimination claims. Frontier developer non-retaliation obligations and synthetic content provenance obligations also take effect.</w:t>
      </w:r>
    </w:p>
    <w:p w14:paraId="347AE216"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January 1, 2027:</w:t>
      </w:r>
      <w:r w:rsidRPr="00DB7DE9">
        <w:rPr>
          <w:rFonts w:eastAsia="Times New Roman"/>
        </w:rPr>
        <w:t> AI companion framework takes effect; large frontier developers must implement anonymous internal reporting channels, with at-least-quarterly officer-and-director reporting thereafter.</w:t>
      </w:r>
    </w:p>
    <w:p w14:paraId="694022FB"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October 1, 2027:</w:t>
      </w:r>
      <w:r w:rsidRPr="00DB7DE9">
        <w:rPr>
          <w:rFonts w:eastAsia="Times New Roman"/>
        </w:rPr>
        <w:t> Principal AEDT compliance obligations apply to covered AEDT deployments, including interaction disclosures and pre-decision written notices.</w:t>
      </w:r>
    </w:p>
    <w:p w14:paraId="5C8AF1D7"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December 31, 2027:</w:t>
      </w:r>
      <w:r w:rsidRPr="00DB7DE9">
        <w:rPr>
          <w:rFonts w:eastAsia="Times New Roman"/>
        </w:rPr>
        <w:t> Discretionary 60-day cure period for AEDT violations sunsets.</w:t>
      </w:r>
    </w:p>
    <w:p w14:paraId="596CAC35"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January 1, 2028:</w:t>
      </w:r>
      <w:r w:rsidRPr="00DB7DE9">
        <w:rPr>
          <w:rFonts w:eastAsia="Times New Roman"/>
        </w:rPr>
        <w:t xml:space="preserve"> Commissioner of Economic and Community Development </w:t>
      </w:r>
      <w:r>
        <w:rPr>
          <w:rFonts w:eastAsia="Times New Roman"/>
        </w:rPr>
        <w:t xml:space="preserve">to </w:t>
      </w:r>
      <w:r w:rsidRPr="00DB7DE9">
        <w:rPr>
          <w:rFonts w:eastAsia="Times New Roman"/>
        </w:rPr>
        <w:t>submit AI sandbox legislative recommendations; covered platform/youth social media protections take effect.</w:t>
      </w:r>
    </w:p>
    <w:p w14:paraId="391744B2" w14:textId="77777777" w:rsidR="00A942A1" w:rsidRPr="00DB7DE9" w:rsidRDefault="00A942A1">
      <w:pPr>
        <w:numPr>
          <w:ilvl w:val="0"/>
          <w:numId w:val="368"/>
        </w:numPr>
        <w:spacing w:after="0" w:line="240" w:lineRule="auto"/>
        <w:rPr>
          <w:rFonts w:eastAsia="Times New Roman"/>
        </w:rPr>
      </w:pPr>
      <w:r w:rsidRPr="00DB7DE9">
        <w:rPr>
          <w:rFonts w:eastAsia="Times New Roman"/>
          <w:b/>
          <w:bCs/>
        </w:rPr>
        <w:t>March 1, 2028:</w:t>
      </w:r>
      <w:r w:rsidRPr="00DB7DE9">
        <w:rPr>
          <w:rFonts w:eastAsia="Times New Roman"/>
        </w:rPr>
        <w:t> Annual public reporting begins for covered platforms subject to youth social media provisions.</w:t>
      </w:r>
    </w:p>
    <w:p w14:paraId="4CB33987" w14:textId="77777777" w:rsidR="00A942A1" w:rsidRPr="00DB7DE9" w:rsidRDefault="00A942A1" w:rsidP="00A942A1">
      <w:pPr>
        <w:spacing w:after="0" w:line="240" w:lineRule="auto"/>
        <w:rPr>
          <w:rFonts w:eastAsia="Times New Roman"/>
        </w:rPr>
      </w:pPr>
      <w:r w:rsidRPr="00DB7DE9">
        <w:rPr>
          <w:rFonts w:eastAsia="Times New Roman"/>
        </w:rPr>
        <w:t xml:space="preserve">Closer to the October effective date, additional details will be communicated. In the interim, impacted employers are encouraged to </w:t>
      </w:r>
      <w:r>
        <w:rPr>
          <w:rFonts w:eastAsia="Times New Roman"/>
        </w:rPr>
        <w:t>review the June 3</w:t>
      </w:r>
      <w:r w:rsidRPr="00DB7DE9">
        <w:rPr>
          <w:rFonts w:eastAsia="Times New Roman"/>
          <w:vertAlign w:val="superscript"/>
        </w:rPr>
        <w:t>rd</w:t>
      </w:r>
      <w:r>
        <w:rPr>
          <w:rFonts w:eastAsia="Times New Roman"/>
        </w:rPr>
        <w:t xml:space="preserve"> online article released by Ropes &amp; Gray law firm which can be accessed </w:t>
      </w:r>
      <w:hyperlink r:id="rId667" w:history="1">
        <w:r w:rsidRPr="00DB7DE9">
          <w:rPr>
            <w:rStyle w:val="Hyperlink"/>
            <w:rFonts w:eastAsia="Times New Roman"/>
          </w:rPr>
          <w:t>HERE</w:t>
        </w:r>
      </w:hyperlink>
    </w:p>
    <w:p w14:paraId="3D02A340" w14:textId="77777777" w:rsidR="00A942A1" w:rsidRDefault="00A942A1" w:rsidP="00F1262E">
      <w:pPr>
        <w:spacing w:after="0"/>
        <w:rPr>
          <w:b/>
          <w:bCs/>
          <w:caps/>
          <w:noProof/>
          <w:color w:val="0E425C"/>
          <w:sz w:val="26"/>
          <w:szCs w:val="26"/>
        </w:rPr>
      </w:pPr>
    </w:p>
    <w:p w14:paraId="7AB4CFB5" w14:textId="72803F20" w:rsidR="00F1262E" w:rsidRPr="001420B2" w:rsidRDefault="00F1262E" w:rsidP="00F1262E">
      <w:pPr>
        <w:spacing w:after="0"/>
        <w:rPr>
          <w:b/>
          <w:bCs/>
          <w:caps/>
          <w:noProof/>
          <w:color w:val="0E425C"/>
          <w:sz w:val="26"/>
          <w:szCs w:val="26"/>
        </w:rPr>
      </w:pPr>
      <w:r w:rsidRPr="00CB21AF">
        <w:rPr>
          <w:b/>
          <w:bCs/>
          <w:caps/>
          <w:noProof/>
          <w:color w:val="0E425C"/>
          <w:sz w:val="26"/>
          <w:szCs w:val="26"/>
        </w:rPr>
        <w:t>Update: State’s Newly Enacted AI Legislation (CO AI Act)</w:t>
      </w:r>
      <w:r w:rsidRPr="006A70D0">
        <w:rPr>
          <w:b/>
          <w:bCs/>
          <w:caps/>
          <w:color w:val="0070C0"/>
          <w:sz w:val="26"/>
          <w:szCs w:val="26"/>
        </w:rPr>
        <w:t xml:space="preserve"> O</w:t>
      </w:r>
      <w:r>
        <w:rPr>
          <w:b/>
          <w:bCs/>
          <w:caps/>
          <w:color w:val="0070C0"/>
          <w:sz w:val="26"/>
          <w:szCs w:val="26"/>
        </w:rPr>
        <w:t>N</w:t>
      </w:r>
      <w:r w:rsidRPr="006A70D0">
        <w:rPr>
          <w:b/>
          <w:bCs/>
          <w:caps/>
          <w:color w:val="0070C0"/>
          <w:sz w:val="26"/>
          <w:szCs w:val="26"/>
        </w:rPr>
        <w:t xml:space="preserve"> HOLD </w:t>
      </w:r>
      <w:r>
        <w:rPr>
          <w:b/>
          <w:bCs/>
          <w:caps/>
          <w:noProof/>
          <w:color w:val="0E425C"/>
          <w:sz w:val="26"/>
          <w:szCs w:val="26"/>
        </w:rPr>
        <w:t xml:space="preserve">Ahead of </w:t>
      </w:r>
      <w:r w:rsidRPr="00CB21AF">
        <w:rPr>
          <w:b/>
          <w:bCs/>
          <w:caps/>
          <w:color w:val="0070C0"/>
          <w:sz w:val="26"/>
          <w:szCs w:val="26"/>
        </w:rPr>
        <w:t>January 1, 2027</w:t>
      </w:r>
      <w:r w:rsidRPr="00A548FC">
        <w:rPr>
          <w:b/>
          <w:bCs/>
          <w:caps/>
          <w:noProof/>
          <w:color w:val="0E425C"/>
          <w:sz w:val="26"/>
          <w:szCs w:val="26"/>
        </w:rPr>
        <w:t>,</w:t>
      </w:r>
      <w:r>
        <w:rPr>
          <w:b/>
          <w:bCs/>
          <w:caps/>
          <w:color w:val="0070C0"/>
          <w:sz w:val="26"/>
          <w:szCs w:val="26"/>
        </w:rPr>
        <w:t xml:space="preserve"> </w:t>
      </w:r>
      <w:r w:rsidRPr="00A548FC">
        <w:rPr>
          <w:b/>
          <w:bCs/>
          <w:caps/>
          <w:noProof/>
          <w:color w:val="0E425C"/>
          <w:sz w:val="26"/>
          <w:szCs w:val="26"/>
        </w:rPr>
        <w:t>Effective date</w:t>
      </w:r>
    </w:p>
    <w:p w14:paraId="1AC8B221" w14:textId="0F1EB2B7" w:rsidR="00F1262E" w:rsidRDefault="00F1262E" w:rsidP="00F1262E">
      <w:pPr>
        <w:spacing w:after="0"/>
        <w:rPr>
          <w:rFonts w:eastAsia="Times New Roman"/>
        </w:rPr>
      </w:pPr>
      <w:r>
        <w:rPr>
          <w:rFonts w:eastAsia="Times New Roman"/>
        </w:rPr>
        <w:t xml:space="preserve">In late </w:t>
      </w:r>
      <w:r w:rsidRPr="001420B2">
        <w:rPr>
          <w:rFonts w:eastAsia="Times New Roman"/>
        </w:rPr>
        <w:t>April, a federal magistrate judge </w:t>
      </w:r>
      <w:hyperlink r:id="rId668" w:tgtFrame="_blank" w:history="1">
        <w:r w:rsidRPr="001420B2">
          <w:rPr>
            <w:rFonts w:eastAsia="Times New Roman"/>
            <w:b/>
          </w:rPr>
          <w:t>stayed</w:t>
        </w:r>
      </w:hyperlink>
      <w:r w:rsidRPr="001420B2">
        <w:rPr>
          <w:rFonts w:eastAsia="Times New Roman"/>
        </w:rPr>
        <w:t xml:space="preserve"> enforcement of Colorado’s Anti-Discrimination in AI Law (the “CO AI Law”). </w:t>
      </w:r>
      <w:r>
        <w:rPr>
          <w:rFonts w:eastAsia="Times New Roman"/>
        </w:rPr>
        <w:t>The now enacted</w:t>
      </w:r>
      <w:hyperlink r:id="rId669" w:history="1">
        <w:r w:rsidRPr="001C6A46">
          <w:rPr>
            <w:rStyle w:val="Hyperlink"/>
            <w:rFonts w:eastAsia="Times New Roman"/>
          </w:rPr>
          <w:t xml:space="preserve"> SB 26-189</w:t>
        </w:r>
      </w:hyperlink>
      <w:r>
        <w:rPr>
          <w:rFonts w:eastAsia="Times New Roman"/>
        </w:rPr>
        <w:t xml:space="preserve"> (</w:t>
      </w:r>
      <w:r w:rsidRPr="006A70D0">
        <w:rPr>
          <w:rFonts w:eastAsia="Times New Roman"/>
        </w:rPr>
        <w:t xml:space="preserve">A Bill Concerning the Use of Automated Decision-Making Technology in Consequential </w:t>
      </w:r>
      <w:proofErr w:type="gramStart"/>
      <w:r w:rsidRPr="006A70D0">
        <w:rPr>
          <w:rFonts w:eastAsia="Times New Roman"/>
        </w:rPr>
        <w:t>Decisions</w:t>
      </w:r>
      <w:r>
        <w:rPr>
          <w:rFonts w:eastAsia="Times New Roman"/>
        </w:rPr>
        <w:t xml:space="preserve"> </w:t>
      </w:r>
      <w:r w:rsidRPr="006A70D0">
        <w:rPr>
          <w:rFonts w:eastAsia="Times New Roman"/>
        </w:rPr>
        <w:t>(“ADMT”)</w:t>
      </w:r>
      <w:proofErr w:type="gramEnd"/>
      <w:r w:rsidRPr="006A70D0">
        <w:rPr>
          <w:rFonts w:eastAsia="Times New Roman"/>
        </w:rPr>
        <w:t> </w:t>
      </w:r>
      <w:r w:rsidRPr="001C6A46">
        <w:rPr>
          <w:rFonts w:eastAsia="Times New Roman"/>
        </w:rPr>
        <w:t>significantly scales back employer obligations from the prior version and delays the effective date</w:t>
      </w:r>
      <w:r w:rsidRPr="001420B2">
        <w:rPr>
          <w:rFonts w:eastAsia="Times New Roman"/>
        </w:rPr>
        <w:t xml:space="preserve">. </w:t>
      </w:r>
      <w:r>
        <w:rPr>
          <w:rFonts w:eastAsia="Times New Roman"/>
        </w:rPr>
        <w:t xml:space="preserve">Of note, </w:t>
      </w:r>
      <w:r w:rsidRPr="006A70D0">
        <w:rPr>
          <w:rFonts w:eastAsia="Times New Roman"/>
        </w:rPr>
        <w:t>enforcement is already subject to a legal challenge that has thrown the entire framework into limbo.</w:t>
      </w:r>
      <w:r>
        <w:rPr>
          <w:rFonts w:eastAsia="Times New Roman"/>
        </w:rPr>
        <w:t xml:space="preserve"> Final details will be released ahead of the effective date</w:t>
      </w:r>
    </w:p>
    <w:p w14:paraId="46F90A1C" w14:textId="77777777" w:rsidR="00F1262E" w:rsidRPr="00F1262E" w:rsidRDefault="00F1262E" w:rsidP="00F1262E">
      <w:pPr>
        <w:spacing w:after="0"/>
        <w:rPr>
          <w:rFonts w:eastAsia="Times New Roman"/>
          <w:sz w:val="12"/>
          <w:szCs w:val="12"/>
        </w:rPr>
      </w:pPr>
    </w:p>
    <w:p w14:paraId="279900F7" w14:textId="2156D226" w:rsidR="0086081F" w:rsidRPr="00DD7BD1" w:rsidRDefault="0086081F" w:rsidP="00F1262E">
      <w:pPr>
        <w:pStyle w:val="bodytext0"/>
        <w:ind w:left="1080"/>
        <w:jc w:val="both"/>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Rules on Pay During Paid Sick Leave – </w:t>
      </w:r>
      <w:r w:rsidRPr="00DD7BD1">
        <w:rPr>
          <w:rFonts w:ascii="Calibri" w:hAnsi="Calibri" w:cs="Calibri"/>
          <w:b/>
          <w:bCs/>
          <w:color w:val="C00000"/>
          <w:sz w:val="28"/>
          <w:szCs w:val="28"/>
          <w:shd w:val="clear" w:color="auto" w:fill="FFFFFF"/>
          <w:lang w:val="en"/>
        </w:rPr>
        <w:t>Eff Feb 1, 2026</w:t>
      </w:r>
    </w:p>
    <w:p w14:paraId="33C6C106"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Colorado Department of Labor and Employment has revised the</w:t>
      </w:r>
      <w:r w:rsidRPr="00DD7BD1">
        <w:rPr>
          <w:rFonts w:cs="Calibri"/>
          <w:szCs w:val="22"/>
        </w:rPr>
        <w:t xml:space="preserve"> </w:t>
      </w:r>
      <w:hyperlink r:id="rId670" w:history="1">
        <w:r w:rsidRPr="00DD7BD1">
          <w:rPr>
            <w:rStyle w:val="Hyperlink"/>
            <w:rFonts w:cs="Calibri"/>
            <w:szCs w:val="22"/>
          </w:rPr>
          <w:t>rules</w:t>
        </w:r>
      </w:hyperlink>
      <w:r w:rsidRPr="00DD7BD1">
        <w:rPr>
          <w:rFonts w:cs="Calibri"/>
          <w:szCs w:val="22"/>
        </w:rPr>
        <w:t xml:space="preserve"> </w:t>
      </w:r>
      <w:r w:rsidRPr="00DD7BD1">
        <w:rPr>
          <w:rFonts w:cs="Calibri"/>
          <w:color w:val="auto"/>
          <w:szCs w:val="22"/>
        </w:rPr>
        <w:t xml:space="preserve">for calculating pay during employee leave under the Healthy Families and Workplaces Act (HFWA), the state’s paid sick leave law and clarifies the pay rate for different employee groups. The amended rules address specific scenarios, such as when employees are paid by </w:t>
      </w:r>
      <w:r w:rsidRPr="00DD7BD1">
        <w:rPr>
          <w:rFonts w:cs="Calibri"/>
          <w:color w:val="auto"/>
          <w:szCs w:val="22"/>
          <w:u w:val="single"/>
        </w:rPr>
        <w:t>commission, piece rate, salary or a combination, and when employees work at multiple rates</w:t>
      </w:r>
      <w:r w:rsidRPr="00DD7BD1">
        <w:rPr>
          <w:rFonts w:cs="Calibri"/>
          <w:color w:val="auto"/>
          <w:szCs w:val="22"/>
        </w:rPr>
        <w:t>.</w:t>
      </w:r>
    </w:p>
    <w:p w14:paraId="6AE7CCFB" w14:textId="77777777" w:rsidR="0086081F" w:rsidRPr="00DD7BD1" w:rsidRDefault="0086081F" w:rsidP="0086081F">
      <w:pPr>
        <w:pStyle w:val="BodyText"/>
        <w:spacing w:after="0" w:line="240" w:lineRule="auto"/>
        <w:ind w:left="90"/>
        <w:rPr>
          <w:rFonts w:cs="Calibri"/>
          <w:noProof/>
          <w:color w:val="auto"/>
          <w:szCs w:val="22"/>
        </w:rPr>
      </w:pPr>
      <w:r w:rsidRPr="00DD7BD1">
        <w:rPr>
          <w:rFonts w:cs="Calibri"/>
          <w:noProof/>
          <w:color w:val="auto"/>
          <w:szCs w:val="22"/>
        </w:rPr>
        <w:t xml:space="preserve">The HFWA statute states that leave must be paid at the same rate the employee normally earns during hours worked, not including overtime premiums, bonuses or holiday pay. </w:t>
      </w:r>
    </w:p>
    <w:p w14:paraId="59AFB62A"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rules provide implementation guidance, with the amendments addressing specific groups of employees, as follows:</w:t>
      </w:r>
    </w:p>
    <w:p w14:paraId="44EC4233"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paid solely on a salary, commission or piece-rate basis</w:t>
      </w:r>
      <w:r w:rsidRPr="00DD7BD1">
        <w:rPr>
          <w:rFonts w:cs="Calibri"/>
          <w:color w:val="auto"/>
          <w:szCs w:val="22"/>
        </w:rPr>
        <w:t>: These workers do not earn additional compensation solely for using leave, if the leave does not impact their total salary, commissions or piece pay;</w:t>
      </w:r>
    </w:p>
    <w:p w14:paraId="36B4694F"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who receive a wage plus commissions</w:t>
      </w:r>
      <w:r w:rsidRPr="00DD7BD1">
        <w:rPr>
          <w:rFonts w:cs="Calibri"/>
          <w:color w:val="auto"/>
          <w:szCs w:val="22"/>
        </w:rPr>
        <w:t>: The sick leave pay rate does not include commissions for these workers;</w:t>
      </w:r>
    </w:p>
    <w:p w14:paraId="4238B9D1" w14:textId="77777777" w:rsidR="0086081F" w:rsidRPr="00DD7BD1" w:rsidRDefault="0086081F" w:rsidP="0086081F">
      <w:pPr>
        <w:pStyle w:val="Bullet"/>
        <w:spacing w:line="240" w:lineRule="auto"/>
        <w:ind w:left="810"/>
        <w:rPr>
          <w:rFonts w:cs="Calibri"/>
          <w:color w:val="auto"/>
          <w:szCs w:val="22"/>
        </w:rPr>
      </w:pPr>
      <w:r w:rsidRPr="00DD7BD1">
        <w:rPr>
          <w:rStyle w:val="BodyTextChar"/>
          <w:rFonts w:cs="Calibri"/>
          <w:color w:val="auto"/>
          <w:szCs w:val="22"/>
        </w:rPr>
        <w:lastRenderedPageBreak/>
        <w:t>Employees who work at multiple rates (including shift differentials and separate jobs for the same employer): These employees are paid the rate they would have earned during the period of leave</w:t>
      </w:r>
      <w:r w:rsidRPr="00DD7BD1">
        <w:rPr>
          <w:rFonts w:cs="Calibri"/>
          <w:color w:val="auto"/>
          <w:szCs w:val="22"/>
        </w:rPr>
        <w:t>;</w:t>
      </w:r>
    </w:p>
    <w:p w14:paraId="153D50A8"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for whom the pay rate for the period of leave is unknown:</w:t>
      </w:r>
      <w:r w:rsidRPr="00DD7BD1">
        <w:rPr>
          <w:rFonts w:cs="Calibri"/>
          <w:color w:val="auto"/>
          <w:szCs w:val="22"/>
        </w:rPr>
        <w:t xml:space="preserve"> This rate is calculated based on:</w:t>
      </w:r>
    </w:p>
    <w:p w14:paraId="6C4C0CAD" w14:textId="77777777" w:rsidR="0086081F" w:rsidRPr="00DD7BD1" w:rsidRDefault="0086081F" w:rsidP="0086081F">
      <w:pPr>
        <w:pStyle w:val="Bullet"/>
        <w:numPr>
          <w:ilvl w:val="1"/>
          <w:numId w:val="1"/>
        </w:numPr>
        <w:spacing w:line="240" w:lineRule="auto"/>
        <w:ind w:left="1260"/>
        <w:rPr>
          <w:rStyle w:val="BulletChar"/>
          <w:rFonts w:cs="Calibri"/>
          <w:color w:val="auto"/>
          <w:szCs w:val="22"/>
        </w:rPr>
      </w:pPr>
      <w:r w:rsidRPr="00DD7BD1">
        <w:rPr>
          <w:rFonts w:cs="Calibri"/>
          <w:color w:val="auto"/>
          <w:szCs w:val="22"/>
        </w:rPr>
        <w:t xml:space="preserve">The employee’s pay over a “lookback” period of </w:t>
      </w:r>
      <w:r w:rsidRPr="00DD7BD1">
        <w:rPr>
          <w:rStyle w:val="BulletChar"/>
          <w:rFonts w:cs="Calibri"/>
          <w:color w:val="auto"/>
          <w:szCs w:val="22"/>
        </w:rPr>
        <w:t>the 30 calendar days preceding the leave;</w:t>
      </w:r>
    </w:p>
    <w:p w14:paraId="3C8F4C46"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 xml:space="preserve">(At the employer’s option), the most recent full pay period; or </w:t>
      </w:r>
    </w:p>
    <w:p w14:paraId="606DE3FB"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Workweeks totaling 28 to 31 days.</w:t>
      </w:r>
    </w:p>
    <w:p w14:paraId="667813B5" w14:textId="6F0FC1E5" w:rsidR="0086081F" w:rsidRPr="00DD7BD1" w:rsidRDefault="0086081F" w:rsidP="0086081F">
      <w:pPr>
        <w:pStyle w:val="Bullet"/>
        <w:numPr>
          <w:ilvl w:val="0"/>
          <w:numId w:val="0"/>
        </w:numPr>
        <w:spacing w:line="240" w:lineRule="auto"/>
        <w:ind w:left="1260"/>
        <w:rPr>
          <w:rFonts w:cs="Calibri"/>
          <w:color w:val="auto"/>
          <w:szCs w:val="22"/>
        </w:rPr>
      </w:pPr>
      <w:r w:rsidRPr="00DD7BD1">
        <w:rPr>
          <w:rFonts w:cs="Calibri"/>
          <w:color w:val="auto"/>
          <w:szCs w:val="22"/>
        </w:rPr>
        <w:t>The pay rate calculation for these workers includes hourly or salary rates, shift differentials, tip credits and commissions (except where excluded per above), but not overtime premiums, bonuses or holiday leave pay. If an employee has not yet worked a full lookback period, then the period consists of all days worked before the leave.</w:t>
      </w:r>
    </w:p>
    <w:p w14:paraId="506E0111" w14:textId="77777777" w:rsidR="0086081F" w:rsidRPr="00DD7BD1" w:rsidRDefault="0086081F" w:rsidP="0086081F">
      <w:pPr>
        <w:pStyle w:val="Bullet"/>
        <w:numPr>
          <w:ilvl w:val="0"/>
          <w:numId w:val="0"/>
        </w:numPr>
        <w:spacing w:line="240" w:lineRule="auto"/>
        <w:ind w:left="1260"/>
        <w:rPr>
          <w:rFonts w:cs="Calibri"/>
          <w:color w:val="auto"/>
          <w:szCs w:val="22"/>
        </w:rPr>
      </w:pPr>
    </w:p>
    <w:p w14:paraId="32D00B07" w14:textId="6453307D" w:rsidR="00847198" w:rsidRPr="00DD7BD1" w:rsidRDefault="00847198" w:rsidP="0084719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FAMLI Headcount Report Filing</w:t>
      </w:r>
      <w:r w:rsidRPr="00DD7BD1">
        <w:rPr>
          <w:rFonts w:ascii="Calibri" w:hAnsi="Calibri" w:cs="Calibri"/>
          <w:b/>
          <w:bCs/>
          <w:color w:val="C00000"/>
          <w:sz w:val="28"/>
          <w:szCs w:val="28"/>
          <w:shd w:val="clear" w:color="auto" w:fill="FFFFFF"/>
          <w:lang w:val="en"/>
        </w:rPr>
        <w:t xml:space="preserve"> Due Feb 28, 2026</w:t>
      </w:r>
    </w:p>
    <w:p w14:paraId="301485AC" w14:textId="0FF51C61" w:rsidR="00847198" w:rsidRPr="00752A36" w:rsidRDefault="00847198" w:rsidP="00847198">
      <w:pPr>
        <w:ind w:right="-90"/>
        <w:rPr>
          <w:rFonts w:ascii="Calibri" w:hAnsi="Calibri" w:cs="Calibri"/>
        </w:rPr>
      </w:pPr>
      <w:r w:rsidRPr="00DD7BD1">
        <w:rPr>
          <w:rFonts w:ascii="Calibri" w:hAnsi="Calibri" w:cs="Calibri"/>
        </w:rPr>
        <w:t xml:space="preserve">Employers with employees in the state of Colorado are required to register with Colorado FAMLI (Family and Medical Leave Insurance) and </w:t>
      </w:r>
      <w:r w:rsidRPr="00DD7BD1">
        <w:rPr>
          <w:rFonts w:ascii="Calibri" w:hAnsi="Calibri" w:cs="Calibri"/>
          <w:shd w:val="clear" w:color="auto" w:fill="FFFFFF"/>
        </w:rPr>
        <w:t>update their total employee headcount every year with the State to ensure they are accurately paying Colorado FAMLI premium rates.</w:t>
      </w:r>
      <w:r w:rsidRPr="00DD7BD1">
        <w:rPr>
          <w:rFonts w:ascii="Calibri" w:hAnsi="Calibri" w:cs="Calibri"/>
        </w:rPr>
        <w:t xml:space="preserve">  </w:t>
      </w:r>
    </w:p>
    <w:p w14:paraId="55C44819" w14:textId="2D56CE65" w:rsidR="00847198" w:rsidRPr="00DD7BD1" w:rsidRDefault="00847198" w:rsidP="00847198">
      <w:pPr>
        <w:ind w:right="-90"/>
        <w:rPr>
          <w:rFonts w:ascii="Calibri" w:hAnsi="Calibri" w:cs="Calibri"/>
          <w:shd w:val="clear" w:color="auto" w:fill="FFFFFF"/>
        </w:rPr>
      </w:pPr>
      <w:r w:rsidRPr="00DD7BD1">
        <w:rPr>
          <w:rFonts w:ascii="Calibri" w:hAnsi="Calibri" w:cs="Calibri"/>
          <w:shd w:val="clear" w:color="auto" w:fill="FFFFFF"/>
        </w:rPr>
        <w:t xml:space="preserve">If your Annual Total Employee headcount is not updated by February 28, the FAMLI Division will </w:t>
      </w:r>
      <w:r w:rsidRPr="00DD7BD1">
        <w:rPr>
          <w:rFonts w:ascii="Calibri" w:hAnsi="Calibri" w:cs="Calibri"/>
          <w:u w:val="single"/>
          <w:shd w:val="clear" w:color="auto" w:fill="FFFFFF"/>
        </w:rPr>
        <w:t>assume you have 10 or more employees</w:t>
      </w:r>
      <w:r w:rsidRPr="00DD7BD1">
        <w:rPr>
          <w:rFonts w:ascii="Calibri" w:hAnsi="Calibri" w:cs="Calibri"/>
          <w:shd w:val="clear" w:color="auto" w:fill="FFFFFF"/>
        </w:rPr>
        <w:t>, and be required to send in the applicable percentage of wages each quarter. </w:t>
      </w:r>
    </w:p>
    <w:p w14:paraId="660ED05B" w14:textId="77777777" w:rsidR="00847198" w:rsidRPr="00DD7BD1" w:rsidRDefault="00847198" w:rsidP="00847198">
      <w:pPr>
        <w:ind w:right="-90"/>
        <w:rPr>
          <w:rFonts w:ascii="Calibri" w:hAnsi="Calibri" w:cs="Calibri"/>
          <w:b/>
          <w:bCs/>
          <w:shd w:val="clear" w:color="auto" w:fill="FFFFFF"/>
        </w:rPr>
      </w:pPr>
      <w:r w:rsidRPr="00DD7BD1">
        <w:rPr>
          <w:rFonts w:ascii="Calibri" w:hAnsi="Calibri" w:cs="Calibri"/>
          <w:b/>
          <w:bCs/>
          <w:shd w:val="clear" w:color="auto" w:fill="FFFFFF"/>
        </w:rPr>
        <w:t>Counting Employees:</w:t>
      </w:r>
    </w:p>
    <w:p w14:paraId="615C14C3" w14:textId="77777777" w:rsidR="00847198" w:rsidRPr="00DD7BD1" w:rsidRDefault="00847198" w:rsidP="00847198">
      <w:pPr>
        <w:ind w:right="-90"/>
        <w:jc w:val="center"/>
        <w:rPr>
          <w:rFonts w:ascii="Calibri" w:hAnsi="Calibri" w:cs="Calibri"/>
          <w:shd w:val="clear" w:color="auto" w:fill="FFFFFF"/>
        </w:rPr>
      </w:pPr>
      <w:r w:rsidRPr="00DD7BD1">
        <w:rPr>
          <w:rFonts w:ascii="Calibri" w:hAnsi="Calibri" w:cs="Calibri"/>
          <w:noProof/>
          <w:shd w:val="clear" w:color="auto" w:fill="FFFFFF"/>
        </w:rPr>
        <w:drawing>
          <wp:inline distT="0" distB="0" distL="0" distR="0" wp14:anchorId="50E90325" wp14:editId="162A7BAF">
            <wp:extent cx="4941672" cy="2537138"/>
            <wp:effectExtent l="0" t="0" r="0" b="0"/>
            <wp:docPr id="947636921" name="Picture 1" descr="A poster with different types of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6921" name="Picture 1" descr="A poster with different types of workers&#10;&#10;AI-generated content may be incorrect."/>
                    <pic:cNvPicPr/>
                  </pic:nvPicPr>
                  <pic:blipFill>
                    <a:blip r:embed="rId671"/>
                    <a:stretch>
                      <a:fillRect/>
                    </a:stretch>
                  </pic:blipFill>
                  <pic:spPr>
                    <a:xfrm>
                      <a:off x="0" y="0"/>
                      <a:ext cx="4968975" cy="2551156"/>
                    </a:xfrm>
                    <a:prstGeom prst="rect">
                      <a:avLst/>
                    </a:prstGeom>
                  </pic:spPr>
                </pic:pic>
              </a:graphicData>
            </a:graphic>
          </wp:inline>
        </w:drawing>
      </w:r>
    </w:p>
    <w:p w14:paraId="249577A6" w14:textId="77777777" w:rsidR="00847198" w:rsidRPr="00DD7BD1" w:rsidRDefault="00847198" w:rsidP="00847198">
      <w:pPr>
        <w:ind w:right="-90"/>
        <w:rPr>
          <w:rFonts w:ascii="Calibri" w:hAnsi="Calibri" w:cs="Calibri"/>
          <w:b/>
          <w:bCs/>
          <w:shd w:val="clear" w:color="auto" w:fill="FFFFFF"/>
          <w:lang w:val="en"/>
        </w:rPr>
      </w:pPr>
    </w:p>
    <w:p w14:paraId="151BE9FB" w14:textId="25E95165" w:rsidR="00847198" w:rsidRPr="00DD7BD1" w:rsidRDefault="00847198" w:rsidP="00847198">
      <w:pPr>
        <w:ind w:right="-90"/>
        <w:rPr>
          <w:rFonts w:ascii="Calibri" w:hAnsi="Calibri" w:cs="Calibri"/>
          <w:b/>
          <w:bCs/>
          <w:color w:val="C00000"/>
          <w:shd w:val="clear" w:color="auto" w:fill="FFFFFF"/>
          <w:lang w:val="en"/>
        </w:rPr>
      </w:pPr>
      <w:r w:rsidRPr="00DD7BD1">
        <w:rPr>
          <w:rFonts w:ascii="Calibri" w:hAnsi="Calibri" w:cs="Calibri"/>
          <w:b/>
          <w:bCs/>
          <w:shd w:val="clear" w:color="auto" w:fill="FFFFFF"/>
          <w:lang w:val="en"/>
        </w:rPr>
        <w:t xml:space="preserve">Complete the Reporting Requirements on the State’s Portal </w:t>
      </w:r>
      <w:r w:rsidRPr="00DD7BD1">
        <w:rPr>
          <w:rFonts w:ascii="Calibri" w:hAnsi="Calibri" w:cs="Calibri"/>
        </w:rPr>
        <w:t xml:space="preserve">  </w:t>
      </w:r>
      <w:hyperlink r:id="rId672" w:tgtFrame="_blank" w:tooltip="https://famli.colorado.gov/employers" w:history="1">
        <w:r w:rsidRPr="00DD7BD1">
          <w:rPr>
            <w:rStyle w:val="Hyperlink"/>
            <w:rFonts w:ascii="Calibri" w:hAnsi="Calibri" w:cs="Calibri"/>
          </w:rPr>
          <w:t>https://famli.colorado.gov/employers</w:t>
        </w:r>
      </w:hyperlink>
    </w:p>
    <w:p w14:paraId="6AEC1161" w14:textId="4A3A7CE7" w:rsidR="00847198" w:rsidRPr="00DD7BD1" w:rsidRDefault="00847198" w:rsidP="00847198">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Updated FAMLI Notice Released &amp; Upcoming Coverage of Neonatal Care</w:t>
      </w:r>
    </w:p>
    <w:p w14:paraId="7D63B636" w14:textId="77777777" w:rsidR="00847198" w:rsidRPr="00DD7BD1" w:rsidRDefault="00847198" w:rsidP="00847198">
      <w:pPr>
        <w:pStyle w:val="BodyText"/>
        <w:rPr>
          <w:rFonts w:cs="Calibri"/>
          <w:color w:val="auto"/>
          <w:szCs w:val="22"/>
        </w:rPr>
      </w:pPr>
      <w:r w:rsidRPr="00DD7BD1">
        <w:rPr>
          <w:rFonts w:cs="Calibri"/>
          <w:color w:val="auto"/>
          <w:szCs w:val="22"/>
        </w:rPr>
        <w:t xml:space="preserve">Colorado has posted an updated </w:t>
      </w:r>
      <w:hyperlink r:id="rId673"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2026 for its paid family and medical leave program, called FAMLI. The most significant change in the updated notice is that it now reflects the addition of neonatal care leave.</w:t>
      </w:r>
    </w:p>
    <w:p w14:paraId="75523F1C" w14:textId="77777777" w:rsidR="00847198" w:rsidRPr="00DD7BD1" w:rsidRDefault="00847198" w:rsidP="00847198">
      <w:pPr>
        <w:pStyle w:val="SubHeader"/>
        <w:rPr>
          <w:rFonts w:cs="Calibri"/>
          <w:color w:val="auto"/>
          <w:sz w:val="22"/>
          <w:szCs w:val="22"/>
        </w:rPr>
      </w:pPr>
      <w:r w:rsidRPr="00DD7BD1">
        <w:rPr>
          <w:rFonts w:cs="Calibri"/>
          <w:color w:val="auto"/>
          <w:sz w:val="22"/>
          <w:szCs w:val="22"/>
        </w:rPr>
        <w:t>Neonatal Care Leave</w:t>
      </w:r>
    </w:p>
    <w:p w14:paraId="68BCECA9" w14:textId="4F7B5A0D" w:rsidR="00847198" w:rsidRPr="00DD7BD1" w:rsidRDefault="00847198" w:rsidP="00847198">
      <w:pPr>
        <w:pStyle w:val="BodyText"/>
        <w:rPr>
          <w:rFonts w:cs="Calibri"/>
          <w:color w:val="auto"/>
          <w:szCs w:val="22"/>
        </w:rPr>
      </w:pPr>
      <w:r w:rsidRPr="00DD7BD1">
        <w:rPr>
          <w:rFonts w:cs="Calibri"/>
          <w:color w:val="auto"/>
          <w:szCs w:val="22"/>
        </w:rPr>
        <w:t xml:space="preserve">Last spring, Colorado amended the FAMLI law to add an extra 12 weeks of leave for parents with a child receiving inpatient care in a neonatal intensive care unit, effective Jan. 1, 2026. The notice now includes information about neonatal care leave. </w:t>
      </w:r>
      <w:r w:rsidRPr="00DD7BD1">
        <w:rPr>
          <w:rFonts w:cs="Calibri"/>
          <w:b/>
          <w:bCs/>
          <w:color w:val="auto"/>
          <w:szCs w:val="22"/>
          <w:u w:val="single"/>
        </w:rPr>
        <w:t>NOTE:</w:t>
      </w:r>
      <w:r w:rsidRPr="00DD7BD1">
        <w:rPr>
          <w:rFonts w:cs="Calibri"/>
          <w:color w:val="auto"/>
          <w:szCs w:val="22"/>
        </w:rPr>
        <w:t xml:space="preserve"> ETC has released the updated Colorado State Handbook Addendum addressing coverage for Neonatal care July 2025.</w:t>
      </w:r>
    </w:p>
    <w:p w14:paraId="3CDDD8D4" w14:textId="77777777" w:rsidR="00757443" w:rsidRPr="00DD7BD1" w:rsidRDefault="00757443" w:rsidP="00757443">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Increases – </w:t>
      </w:r>
      <w:r w:rsidRPr="00DD7BD1">
        <w:rPr>
          <w:rFonts w:ascii="Calibri" w:hAnsi="Calibri" w:cs="Calibri"/>
          <w:b/>
          <w:bCs/>
          <w:color w:val="C00000"/>
          <w:sz w:val="28"/>
          <w:szCs w:val="28"/>
          <w:shd w:val="clear" w:color="auto" w:fill="FFFFFF"/>
          <w:lang w:val="en"/>
        </w:rPr>
        <w:t>Jan 1, 2026</w:t>
      </w:r>
    </w:p>
    <w:p w14:paraId="25D40493" w14:textId="77777777" w:rsidR="00757443" w:rsidRPr="00DD7BD1" w:rsidRDefault="00757443" w:rsidP="00757443">
      <w:pPr>
        <w:rPr>
          <w:rFonts w:ascii="Calibri" w:hAnsi="Calibri" w:cs="Calibri"/>
          <w:shd w:val="clear" w:color="auto" w:fill="FFFFFF"/>
        </w:rPr>
      </w:pPr>
      <w:r w:rsidRPr="00DD7BD1">
        <w:rPr>
          <w:rFonts w:ascii="Calibri" w:hAnsi="Calibri" w:cs="Calibri"/>
          <w:shd w:val="clear" w:color="auto" w:fill="FFFFFF"/>
        </w:rPr>
        <w:lastRenderedPageBreak/>
        <w:t>Minimum wage rates in Colorado will increase as follows:</w:t>
      </w:r>
    </w:p>
    <w:p w14:paraId="51C040C9"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Statewide (Proposed)</w:t>
      </w:r>
      <w:r w:rsidRPr="00DD7BD1">
        <w:rPr>
          <w:rFonts w:ascii="Calibri" w:hAnsi="Calibri" w:cs="Calibri"/>
          <w:shd w:val="clear" w:color="auto" w:fill="FFFFFF"/>
        </w:rPr>
        <w:br/>
        <w:t>Colorado has proposed increasing its minimum wage to $15.16 per hour and the minimum wage for tipped employees to $12.14. The proposed minimum salary for exempt executive, administrative, or professional employees would increase to $1,111.23 per week, or $57,784 per year. The minimum annual salary for the highly compensated employee exemption would increase to $130,014 per year. The minimum rate for exempt computer employees who are paid on an hourly basis would increase to $34.85 per hour.</w:t>
      </w:r>
    </w:p>
    <w:p w14:paraId="57824080"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Denver</w:t>
      </w:r>
      <w:r w:rsidRPr="00DD7BD1">
        <w:rPr>
          <w:rFonts w:ascii="Calibri" w:hAnsi="Calibri" w:cs="Calibri"/>
          <w:shd w:val="clear" w:color="auto" w:fill="FFFFFF"/>
        </w:rPr>
        <w:br/>
        <w:t>Denver’s city and county minimum wage will increase to $19.29 per hour. The minimum base wage for tipped employees will increase to $16.27 per hour.</w:t>
      </w:r>
    </w:p>
    <w:p w14:paraId="3AF15467"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Edgewater</w:t>
      </w:r>
      <w:r w:rsidRPr="00DD7BD1">
        <w:rPr>
          <w:rFonts w:ascii="Calibri" w:hAnsi="Calibri" w:cs="Calibri"/>
          <w:shd w:val="clear" w:color="auto" w:fill="FFFFFF"/>
        </w:rPr>
        <w:br/>
        <w:t>Edgewater’s minimum wage will increase to $18.17 per hour. The minimum base wage for tipped employees will increase to $15.15 per hour.</w:t>
      </w:r>
    </w:p>
    <w:p w14:paraId="573FCE74"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Unincorporated Boulder County</w:t>
      </w:r>
      <w:r w:rsidRPr="00DD7BD1">
        <w:rPr>
          <w:rFonts w:ascii="Calibri" w:hAnsi="Calibri" w:cs="Calibri"/>
          <w:shd w:val="clear" w:color="auto" w:fill="FFFFFF"/>
        </w:rPr>
        <w:br/>
        <w:t>Unincorporated Boulder County’s minimum wage is currently set to increase to $16.82 per hour while the minimum base wage for tipped employees is set to increase to $13.80 per hour. For a list of unincorporated areas where this minimum wage law applies, see Boulder County’s </w:t>
      </w:r>
      <w:hyperlink r:id="rId674" w:tgtFrame="_blank" w:history="1">
        <w:r w:rsidRPr="00DD7BD1">
          <w:rPr>
            <w:rStyle w:val="Hyperlink"/>
            <w:rFonts w:ascii="Calibri" w:hAnsi="Calibri" w:cs="Calibri"/>
            <w:color w:val="auto"/>
            <w:shd w:val="clear" w:color="auto" w:fill="FFFFFF"/>
          </w:rPr>
          <w:t>website</w:t>
        </w:r>
      </w:hyperlink>
      <w:r w:rsidRPr="00DD7BD1">
        <w:rPr>
          <w:rFonts w:ascii="Calibri" w:hAnsi="Calibri" w:cs="Calibri"/>
          <w:shd w:val="clear" w:color="auto" w:fill="FFFFFF"/>
        </w:rPr>
        <w:t>.</w:t>
      </w:r>
    </w:p>
    <w:p w14:paraId="6163631A" w14:textId="09D097C0"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City of Boulder</w:t>
      </w:r>
      <w:r w:rsidRPr="00DD7BD1">
        <w:rPr>
          <w:rFonts w:ascii="Calibri" w:hAnsi="Calibri" w:cs="Calibri"/>
          <w:shd w:val="clear" w:color="auto" w:fill="FFFFFF"/>
        </w:rPr>
        <w:br/>
        <w:t>The hourly minimum wage in the City of Boulder will increase to $16.82. The minimum base wage for tipped employees will increase to $13.80 per hour.</w:t>
      </w:r>
    </w:p>
    <w:p w14:paraId="5BC3F2EA" w14:textId="0B454846" w:rsidR="002D4DF9" w:rsidRPr="00DD7BD1" w:rsidRDefault="002D4DF9" w:rsidP="002D4DF9">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074AF37F"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675"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616C059C" w14:textId="77777777" w:rsidR="002D4DF9" w:rsidRPr="00DD7BD1" w:rsidRDefault="002D4DF9" w:rsidP="002D4DF9">
      <w:pPr>
        <w:pStyle w:val="SubHeader"/>
        <w:spacing w:line="240" w:lineRule="auto"/>
        <w:rPr>
          <w:rFonts w:cs="Calibri"/>
          <w:color w:val="auto"/>
          <w:sz w:val="16"/>
          <w:szCs w:val="16"/>
        </w:rPr>
      </w:pPr>
    </w:p>
    <w:p w14:paraId="08200D8A" w14:textId="77777777" w:rsidR="002D4DF9" w:rsidRPr="00DD7BD1" w:rsidRDefault="002D4DF9" w:rsidP="002D4DF9">
      <w:pPr>
        <w:pStyle w:val="SubHeader"/>
        <w:spacing w:line="240" w:lineRule="auto"/>
        <w:rPr>
          <w:rFonts w:cs="Calibri"/>
          <w:color w:val="auto"/>
          <w:sz w:val="22"/>
          <w:szCs w:val="22"/>
        </w:rPr>
      </w:pPr>
      <w:r w:rsidRPr="00DD7BD1">
        <w:rPr>
          <w:rFonts w:cs="Calibri"/>
          <w:color w:val="auto"/>
          <w:sz w:val="22"/>
          <w:szCs w:val="22"/>
        </w:rPr>
        <w:t>NICU Leave</w:t>
      </w:r>
    </w:p>
    <w:p w14:paraId="50B40EC5"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26A778C7"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 xml:space="preserve">12 weeks annually; plus </w:t>
      </w:r>
    </w:p>
    <w:p w14:paraId="01D142A3"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4 weeks for pregnancy or childbirth complications.</w:t>
      </w:r>
    </w:p>
    <w:p w14:paraId="53F6209C"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244DDFC3" w14:textId="77777777" w:rsidR="002D4DF9" w:rsidRPr="00DD7BD1" w:rsidRDefault="002D4DF9" w:rsidP="002D4DF9">
      <w:pPr>
        <w:pStyle w:val="BodyText"/>
        <w:spacing w:after="0" w:line="240" w:lineRule="auto"/>
        <w:rPr>
          <w:rFonts w:cs="Calibri"/>
          <w:color w:val="auto"/>
          <w:sz w:val="16"/>
          <w:szCs w:val="16"/>
        </w:rPr>
      </w:pPr>
    </w:p>
    <w:p w14:paraId="5A8DF336"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ETC released the updated CO State Handbook Addendum inclusive of language addressing NICU Leave July 2025.</w:t>
      </w:r>
    </w:p>
    <w:p w14:paraId="12B84160" w14:textId="77777777" w:rsidR="002D4DF9" w:rsidRPr="00DD7BD1" w:rsidRDefault="002D4DF9" w:rsidP="002D4DF9">
      <w:pPr>
        <w:pStyle w:val="BodyText"/>
        <w:spacing w:after="0" w:line="240" w:lineRule="auto"/>
        <w:rPr>
          <w:rFonts w:cs="Calibri"/>
          <w:b/>
          <w:bCs/>
          <w:color w:val="auto"/>
          <w:sz w:val="16"/>
          <w:szCs w:val="16"/>
        </w:rPr>
      </w:pPr>
    </w:p>
    <w:p w14:paraId="41B0C2C9" w14:textId="77777777" w:rsidR="002D4DF9" w:rsidRPr="00DD7BD1" w:rsidRDefault="002D4DF9" w:rsidP="002D4DF9">
      <w:pPr>
        <w:pStyle w:val="BodyText"/>
        <w:spacing w:after="0" w:line="240" w:lineRule="auto"/>
        <w:rPr>
          <w:rFonts w:cs="Calibri"/>
          <w:b/>
          <w:bCs/>
          <w:color w:val="auto"/>
          <w:szCs w:val="22"/>
        </w:rPr>
      </w:pPr>
      <w:r w:rsidRPr="00DD7BD1">
        <w:rPr>
          <w:rFonts w:cs="Calibri"/>
          <w:b/>
          <w:bCs/>
          <w:color w:val="auto"/>
          <w:szCs w:val="22"/>
        </w:rPr>
        <w:t>2026 FAMLI Premiums</w:t>
      </w:r>
    </w:p>
    <w:p w14:paraId="352D7ABA"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68A13FF5" w14:textId="77777777" w:rsidR="00883CEA" w:rsidRPr="00DD7BD1" w:rsidRDefault="00883CEA" w:rsidP="002D4DF9">
      <w:pPr>
        <w:pStyle w:val="BodyText"/>
        <w:spacing w:after="0" w:line="240" w:lineRule="auto"/>
        <w:rPr>
          <w:rFonts w:cs="Calibri"/>
          <w:color w:val="auto"/>
          <w:sz w:val="16"/>
          <w:szCs w:val="16"/>
        </w:rPr>
      </w:pPr>
    </w:p>
    <w:p w14:paraId="2CCA0604"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0DD692AD" w14:textId="77777777" w:rsidR="00883CEA" w:rsidRPr="00DD7BD1" w:rsidRDefault="00883CEA" w:rsidP="002D4DF9">
      <w:pPr>
        <w:pStyle w:val="BodyText"/>
        <w:spacing w:after="0" w:line="240" w:lineRule="auto"/>
        <w:rPr>
          <w:rFonts w:cs="Calibri"/>
          <w:color w:val="auto"/>
          <w:sz w:val="16"/>
          <w:szCs w:val="16"/>
        </w:rPr>
      </w:pPr>
    </w:p>
    <w:p w14:paraId="5970E9BE" w14:textId="3111A65A" w:rsidR="002D4DF9" w:rsidRPr="00DD7BD1" w:rsidRDefault="002D4DF9" w:rsidP="00E3610D">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564277E" w14:textId="77777777" w:rsidR="00E3610D" w:rsidRPr="00DD7BD1" w:rsidRDefault="00E3610D" w:rsidP="00E3610D">
      <w:pPr>
        <w:pStyle w:val="BodyText"/>
        <w:spacing w:after="0" w:line="240" w:lineRule="auto"/>
        <w:rPr>
          <w:rFonts w:cs="Calibri"/>
          <w:color w:val="auto"/>
          <w:sz w:val="28"/>
          <w:szCs w:val="28"/>
        </w:rPr>
      </w:pPr>
    </w:p>
    <w:p w14:paraId="6A075570" w14:textId="5E901B37" w:rsidR="00434AFC" w:rsidRPr="00DD7BD1" w:rsidRDefault="00434AFC" w:rsidP="00434AFC">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Enacts Significant Wage &amp; Hour Amendments </w:t>
      </w:r>
      <w:r w:rsidRPr="00DD7BD1">
        <w:rPr>
          <w:rFonts w:ascii="Calibri" w:hAnsi="Calibri" w:cs="Calibri"/>
          <w:b/>
          <w:bCs/>
          <w:color w:val="C00000"/>
          <w:sz w:val="28"/>
          <w:szCs w:val="28"/>
          <w:shd w:val="clear" w:color="auto" w:fill="FFFFFF"/>
          <w:lang w:val="en"/>
        </w:rPr>
        <w:t>– Eff Aug 6, 2025</w:t>
      </w:r>
    </w:p>
    <w:p w14:paraId="36659A02" w14:textId="77777777" w:rsidR="00434AFC" w:rsidRPr="00DD7BD1" w:rsidRDefault="00434AFC" w:rsidP="00434AFC">
      <w:pPr>
        <w:pStyle w:val="BodyText"/>
        <w:rPr>
          <w:rFonts w:cs="Calibri"/>
          <w:color w:val="auto"/>
          <w:szCs w:val="22"/>
        </w:rPr>
      </w:pPr>
      <w:r w:rsidRPr="00DD7BD1">
        <w:rPr>
          <w:rFonts w:cs="Calibri"/>
          <w:color w:val="auto"/>
          <w:szCs w:val="22"/>
        </w:rPr>
        <w:t xml:space="preserve">On May 22, 2025, Colorado </w:t>
      </w:r>
      <w:hyperlink r:id="rId676"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72D1FCEA" w14:textId="77777777" w:rsidR="00434AFC" w:rsidRPr="00DD7BD1" w:rsidRDefault="00434AFC" w:rsidP="00434AFC">
      <w:pPr>
        <w:pStyle w:val="Bullet"/>
        <w:rPr>
          <w:rFonts w:cs="Calibri"/>
          <w:color w:val="auto"/>
          <w:szCs w:val="22"/>
        </w:rPr>
      </w:pPr>
      <w:r w:rsidRPr="00DD7BD1">
        <w:rPr>
          <w:rFonts w:cs="Calibri"/>
          <w:color w:val="auto"/>
          <w:szCs w:val="22"/>
        </w:rPr>
        <w:t xml:space="preserve">Modify the definition of employer; </w:t>
      </w:r>
    </w:p>
    <w:p w14:paraId="7CE09411" w14:textId="77777777" w:rsidR="00434AFC" w:rsidRPr="00DD7BD1" w:rsidRDefault="00434AFC" w:rsidP="00434AFC">
      <w:pPr>
        <w:pStyle w:val="Bullet"/>
        <w:rPr>
          <w:rFonts w:cs="Calibri"/>
          <w:color w:val="auto"/>
          <w:szCs w:val="22"/>
        </w:rPr>
      </w:pPr>
      <w:r w:rsidRPr="00DD7BD1">
        <w:rPr>
          <w:rFonts w:cs="Calibri"/>
          <w:color w:val="auto"/>
          <w:szCs w:val="22"/>
        </w:rPr>
        <w:t>Prohibit payroll deductions beyond an employee’s applicable minimum wage;</w:t>
      </w:r>
    </w:p>
    <w:p w14:paraId="4E9D4224" w14:textId="77777777" w:rsidR="00434AFC" w:rsidRPr="00DD7BD1" w:rsidRDefault="00434AFC" w:rsidP="00434AFC">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1FF4390" w14:textId="77777777" w:rsidR="00434AFC" w:rsidRPr="00DD7BD1" w:rsidRDefault="00434AFC" w:rsidP="00434AFC">
      <w:pPr>
        <w:pStyle w:val="Bullet"/>
        <w:rPr>
          <w:rFonts w:cs="Calibri"/>
          <w:color w:val="auto"/>
          <w:szCs w:val="22"/>
        </w:rPr>
      </w:pPr>
      <w:r w:rsidRPr="00DD7BD1">
        <w:rPr>
          <w:rFonts w:cs="Calibri"/>
          <w:color w:val="auto"/>
          <w:szCs w:val="22"/>
        </w:rPr>
        <w:t>Revise attorney fee award requirements for employers;</w:t>
      </w:r>
    </w:p>
    <w:p w14:paraId="38CF8EAE" w14:textId="77777777" w:rsidR="00434AFC" w:rsidRPr="00DD7BD1" w:rsidRDefault="00434AFC" w:rsidP="00434AFC">
      <w:pPr>
        <w:pStyle w:val="Bullet"/>
        <w:rPr>
          <w:rFonts w:cs="Calibri"/>
          <w:color w:val="auto"/>
          <w:szCs w:val="22"/>
        </w:rPr>
      </w:pPr>
      <w:r w:rsidRPr="00DD7BD1">
        <w:rPr>
          <w:rFonts w:cs="Calibri"/>
          <w:color w:val="auto"/>
          <w:szCs w:val="22"/>
        </w:rPr>
        <w:t xml:space="preserve">Update enforcement thresholds; </w:t>
      </w:r>
    </w:p>
    <w:p w14:paraId="0DA178DE" w14:textId="77777777" w:rsidR="00434AFC" w:rsidRPr="00DD7BD1" w:rsidRDefault="00434AFC" w:rsidP="00434AFC">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06A683FD" w14:textId="77777777" w:rsidR="00434AFC" w:rsidRPr="00DD7BD1" w:rsidRDefault="00434AFC" w:rsidP="00434AFC">
      <w:pPr>
        <w:pStyle w:val="Bullet"/>
        <w:rPr>
          <w:rFonts w:cs="Calibri"/>
          <w:color w:val="auto"/>
          <w:szCs w:val="22"/>
        </w:rPr>
      </w:pPr>
      <w:r w:rsidRPr="00DD7BD1">
        <w:rPr>
          <w:rFonts w:cs="Calibri"/>
          <w:color w:val="auto"/>
          <w:szCs w:val="22"/>
        </w:rPr>
        <w:t>Permit cities and counties to enact and enforce laws related to wage payments;</w:t>
      </w:r>
    </w:p>
    <w:p w14:paraId="3D224240" w14:textId="77777777" w:rsidR="00434AFC" w:rsidRPr="00DD7BD1" w:rsidRDefault="00434AFC" w:rsidP="00434AFC">
      <w:pPr>
        <w:pStyle w:val="Bullet"/>
        <w:rPr>
          <w:rFonts w:cs="Calibri"/>
          <w:color w:val="auto"/>
          <w:szCs w:val="22"/>
        </w:rPr>
      </w:pPr>
      <w:r w:rsidRPr="00DD7BD1">
        <w:rPr>
          <w:rFonts w:cs="Calibri"/>
          <w:color w:val="auto"/>
          <w:szCs w:val="22"/>
        </w:rPr>
        <w:t>Update penalties for employee misclassification; and</w:t>
      </w:r>
    </w:p>
    <w:p w14:paraId="5BDF2BDF" w14:textId="1288142C" w:rsidR="00434AFC" w:rsidRPr="00DD7BD1" w:rsidRDefault="00434AFC" w:rsidP="00434AFC">
      <w:pPr>
        <w:pStyle w:val="Bullet"/>
        <w:rPr>
          <w:rFonts w:cs="Calibri"/>
          <w:color w:val="auto"/>
          <w:szCs w:val="22"/>
        </w:rPr>
      </w:pPr>
      <w:r w:rsidRPr="00DD7BD1">
        <w:rPr>
          <w:rFonts w:cs="Calibri"/>
          <w:color w:val="auto"/>
          <w:szCs w:val="22"/>
        </w:rPr>
        <w:t>Expand discrimination and retaliation protections.</w:t>
      </w:r>
    </w:p>
    <w:p w14:paraId="3C3226CF" w14:textId="77777777" w:rsidR="00434AFC" w:rsidRPr="00DD7BD1" w:rsidRDefault="00434AFC" w:rsidP="00434AFC">
      <w:pPr>
        <w:pStyle w:val="Bullet"/>
        <w:numPr>
          <w:ilvl w:val="0"/>
          <w:numId w:val="0"/>
        </w:numPr>
        <w:ind w:left="720"/>
        <w:rPr>
          <w:rFonts w:cs="Calibri"/>
          <w:color w:val="auto"/>
          <w:szCs w:val="22"/>
        </w:rPr>
      </w:pPr>
    </w:p>
    <w:p w14:paraId="35A8DDED" w14:textId="3FA5EF6E"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Clarifies Gender Expression</w:t>
      </w:r>
      <w:r w:rsidRPr="00DD7BD1">
        <w:rPr>
          <w:rFonts w:ascii="Calibri" w:hAnsi="Calibri" w:cs="Calibri"/>
          <w:b/>
          <w:bCs/>
          <w:color w:val="C00000"/>
          <w:sz w:val="28"/>
          <w:szCs w:val="28"/>
          <w:shd w:val="clear" w:color="auto" w:fill="FFFFFF"/>
          <w:lang w:val="en"/>
        </w:rPr>
        <w:t>– Eff May 16, 2025</w:t>
      </w:r>
    </w:p>
    <w:p w14:paraId="1E18BA1E" w14:textId="18FA82E2"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As of May 16, 2025, Colorado has clarified that its definition of </w:t>
      </w:r>
      <w:r w:rsidRPr="00DD7BD1">
        <w:rPr>
          <w:rFonts w:ascii="Calibri" w:hAnsi="Calibri" w:cs="Calibri"/>
          <w:b/>
          <w:bCs/>
          <w:shd w:val="clear" w:color="auto" w:fill="FFFFFF"/>
        </w:rPr>
        <w:t>gender expression</w:t>
      </w:r>
      <w:r w:rsidRPr="00DD7BD1">
        <w:rPr>
          <w:rFonts w:ascii="Calibri" w:hAnsi="Calibri" w:cs="Calibri"/>
          <w:shd w:val="clear" w:color="auto" w:fill="FFFFFF"/>
        </w:rPr>
        <w:t xml:space="preserve"> includes someone’s chosen name and how they choose to be addressed. This means that deadnaming and misgendering—referring to someone by a former name or incorrect pronouns—are now clearly defined as </w:t>
      </w:r>
      <w:r w:rsidRPr="00DD7BD1">
        <w:rPr>
          <w:rFonts w:ascii="Calibri" w:hAnsi="Calibri" w:cs="Calibri"/>
          <w:b/>
          <w:bCs/>
          <w:shd w:val="clear" w:color="auto" w:fill="FFFFFF"/>
        </w:rPr>
        <w:t>discriminatory</w:t>
      </w:r>
      <w:r w:rsidRPr="00DD7BD1">
        <w:rPr>
          <w:rFonts w:ascii="Calibri" w:hAnsi="Calibri" w:cs="Calibri"/>
          <w:shd w:val="clear" w:color="auto" w:fill="FFFFFF"/>
        </w:rPr>
        <w:t>.</w:t>
      </w:r>
    </w:p>
    <w:p w14:paraId="3B34EC64"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rPr>
        <w:t xml:space="preserve">State Clarifies Job Protection Rules Under FAMLI Leave – </w:t>
      </w:r>
      <w:r w:rsidRPr="00DD7BD1">
        <w:rPr>
          <w:rFonts w:ascii="Calibri" w:hAnsi="Calibri" w:cs="Calibri"/>
          <w:b/>
          <w:bCs/>
          <w:color w:val="C00000"/>
          <w:sz w:val="28"/>
          <w:szCs w:val="28"/>
          <w:shd w:val="clear" w:color="auto" w:fill="FFFFFF"/>
        </w:rPr>
        <w:t>Eff July 1, 2025</w:t>
      </w:r>
    </w:p>
    <w:p w14:paraId="2814A61A" w14:textId="75ACC0D6"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Employees </w:t>
      </w:r>
      <w:r w:rsidRPr="00DD7BD1">
        <w:rPr>
          <w:rFonts w:ascii="Calibri" w:hAnsi="Calibri" w:cs="Calibri"/>
          <w:shd w:val="clear" w:color="auto" w:fill="FFFFFF"/>
        </w:rPr>
        <w:t xml:space="preserve">taking continuous leave must be </w:t>
      </w:r>
      <w:r w:rsidRPr="00DD7BD1">
        <w:rPr>
          <w:rFonts w:ascii="Calibri" w:hAnsi="Calibri" w:cs="Calibri"/>
          <w:u w:val="single"/>
          <w:shd w:val="clear" w:color="auto" w:fill="FFFFFF"/>
        </w:rPr>
        <w:t>employed for at least 180 days</w:t>
      </w:r>
      <w:r w:rsidRPr="00DD7BD1">
        <w:rPr>
          <w:rFonts w:ascii="Calibri" w:hAnsi="Calibri" w:cs="Calibri"/>
          <w:shd w:val="clear" w:color="auto" w:fill="FFFFFF"/>
        </w:rPr>
        <w:t> </w:t>
      </w:r>
      <w:r w:rsidRPr="00DD7BD1">
        <w:rPr>
          <w:rFonts w:ascii="Calibri" w:hAnsi="Calibri" w:cs="Calibri"/>
          <w:i/>
          <w:iCs/>
          <w:shd w:val="clear" w:color="auto" w:fill="FFFFFF"/>
        </w:rPr>
        <w:t>before </w:t>
      </w:r>
      <w:r w:rsidRPr="00DD7BD1">
        <w:rPr>
          <w:rFonts w:ascii="Calibri" w:hAnsi="Calibri" w:cs="Calibri"/>
          <w:shd w:val="clear" w:color="auto" w:fill="FFFFFF"/>
        </w:rPr>
        <w:t xml:space="preserve">the leave begins to be entitled to job protection. For intermittent leave, job protection kicks in </w:t>
      </w:r>
      <w:r w:rsidRPr="00DD7BD1">
        <w:rPr>
          <w:rFonts w:ascii="Calibri" w:hAnsi="Calibri" w:cs="Calibri"/>
          <w:u w:val="single"/>
          <w:shd w:val="clear" w:color="auto" w:fill="FFFFFF"/>
        </w:rPr>
        <w:t>once employees reach their 180th day of employment</w:t>
      </w:r>
      <w:r w:rsidRPr="00DD7BD1">
        <w:rPr>
          <w:rFonts w:ascii="Calibri" w:hAnsi="Calibri" w:cs="Calibri"/>
          <w:shd w:val="clear" w:color="auto" w:fill="FFFFFF"/>
        </w:rPr>
        <w:t>—even if that happens during the leave period.</w:t>
      </w:r>
    </w:p>
    <w:p w14:paraId="6BE0FBAD"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Biometric Information Requirements – </w:t>
      </w:r>
      <w:r w:rsidRPr="00DD7BD1">
        <w:rPr>
          <w:rFonts w:ascii="Calibri" w:hAnsi="Calibri" w:cs="Calibri"/>
          <w:b/>
          <w:bCs/>
          <w:color w:val="C00000"/>
          <w:sz w:val="28"/>
          <w:szCs w:val="28"/>
          <w:shd w:val="clear" w:color="auto" w:fill="FFFFFF"/>
        </w:rPr>
        <w:t>Eff July 1, 2025</w:t>
      </w:r>
    </w:p>
    <w:p w14:paraId="6002F0E9" w14:textId="68E9BCD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Employers will now be required to adopt a written policy and </w:t>
      </w:r>
      <w:r w:rsidRPr="00DD7BD1">
        <w:rPr>
          <w:rFonts w:ascii="Calibri" w:hAnsi="Calibri" w:cs="Calibri"/>
          <w:u w:val="single"/>
          <w:shd w:val="clear" w:color="auto" w:fill="FFFFFF"/>
        </w:rPr>
        <w:t>obtain consent</w:t>
      </w:r>
      <w:r w:rsidRPr="00DD7BD1">
        <w:rPr>
          <w:rFonts w:ascii="Calibri" w:hAnsi="Calibri" w:cs="Calibri"/>
          <w:shd w:val="clear" w:color="auto" w:fill="FFFFFF"/>
        </w:rPr>
        <w:t xml:space="preserve"> from applicants and employees before collecting </w:t>
      </w:r>
      <w:r w:rsidRPr="00DD7BD1">
        <w:rPr>
          <w:rFonts w:ascii="Calibri" w:hAnsi="Calibri" w:cs="Calibri"/>
          <w:u w:val="single"/>
          <w:shd w:val="clear" w:color="auto" w:fill="FFFFFF"/>
        </w:rPr>
        <w:t>certain biometric information</w:t>
      </w:r>
      <w:r w:rsidRPr="00DD7BD1">
        <w:rPr>
          <w:rFonts w:ascii="Calibri" w:hAnsi="Calibri" w:cs="Calibri"/>
          <w:shd w:val="clear" w:color="auto" w:fill="FFFFFF"/>
        </w:rPr>
        <w:t xml:space="preserve">. That said, employers </w:t>
      </w:r>
      <w:r w:rsidRPr="00DD7BD1">
        <w:rPr>
          <w:rFonts w:ascii="Calibri" w:hAnsi="Calibri" w:cs="Calibri"/>
          <w:u w:val="single"/>
          <w:shd w:val="clear" w:color="auto" w:fill="FFFFFF"/>
        </w:rPr>
        <w:t>can make consent </w:t>
      </w:r>
      <w:r w:rsidRPr="00DD7BD1">
        <w:rPr>
          <w:rFonts w:ascii="Calibri" w:hAnsi="Calibri" w:cs="Calibri"/>
          <w:i/>
          <w:iCs/>
          <w:u w:val="single"/>
          <w:shd w:val="clear" w:color="auto" w:fill="FFFFFF"/>
        </w:rPr>
        <w:t>a condition of employment</w:t>
      </w:r>
      <w:r w:rsidRPr="00DD7BD1">
        <w:rPr>
          <w:rFonts w:ascii="Calibri" w:hAnsi="Calibri" w:cs="Calibri"/>
          <w:u w:val="single"/>
          <w:shd w:val="clear" w:color="auto" w:fill="FFFFFF"/>
        </w:rPr>
        <w:t> for some common uses of biometric data</w:t>
      </w:r>
      <w:r w:rsidRPr="00DD7BD1">
        <w:rPr>
          <w:rFonts w:ascii="Calibri" w:hAnsi="Calibri" w:cs="Calibri"/>
          <w:shd w:val="clear" w:color="auto" w:fill="FFFFFF"/>
        </w:rPr>
        <w:t>.</w:t>
      </w:r>
    </w:p>
    <w:p w14:paraId="0C3C25A1"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7A7C37D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677"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0A77800A" w14:textId="77777777" w:rsidR="00784E6F" w:rsidRPr="00DD7BD1" w:rsidRDefault="00784E6F" w:rsidP="00784E6F">
      <w:pPr>
        <w:pStyle w:val="SubHeader"/>
        <w:spacing w:line="240" w:lineRule="auto"/>
        <w:rPr>
          <w:rFonts w:cs="Calibri"/>
          <w:color w:val="auto"/>
          <w:sz w:val="22"/>
          <w:szCs w:val="22"/>
        </w:rPr>
      </w:pPr>
    </w:p>
    <w:p w14:paraId="2577AB05"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rPr>
        <w:t>NICU Leave</w:t>
      </w:r>
    </w:p>
    <w:p w14:paraId="7AE898CF"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483B2DAB"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12 weeks annually; plus </w:t>
      </w:r>
    </w:p>
    <w:p w14:paraId="2153C55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4 weeks for pregnancy or childbirth complications.</w:t>
      </w:r>
    </w:p>
    <w:p w14:paraId="25C5D094"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30DF85EC" w14:textId="77777777" w:rsidR="00784E6F" w:rsidRPr="00DD7BD1" w:rsidRDefault="00784E6F" w:rsidP="00784E6F">
      <w:pPr>
        <w:pStyle w:val="BodyText"/>
        <w:spacing w:after="0" w:line="240" w:lineRule="auto"/>
        <w:rPr>
          <w:rFonts w:cs="Calibri"/>
          <w:b/>
          <w:bCs/>
          <w:color w:val="auto"/>
          <w:szCs w:val="22"/>
        </w:rPr>
      </w:pPr>
    </w:p>
    <w:p w14:paraId="0A218581"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2026 FAMLI Premiums</w:t>
      </w:r>
    </w:p>
    <w:p w14:paraId="430B6660"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lastRenderedPageBreak/>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2530BF47" w14:textId="1F80543B"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DD7BD1" w:rsidRDefault="00784E6F" w:rsidP="00784E6F">
      <w:pPr>
        <w:pStyle w:val="BodyText"/>
        <w:spacing w:after="0" w:line="240" w:lineRule="auto"/>
        <w:rPr>
          <w:rFonts w:cs="Calibri"/>
          <w:color w:val="auto"/>
          <w:szCs w:val="22"/>
        </w:rPr>
      </w:pPr>
    </w:p>
    <w:p w14:paraId="3A3D3048" w14:textId="23433267" w:rsidR="00784E6F" w:rsidRPr="00DD7BD1" w:rsidRDefault="00784E6F" w:rsidP="00784E6F">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Significant W</w:t>
      </w:r>
      <w:r w:rsidR="009A5B51" w:rsidRPr="00DD7BD1">
        <w:rPr>
          <w:rFonts w:ascii="Calibri" w:hAnsi="Calibri" w:cs="Calibri"/>
          <w:b/>
          <w:bCs/>
          <w:sz w:val="28"/>
          <w:szCs w:val="28"/>
          <w:shd w:val="clear" w:color="auto" w:fill="FFFFFF"/>
          <w:lang w:val="en"/>
        </w:rPr>
        <w:t xml:space="preserve">age </w:t>
      </w:r>
      <w:r w:rsidRPr="00DD7BD1">
        <w:rPr>
          <w:rFonts w:ascii="Calibri" w:hAnsi="Calibri" w:cs="Calibri"/>
          <w:b/>
          <w:bCs/>
          <w:sz w:val="28"/>
          <w:szCs w:val="28"/>
          <w:shd w:val="clear" w:color="auto" w:fill="FFFFFF"/>
          <w:lang w:val="en"/>
        </w:rPr>
        <w:t>&amp;</w:t>
      </w:r>
      <w:r w:rsidR="009A5B51" w:rsidRPr="00DD7BD1">
        <w:rPr>
          <w:rFonts w:ascii="Calibri" w:hAnsi="Calibri" w:cs="Calibri"/>
          <w:b/>
          <w:bCs/>
          <w:sz w:val="28"/>
          <w:szCs w:val="28"/>
          <w:shd w:val="clear" w:color="auto" w:fill="FFFFFF"/>
          <w:lang w:val="en"/>
        </w:rPr>
        <w:t xml:space="preserve"> </w:t>
      </w:r>
      <w:r w:rsidRPr="00DD7BD1">
        <w:rPr>
          <w:rFonts w:ascii="Calibri" w:hAnsi="Calibri" w:cs="Calibri"/>
          <w:b/>
          <w:bCs/>
          <w:sz w:val="28"/>
          <w:szCs w:val="28"/>
          <w:shd w:val="clear" w:color="auto" w:fill="FFFFFF"/>
          <w:lang w:val="en"/>
        </w:rPr>
        <w:t>H</w:t>
      </w:r>
      <w:r w:rsidR="009A5B51" w:rsidRPr="00DD7BD1">
        <w:rPr>
          <w:rFonts w:ascii="Calibri" w:hAnsi="Calibri" w:cs="Calibri"/>
          <w:b/>
          <w:bCs/>
          <w:sz w:val="28"/>
          <w:szCs w:val="28"/>
          <w:shd w:val="clear" w:color="auto" w:fill="FFFFFF"/>
          <w:lang w:val="en"/>
        </w:rPr>
        <w:t>our</w:t>
      </w:r>
      <w:r w:rsidRPr="00DD7BD1">
        <w:rPr>
          <w:rFonts w:ascii="Calibri" w:hAnsi="Calibri" w:cs="Calibri"/>
          <w:b/>
          <w:bCs/>
          <w:sz w:val="28"/>
          <w:szCs w:val="28"/>
          <w:shd w:val="clear" w:color="auto" w:fill="FFFFFF"/>
          <w:lang w:val="en"/>
        </w:rPr>
        <w:t xml:space="preserve"> Amendments </w:t>
      </w:r>
      <w:r w:rsidRPr="00DD7BD1">
        <w:rPr>
          <w:rFonts w:ascii="Calibri" w:hAnsi="Calibri" w:cs="Calibri"/>
          <w:b/>
          <w:bCs/>
          <w:color w:val="C00000"/>
          <w:sz w:val="28"/>
          <w:szCs w:val="28"/>
          <w:shd w:val="clear" w:color="auto" w:fill="FFFFFF"/>
          <w:lang w:val="en"/>
        </w:rPr>
        <w:t>– Eff Aug 6, 2025</w:t>
      </w:r>
    </w:p>
    <w:p w14:paraId="587206A8" w14:textId="77777777" w:rsidR="00784E6F" w:rsidRPr="00DD7BD1" w:rsidRDefault="00784E6F" w:rsidP="00784E6F">
      <w:pPr>
        <w:pStyle w:val="BodyText"/>
        <w:rPr>
          <w:rFonts w:cs="Calibri"/>
          <w:color w:val="auto"/>
          <w:szCs w:val="22"/>
        </w:rPr>
      </w:pPr>
      <w:r w:rsidRPr="00DD7BD1">
        <w:rPr>
          <w:rFonts w:cs="Calibri"/>
          <w:color w:val="auto"/>
          <w:szCs w:val="22"/>
        </w:rPr>
        <w:t xml:space="preserve">On May 22, 2025, Colorado </w:t>
      </w:r>
      <w:hyperlink r:id="rId678"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29764655" w14:textId="77777777" w:rsidR="00784E6F" w:rsidRPr="00DD7BD1" w:rsidRDefault="00784E6F" w:rsidP="00784E6F">
      <w:pPr>
        <w:pStyle w:val="Bullet"/>
        <w:rPr>
          <w:rFonts w:cs="Calibri"/>
          <w:color w:val="auto"/>
          <w:szCs w:val="22"/>
        </w:rPr>
      </w:pPr>
      <w:r w:rsidRPr="00DD7BD1">
        <w:rPr>
          <w:rFonts w:cs="Calibri"/>
          <w:color w:val="auto"/>
          <w:szCs w:val="22"/>
        </w:rPr>
        <w:t xml:space="preserve">Modify the definition of employer; </w:t>
      </w:r>
    </w:p>
    <w:p w14:paraId="3974E28D" w14:textId="77777777" w:rsidR="00784E6F" w:rsidRPr="00DD7BD1" w:rsidRDefault="00784E6F" w:rsidP="00784E6F">
      <w:pPr>
        <w:pStyle w:val="Bullet"/>
        <w:rPr>
          <w:rFonts w:cs="Calibri"/>
          <w:color w:val="auto"/>
          <w:szCs w:val="22"/>
        </w:rPr>
      </w:pPr>
      <w:r w:rsidRPr="00DD7BD1">
        <w:rPr>
          <w:rFonts w:cs="Calibri"/>
          <w:color w:val="auto"/>
          <w:szCs w:val="22"/>
        </w:rPr>
        <w:t>Prohibit payroll deductions beyond an employee’s applicable minimum wage;</w:t>
      </w:r>
    </w:p>
    <w:p w14:paraId="5424137D" w14:textId="77777777" w:rsidR="00784E6F" w:rsidRPr="00DD7BD1" w:rsidRDefault="00784E6F" w:rsidP="00784E6F">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70C7B34" w14:textId="77777777" w:rsidR="00784E6F" w:rsidRPr="00DD7BD1" w:rsidRDefault="00784E6F" w:rsidP="00784E6F">
      <w:pPr>
        <w:pStyle w:val="Bullet"/>
        <w:rPr>
          <w:rFonts w:cs="Calibri"/>
          <w:color w:val="auto"/>
          <w:szCs w:val="22"/>
        </w:rPr>
      </w:pPr>
      <w:r w:rsidRPr="00DD7BD1">
        <w:rPr>
          <w:rFonts w:cs="Calibri"/>
          <w:color w:val="auto"/>
          <w:szCs w:val="22"/>
        </w:rPr>
        <w:t>Revise attorney fee award requirements for employers;</w:t>
      </w:r>
    </w:p>
    <w:p w14:paraId="04DF36BD" w14:textId="77777777" w:rsidR="00784E6F" w:rsidRPr="00DD7BD1" w:rsidRDefault="00784E6F" w:rsidP="00784E6F">
      <w:pPr>
        <w:pStyle w:val="Bullet"/>
        <w:rPr>
          <w:rFonts w:cs="Calibri"/>
          <w:color w:val="auto"/>
          <w:szCs w:val="22"/>
        </w:rPr>
      </w:pPr>
      <w:r w:rsidRPr="00DD7BD1">
        <w:rPr>
          <w:rFonts w:cs="Calibri"/>
          <w:color w:val="auto"/>
          <w:szCs w:val="22"/>
        </w:rPr>
        <w:t xml:space="preserve">Update enforcement thresholds; </w:t>
      </w:r>
    </w:p>
    <w:p w14:paraId="024390A9" w14:textId="77777777" w:rsidR="00784E6F" w:rsidRPr="00DD7BD1" w:rsidRDefault="00784E6F" w:rsidP="00784E6F">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75114602" w14:textId="77777777" w:rsidR="00784E6F" w:rsidRPr="00DD7BD1" w:rsidRDefault="00784E6F" w:rsidP="00784E6F">
      <w:pPr>
        <w:pStyle w:val="Bullet"/>
        <w:rPr>
          <w:rFonts w:cs="Calibri"/>
          <w:color w:val="auto"/>
          <w:szCs w:val="22"/>
        </w:rPr>
      </w:pPr>
      <w:r w:rsidRPr="00DD7BD1">
        <w:rPr>
          <w:rFonts w:cs="Calibri"/>
          <w:color w:val="auto"/>
          <w:szCs w:val="22"/>
        </w:rPr>
        <w:t>Permit cities and counties to enact and enforce laws related to wage payments;</w:t>
      </w:r>
    </w:p>
    <w:p w14:paraId="32B7B7C9" w14:textId="77777777" w:rsidR="00784E6F" w:rsidRPr="00DD7BD1" w:rsidRDefault="00784E6F" w:rsidP="00784E6F">
      <w:pPr>
        <w:pStyle w:val="Bullet"/>
        <w:rPr>
          <w:rFonts w:cs="Calibri"/>
          <w:color w:val="auto"/>
          <w:szCs w:val="22"/>
        </w:rPr>
      </w:pPr>
      <w:r w:rsidRPr="00DD7BD1">
        <w:rPr>
          <w:rFonts w:cs="Calibri"/>
          <w:color w:val="auto"/>
          <w:szCs w:val="22"/>
        </w:rPr>
        <w:t>Update penalties for employee misclassification; and</w:t>
      </w:r>
    </w:p>
    <w:p w14:paraId="4D126A91" w14:textId="77777777" w:rsidR="00784E6F" w:rsidRPr="00DD7BD1" w:rsidRDefault="00784E6F" w:rsidP="00784E6F">
      <w:pPr>
        <w:pStyle w:val="Bullet"/>
        <w:rPr>
          <w:rFonts w:cs="Calibri"/>
          <w:color w:val="auto"/>
          <w:szCs w:val="22"/>
        </w:rPr>
      </w:pPr>
      <w:r w:rsidRPr="00DD7BD1">
        <w:rPr>
          <w:rFonts w:cs="Calibri"/>
          <w:color w:val="auto"/>
          <w:szCs w:val="22"/>
        </w:rPr>
        <w:t>Expand discrimination and retaliation protections.</w:t>
      </w:r>
    </w:p>
    <w:p w14:paraId="5C88EEC0" w14:textId="5A26D9DA" w:rsidR="00784E6F" w:rsidRPr="00DD7BD1" w:rsidRDefault="00784E6F" w:rsidP="00784E6F">
      <w:pPr>
        <w:pStyle w:val="BodyText"/>
        <w:spacing w:after="0"/>
        <w:rPr>
          <w:rFonts w:cs="Calibri"/>
          <w:color w:val="auto"/>
          <w:szCs w:val="22"/>
        </w:rPr>
      </w:pPr>
      <w:r w:rsidRPr="00DD7BD1">
        <w:rPr>
          <w:rFonts w:cs="Calibri"/>
          <w:color w:val="auto"/>
          <w:szCs w:val="22"/>
        </w:rPr>
        <w:t>See attached resource for additional related details.</w:t>
      </w:r>
    </w:p>
    <w:p w14:paraId="56A013D9" w14:textId="77777777" w:rsidR="00784E6F" w:rsidRPr="00DD7BD1" w:rsidRDefault="00784E6F" w:rsidP="00503F70">
      <w:pPr>
        <w:spacing w:after="0" w:line="240" w:lineRule="auto"/>
        <w:jc w:val="center"/>
        <w:rPr>
          <w:rFonts w:ascii="Calibri" w:hAnsi="Calibri" w:cs="Calibri"/>
          <w:b/>
          <w:bCs/>
          <w:sz w:val="16"/>
          <w:szCs w:val="16"/>
          <w:shd w:val="clear" w:color="auto" w:fill="FFFFFF"/>
          <w:lang w:val="en"/>
        </w:rPr>
      </w:pPr>
    </w:p>
    <w:p w14:paraId="1D3A3994" w14:textId="64B3891D" w:rsidR="00503F70" w:rsidRPr="00DD7BD1" w:rsidRDefault="00503F70" w:rsidP="00503F7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Comprehensive AI Legislation - Feb 1, 2025</w:t>
      </w:r>
    </w:p>
    <w:p w14:paraId="5DBFAA05" w14:textId="77777777" w:rsidR="00503F70" w:rsidRPr="00DD7BD1" w:rsidRDefault="00503F70" w:rsidP="00503F70">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Senate Bill (SB) 24-205 was the first state to pass comprehensive artificial intelligence (AI) regulation. The </w:t>
      </w:r>
      <w:proofErr w:type="gramStart"/>
      <w:r w:rsidRPr="00DD7BD1">
        <w:rPr>
          <w:rFonts w:ascii="Calibri" w:hAnsi="Calibri" w:cs="Calibri"/>
          <w:shd w:val="clear" w:color="auto" w:fill="FFFFFF"/>
          <w:lang w:val="en"/>
        </w:rPr>
        <w:t>enacted regulations</w:t>
      </w:r>
      <w:proofErr w:type="gramEnd"/>
      <w:r w:rsidRPr="00DD7BD1">
        <w:rPr>
          <w:rFonts w:ascii="Calibri" w:hAnsi="Calibri" w:cs="Calibri"/>
          <w:shd w:val="clear" w:color="auto" w:fill="FFFFFF"/>
          <w:lang w:val="en"/>
        </w:rPr>
        <w:t xml:space="preserve"> require businesses to use reasonable care to avoid discrimination when using AI for consequential decision-making (such as hiring, termination and other employment decisions).  </w:t>
      </w:r>
    </w:p>
    <w:p w14:paraId="15563D94" w14:textId="77777777" w:rsidR="00503F70" w:rsidRPr="00DD7BD1" w:rsidRDefault="00503F70" w:rsidP="00B939E8">
      <w:pPr>
        <w:spacing w:after="0" w:line="240" w:lineRule="auto"/>
        <w:jc w:val="center"/>
        <w:rPr>
          <w:rFonts w:ascii="Calibri" w:hAnsi="Calibri" w:cs="Calibri"/>
          <w:b/>
          <w:bCs/>
          <w:shd w:val="clear" w:color="auto" w:fill="FFFFFF"/>
          <w:lang w:val="en"/>
        </w:rPr>
      </w:pPr>
    </w:p>
    <w:p w14:paraId="6A03F8D0" w14:textId="76E39EF6" w:rsidR="00B939E8" w:rsidRPr="00DD7BD1" w:rsidRDefault="00B939E8" w:rsidP="00B939E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FAMLI Rules Include Employer Penalties</w:t>
      </w:r>
    </w:p>
    <w:p w14:paraId="356D44E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Colorado Department of Labor and Employment recently issued </w:t>
      </w:r>
      <w:hyperlink r:id="rId679" w:history="1">
        <w:r w:rsidRPr="00DD7BD1">
          <w:rPr>
            <w:rStyle w:val="Hyperlink"/>
            <w:rFonts w:ascii="Calibri" w:hAnsi="Calibri" w:cs="Calibri"/>
            <w:shd w:val="clear" w:color="auto" w:fill="FFFFFF"/>
          </w:rPr>
          <w:t>rules</w:t>
        </w:r>
      </w:hyperlink>
      <w:r w:rsidRPr="00DD7BD1">
        <w:rPr>
          <w:rFonts w:ascii="Calibri" w:hAnsi="Calibri" w:cs="Calibri"/>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DD7BD1" w:rsidRDefault="00503F70" w:rsidP="00B939E8">
      <w:pPr>
        <w:spacing w:after="0" w:line="240" w:lineRule="auto"/>
        <w:rPr>
          <w:rFonts w:ascii="Calibri" w:hAnsi="Calibri" w:cs="Calibri"/>
          <w:shd w:val="clear" w:color="auto" w:fill="FFFFFF"/>
        </w:rPr>
      </w:pPr>
    </w:p>
    <w:p w14:paraId="3BF8A5F0" w14:textId="77777777" w:rsidR="00B939E8" w:rsidRPr="00DD7BD1" w:rsidRDefault="00B939E8" w:rsidP="00B939E8">
      <w:pPr>
        <w:spacing w:after="0" w:line="240" w:lineRule="auto"/>
        <w:rPr>
          <w:rFonts w:ascii="Calibri" w:hAnsi="Calibri" w:cs="Calibri"/>
          <w:b/>
          <w:bCs/>
          <w:u w:val="single"/>
          <w:shd w:val="clear" w:color="auto" w:fill="FFFFFF"/>
        </w:rPr>
      </w:pPr>
      <w:r w:rsidRPr="00DD7BD1">
        <w:rPr>
          <w:rFonts w:ascii="Calibri" w:hAnsi="Calibri" w:cs="Calibri"/>
          <w:b/>
          <w:bCs/>
          <w:u w:val="single"/>
          <w:shd w:val="clear" w:color="auto" w:fill="FFFFFF"/>
        </w:rPr>
        <w:t>Employer Penalties:</w:t>
      </w:r>
    </w:p>
    <w:p w14:paraId="4D02AA20"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bookmarkStart w:id="74" w:name="_Hlk185837722"/>
      <w:bookmarkStart w:id="75" w:name="_Hlk185837723"/>
      <w:r w:rsidRPr="00DD7BD1">
        <w:rPr>
          <w:rFonts w:ascii="Calibri" w:hAnsi="Calibri" w:cs="Calibri"/>
          <w:b/>
          <w:shd w:val="clear" w:color="auto" w:fill="FFFFFF"/>
        </w:rPr>
        <w:t xml:space="preserve">$50 Per Employee Per Day: </w:t>
      </w:r>
      <w:r w:rsidRPr="00DD7BD1">
        <w:rPr>
          <w:rFonts w:ascii="Calibri" w:hAnsi="Calibri" w:cs="Calibri"/>
          <w:shd w:val="clear" w:color="auto" w:fill="FFFFFF"/>
        </w:rPr>
        <w:t>Violations concerning FAMLI and employer-paid leave.</w:t>
      </w:r>
    </w:p>
    <w:p w14:paraId="7A456177"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Employee Per Day: </w:t>
      </w:r>
      <w:r w:rsidRPr="00DD7BD1">
        <w:rPr>
          <w:rFonts w:ascii="Calibri" w:hAnsi="Calibri" w:cs="Calibri"/>
          <w:shd w:val="clear" w:color="auto" w:fill="FFFFFF"/>
        </w:rPr>
        <w:t>Violations of the requirement to continue health care benefits.</w:t>
      </w:r>
    </w:p>
    <w:p w14:paraId="52B91C3F"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Violation: </w:t>
      </w:r>
      <w:r w:rsidRPr="00DD7BD1">
        <w:rPr>
          <w:rFonts w:ascii="Calibri" w:hAnsi="Calibri" w:cs="Calibri"/>
          <w:shd w:val="clear" w:color="auto" w:fill="FFFFFF"/>
        </w:rPr>
        <w:t>Violations of the requirements for the coordination of FAMLI benefits, short-term disability benefits, long-term disability benefits, and time off solely for the purpose of paid family and medical leave</w:t>
      </w:r>
      <w:bookmarkEnd w:id="74"/>
      <w:bookmarkEnd w:id="75"/>
      <w:r w:rsidRPr="00DD7BD1">
        <w:rPr>
          <w:rFonts w:ascii="Calibri" w:hAnsi="Calibri" w:cs="Calibri"/>
          <w:shd w:val="clear" w:color="auto" w:fill="FFFFFF"/>
        </w:rPr>
        <w:t>.</w:t>
      </w:r>
    </w:p>
    <w:p w14:paraId="38492B04" w14:textId="77777777" w:rsidR="00B939E8" w:rsidRPr="00DD7BD1" w:rsidRDefault="00B939E8" w:rsidP="00CD70B8">
      <w:pPr>
        <w:spacing w:after="0" w:line="240" w:lineRule="auto"/>
        <w:jc w:val="center"/>
        <w:rPr>
          <w:rFonts w:ascii="Calibri" w:hAnsi="Calibri" w:cs="Calibri"/>
          <w:b/>
          <w:bCs/>
          <w:shd w:val="clear" w:color="auto" w:fill="FFFFFF"/>
          <w:lang w:val="en"/>
        </w:rPr>
      </w:pPr>
    </w:p>
    <w:p w14:paraId="5A9E7C2E" w14:textId="7B2E3F8E"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Holiday</w:t>
      </w:r>
      <w:r w:rsidRPr="00DD7BD1">
        <w:rPr>
          <w:rFonts w:ascii="Calibri" w:hAnsi="Calibri" w:cs="Calibri"/>
          <w:b/>
          <w:bCs/>
          <w:sz w:val="28"/>
          <w:szCs w:val="28"/>
          <w:shd w:val="clear" w:color="auto" w:fill="FFFFFF"/>
        </w:rPr>
        <w:t xml:space="preserve"> Incentive Pay in Regular Rate of Pay Calculation</w:t>
      </w:r>
    </w:p>
    <w:p w14:paraId="0D0EC71B"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Supreme Court of Colorado recently, </w:t>
      </w:r>
      <w:hyperlink r:id="rId680" w:tgtFrame="_blank" w:history="1">
        <w:r w:rsidRPr="00DD7BD1">
          <w:rPr>
            <w:rStyle w:val="Hyperlink"/>
            <w:rFonts w:ascii="Calibri" w:hAnsi="Calibri" w:cs="Calibri"/>
            <w:i/>
            <w:iCs/>
            <w:shd w:val="clear" w:color="auto" w:fill="FFFFFF"/>
          </w:rPr>
          <w:t>Hamilton v. Amazon.com Services LLC</w:t>
        </w:r>
      </w:hyperlink>
      <w:r w:rsidRPr="00DD7BD1">
        <w:rPr>
          <w:rFonts w:ascii="Calibri" w:hAnsi="Calibri" w:cs="Calibri"/>
          <w:color w:val="2E74B5" w:themeColor="accent5" w:themeShade="BF"/>
          <w:shd w:val="clear" w:color="auto" w:fill="FFFFFF"/>
        </w:rPr>
        <w:t xml:space="preserve"> , </w:t>
      </w:r>
      <w:r w:rsidRPr="00DD7BD1">
        <w:rPr>
          <w:rFonts w:ascii="Calibri" w:hAnsi="Calibri" w:cs="Calibri"/>
          <w:shd w:val="clear" w:color="auto" w:fill="FFFFFF"/>
        </w:rPr>
        <w:t>ruled that holiday incentive pay (extra pay for hours worked on a company holiday) is a type of </w:t>
      </w:r>
      <w:r w:rsidRPr="00DD7BD1">
        <w:rPr>
          <w:rFonts w:ascii="Calibri" w:hAnsi="Calibri" w:cs="Calibri"/>
          <w:i/>
          <w:iCs/>
          <w:shd w:val="clear" w:color="auto" w:fill="FFFFFF"/>
        </w:rPr>
        <w:t>shift differential </w:t>
      </w:r>
      <w:r w:rsidRPr="00DD7BD1">
        <w:rPr>
          <w:rFonts w:ascii="Calibri" w:hAnsi="Calibri" w:cs="Calibri"/>
          <w:shd w:val="clear" w:color="auto" w:fill="FFFFFF"/>
        </w:rPr>
        <w:t>compensation, and therefore must be included in the calculation of an employee’s </w:t>
      </w:r>
      <w:r w:rsidRPr="00DD7BD1">
        <w:rPr>
          <w:rFonts w:ascii="Calibri" w:hAnsi="Calibri" w:cs="Calibri"/>
          <w:i/>
          <w:iCs/>
          <w:shd w:val="clear" w:color="auto" w:fill="FFFFFF"/>
        </w:rPr>
        <w:t>regular rate of pay</w:t>
      </w:r>
      <w:r w:rsidRPr="00DD7BD1">
        <w:rPr>
          <w:rFonts w:ascii="Calibri" w:hAnsi="Calibri" w:cs="Calibri"/>
          <w:shd w:val="clear" w:color="auto" w:fill="FFFFFF"/>
        </w:rPr>
        <w:t> (RROP) for overtime purposes.</w:t>
      </w:r>
    </w:p>
    <w:p w14:paraId="0AF91AD9" w14:textId="77777777" w:rsidR="00CD70B8" w:rsidRPr="00DD7BD1" w:rsidRDefault="00CD70B8" w:rsidP="00CD70B8">
      <w:pPr>
        <w:spacing w:after="0" w:line="240" w:lineRule="auto"/>
        <w:rPr>
          <w:rFonts w:ascii="Calibri" w:hAnsi="Calibri" w:cs="Calibri"/>
          <w:shd w:val="clear" w:color="auto" w:fill="FFFFFF"/>
        </w:rPr>
      </w:pPr>
    </w:p>
    <w:p w14:paraId="1187A79D"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is </w:t>
      </w:r>
      <w:r w:rsidRPr="00DD7BD1">
        <w:rPr>
          <w:rFonts w:ascii="Calibri" w:hAnsi="Calibri" w:cs="Calibri"/>
          <w:u w:val="single"/>
          <w:shd w:val="clear" w:color="auto" w:fill="FFFFFF"/>
        </w:rPr>
        <w:t>different from federal law</w:t>
      </w:r>
      <w:r w:rsidRPr="00DD7BD1">
        <w:rPr>
          <w:rFonts w:ascii="Calibri" w:hAnsi="Calibri" w:cs="Calibri"/>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DD7BD1" w:rsidRDefault="00CD70B8" w:rsidP="008C6649">
      <w:pPr>
        <w:spacing w:after="0" w:line="240" w:lineRule="auto"/>
        <w:jc w:val="center"/>
        <w:rPr>
          <w:rFonts w:ascii="Calibri" w:hAnsi="Calibri" w:cs="Calibri"/>
          <w:b/>
          <w:bCs/>
          <w:shd w:val="clear" w:color="auto" w:fill="FFFFFF"/>
          <w:lang w:val="en"/>
        </w:rPr>
      </w:pPr>
    </w:p>
    <w:p w14:paraId="061CAC03" w14:textId="1D33A4FD" w:rsidR="008C6649" w:rsidRPr="00DD7BD1" w:rsidRDefault="008C6649" w:rsidP="00503F70">
      <w:pPr>
        <w:spacing w:after="0" w:line="240" w:lineRule="auto"/>
        <w:jc w:val="center"/>
        <w:rPr>
          <w:rStyle w:val="Strong"/>
          <w:rFonts w:ascii="Calibri" w:hAnsi="Calibri" w:cs="Calibri"/>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Employment Applications, Expanded Protections for Race &amp; Organ Donations – July 1</w:t>
      </w:r>
    </w:p>
    <w:p w14:paraId="14FFA77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APPLICANT AGE-RELATED INQUIRIES PROHIBITED</w:t>
      </w:r>
      <w:r w:rsidRPr="00DD7BD1">
        <w:rPr>
          <w:rFonts w:ascii="Calibri" w:hAnsi="Calibri" w:cs="Calibri"/>
          <w:sz w:val="22"/>
          <w:szCs w:val="22"/>
        </w:rPr>
        <w:br/>
        <w:t>Beginning July 1, 2024, employers will be prohibited from asking for an applicant’s age, birth date, or school attendance or graduation dates on an initial job application. (These limitations don’t apply to applications for jobs that will be performed entirely outside of Colorado, though inquiring as to any age-related data could potentially run afoul of Age Discrimination and EEO regulations)</w:t>
      </w:r>
    </w:p>
    <w:p w14:paraId="2EC73DF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can ask applicants to </w:t>
      </w:r>
      <w:r w:rsidRPr="00DD7BD1">
        <w:rPr>
          <w:rFonts w:ascii="Calibri" w:hAnsi="Calibri" w:cs="Calibri"/>
          <w:i/>
          <w:iCs/>
          <w:sz w:val="22"/>
          <w:szCs w:val="22"/>
        </w:rPr>
        <w:t>verify their compliance</w:t>
      </w:r>
      <w:r w:rsidRPr="00DD7BD1">
        <w:rPr>
          <w:rFonts w:ascii="Calibri" w:hAnsi="Calibri" w:cs="Calibri"/>
          <w:sz w:val="22"/>
          <w:szCs w:val="22"/>
        </w:rPr>
        <w:t> with certain age requirements imposed by any of the following:</w:t>
      </w:r>
    </w:p>
    <w:p w14:paraId="2CA0209E"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bona fide occupational qualification (BFOQ) related to public or occupational safety</w:t>
      </w:r>
    </w:p>
    <w:p w14:paraId="16100D9D"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federal law or regulation</w:t>
      </w:r>
    </w:p>
    <w:p w14:paraId="00E70D11"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state or local law or regulation based on a BFOQ</w:t>
      </w:r>
    </w:p>
    <w:p w14:paraId="3AECEE2A"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color w:val="282828"/>
          <w:sz w:val="22"/>
          <w:szCs w:val="22"/>
        </w:rPr>
      </w:pPr>
      <w:r w:rsidRPr="00DD7BD1">
        <w:rPr>
          <w:rFonts w:ascii="Calibri" w:hAnsi="Calibri" w:cs="Calibri"/>
          <w:sz w:val="22"/>
          <w:szCs w:val="22"/>
        </w:rPr>
        <w:t>The Colorado Department of Labor and Employment has provided additional guidance on the law in </w:t>
      </w:r>
      <w:hyperlink r:id="rId681" w:tgtFrame="_blank" w:history="1">
        <w:r w:rsidRPr="00DD7BD1">
          <w:rPr>
            <w:rStyle w:val="Hyperlink"/>
            <w:rFonts w:ascii="Calibri" w:eastAsiaTheme="minorHAnsi" w:hAnsi="Calibri" w:cs="Calibri"/>
            <w:sz w:val="22"/>
            <w:szCs w:val="22"/>
          </w:rPr>
          <w:t>INFO #9B</w:t>
        </w:r>
      </w:hyperlink>
      <w:r w:rsidRPr="00DD7BD1">
        <w:rPr>
          <w:rStyle w:val="Hyperlink"/>
          <w:rFonts w:ascii="Calibri" w:eastAsiaTheme="minorHAnsi" w:hAnsi="Calibri" w:cs="Calibri"/>
        </w:rPr>
        <w:t>.</w:t>
      </w:r>
    </w:p>
    <w:p w14:paraId="18B17EB1" w14:textId="73756CD1"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p>
    <w:p w14:paraId="6C5601A6"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Review employment applications and remove any questions prohibited by the law.</w:t>
      </w:r>
    </w:p>
    <w:p w14:paraId="3A8A23BB"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Train those involved in the interview process not to ask questions that are likely to reveal the applicant’s age.</w:t>
      </w:r>
    </w:p>
    <w:p w14:paraId="6089A276"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5C0BBEE7" w14:textId="49A78F24"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rPr>
      </w:pPr>
      <w:r w:rsidRPr="00DD7BD1">
        <w:rPr>
          <w:rStyle w:val="Strong"/>
          <w:rFonts w:ascii="Calibri" w:hAnsi="Calibri" w:cs="Calibri"/>
          <w:sz w:val="22"/>
          <w:szCs w:val="22"/>
        </w:rPr>
        <w:t>PROTECTIONS FOR RACE EXPANDED</w:t>
      </w:r>
      <w:r w:rsidRPr="00DD7BD1">
        <w:rPr>
          <w:rFonts w:ascii="Calibri" w:hAnsi="Calibri" w:cs="Calibri"/>
          <w:sz w:val="22"/>
          <w:szCs w:val="22"/>
        </w:rPr>
        <w:br/>
        <w:t>The state has expanded the definition of </w:t>
      </w:r>
      <w:r w:rsidRPr="00DD7BD1">
        <w:rPr>
          <w:rFonts w:ascii="Calibri" w:hAnsi="Calibri" w:cs="Calibri"/>
          <w:i/>
          <w:iCs/>
          <w:sz w:val="22"/>
          <w:szCs w:val="22"/>
        </w:rPr>
        <w:t>race</w:t>
      </w:r>
      <w:r w:rsidRPr="00DD7BD1">
        <w:rPr>
          <w:rFonts w:ascii="Calibri" w:hAnsi="Calibri" w:cs="Calibri"/>
          <w:sz w:val="22"/>
          <w:szCs w:val="22"/>
        </w:rPr>
        <w:t xml:space="preserve"> in its antidiscrimination statute to include </w:t>
      </w:r>
      <w:r w:rsidRPr="00DD7BD1">
        <w:rPr>
          <w:rFonts w:ascii="Calibri" w:hAnsi="Calibri" w:cs="Calibri"/>
          <w:sz w:val="22"/>
          <w:szCs w:val="22"/>
          <w:u w:val="single"/>
        </w:rPr>
        <w:t>hair length</w:t>
      </w:r>
      <w:r w:rsidRPr="00DD7BD1">
        <w:rPr>
          <w:rFonts w:ascii="Calibri" w:hAnsi="Calibri" w:cs="Calibri"/>
          <w:sz w:val="22"/>
          <w:szCs w:val="22"/>
        </w:rPr>
        <w:t xml:space="preserve">. If you have dress or grooming policies that regulate hair length, consider whether they’re </w:t>
      </w:r>
      <w:proofErr w:type="gramStart"/>
      <w:r w:rsidRPr="00DD7BD1">
        <w:rPr>
          <w:rFonts w:ascii="Calibri" w:hAnsi="Calibri" w:cs="Calibri"/>
          <w:sz w:val="22"/>
          <w:szCs w:val="22"/>
        </w:rPr>
        <w:t>absolutely necessary</w:t>
      </w:r>
      <w:proofErr w:type="gramEnd"/>
      <w:r w:rsidRPr="00DD7BD1">
        <w:rPr>
          <w:rFonts w:ascii="Calibri" w:hAnsi="Calibri" w:cs="Calibri"/>
          <w:sz w:val="22"/>
          <w:szCs w:val="22"/>
        </w:rPr>
        <w:t xml:space="preserve"> for your organization. If you believe they are, consider consulting with an attorney to ensure they don’t run afoul of this law. This law was passed on June 3, 2024, and took effect immediately.</w:t>
      </w:r>
    </w:p>
    <w:p w14:paraId="44CEA347" w14:textId="767405B4"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sz w:val="22"/>
          <w:szCs w:val="22"/>
        </w:rPr>
        <w:t xml:space="preserve"> If necessary, update Equal Employment Opportunity (EEO) policy, and any other policies that include protected classes, to include </w:t>
      </w:r>
      <w:r w:rsidRPr="00DD7BD1">
        <w:rPr>
          <w:rFonts w:ascii="Calibri" w:hAnsi="Calibri" w:cs="Calibri"/>
          <w:i/>
          <w:iCs/>
          <w:sz w:val="22"/>
          <w:szCs w:val="22"/>
        </w:rPr>
        <w:t>hair length</w:t>
      </w:r>
      <w:r w:rsidRPr="00DD7BD1">
        <w:rPr>
          <w:rFonts w:ascii="Calibri" w:hAnsi="Calibri" w:cs="Calibri"/>
          <w:sz w:val="22"/>
          <w:szCs w:val="22"/>
        </w:rPr>
        <w:t> in the definition of race (if you include this level of detail).  ETC will be updating &amp; communicating an updated EEO Policy to include hair length.</w:t>
      </w:r>
    </w:p>
    <w:p w14:paraId="465ABD19"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22154DE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ORGAN DONORS PROTECTED</w:t>
      </w:r>
      <w:r w:rsidRPr="00DD7BD1">
        <w:rPr>
          <w:rFonts w:ascii="Calibri" w:hAnsi="Calibri" w:cs="Calibri"/>
          <w:sz w:val="22"/>
          <w:szCs w:val="22"/>
        </w:rPr>
        <w:br/>
        <w:t>Employers are prohibited from discriminating or taking adverse action against employees who donate an organ. The new law doesn’t specifically require that employers provide organ donation </w:t>
      </w:r>
      <w:r w:rsidRPr="00DD7BD1">
        <w:rPr>
          <w:rFonts w:ascii="Calibri" w:hAnsi="Calibri" w:cs="Calibri"/>
          <w:i/>
          <w:iCs/>
          <w:sz w:val="22"/>
          <w:szCs w:val="22"/>
        </w:rPr>
        <w:t>leave</w:t>
      </w:r>
      <w:r w:rsidRPr="00DD7BD1">
        <w:rPr>
          <w:rFonts w:ascii="Calibri" w:hAnsi="Calibri" w:cs="Calibri"/>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color w:val="282828"/>
          <w:sz w:val="22"/>
          <w:szCs w:val="22"/>
        </w:rPr>
        <w:t xml:space="preserve"> </w:t>
      </w:r>
      <w:r w:rsidRPr="00DD7BD1">
        <w:rPr>
          <w:rFonts w:ascii="Calibri" w:hAnsi="Calibri" w:cs="Calibri"/>
          <w:sz w:val="22"/>
          <w:szCs w:val="22"/>
        </w:rPr>
        <w:t>Update your Equal Employment Opportunity (EEO) policy, and any other policies that include protected classes, to include </w:t>
      </w:r>
      <w:r w:rsidRPr="00DD7BD1">
        <w:rPr>
          <w:rFonts w:ascii="Calibri" w:hAnsi="Calibri" w:cs="Calibri"/>
          <w:i/>
          <w:iCs/>
          <w:sz w:val="22"/>
          <w:szCs w:val="22"/>
        </w:rPr>
        <w:t>organ donors</w:t>
      </w:r>
      <w:r w:rsidRPr="00DD7BD1">
        <w:rPr>
          <w:rFonts w:ascii="Calibri" w:hAnsi="Calibri" w:cs="Calibri"/>
          <w:sz w:val="22"/>
          <w:szCs w:val="22"/>
        </w:rPr>
        <w:t>.</w:t>
      </w:r>
    </w:p>
    <w:p w14:paraId="59C0B486" w14:textId="6496733A"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38A9758A" w14:textId="138B2308" w:rsidR="00022BF0" w:rsidRPr="00DD7BD1" w:rsidRDefault="00022BF0" w:rsidP="00022BF0">
      <w:pPr>
        <w:shd w:val="clear" w:color="auto" w:fill="FFFFFF"/>
        <w:spacing w:after="0" w:line="240" w:lineRule="auto"/>
        <w:jc w:val="center"/>
        <w:outlineLvl w:val="0"/>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Updates to Pay Transparency Law</w:t>
      </w:r>
    </w:p>
    <w:p w14:paraId="580F0599"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state now requires employers to </w:t>
      </w:r>
      <w:r w:rsidRPr="00DD7BD1">
        <w:rPr>
          <w:rFonts w:ascii="Calibri" w:eastAsia="Times New Roman" w:hAnsi="Calibri" w:cs="Calibri"/>
          <w:b/>
          <w:bCs/>
        </w:rPr>
        <w:t>notify employees about all job opportunities</w:t>
      </w:r>
      <w:r w:rsidRPr="00DD7BD1">
        <w:rPr>
          <w:rFonts w:ascii="Calibri" w:eastAsia="Times New Roman" w:hAnsi="Calibri" w:cs="Calibri"/>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 For employers </w:t>
      </w:r>
      <w:r w:rsidRPr="00DD7BD1">
        <w:rPr>
          <w:rFonts w:ascii="Calibri" w:eastAsia="Times New Roman" w:hAnsi="Calibri" w:cs="Calibri"/>
          <w:u w:val="single"/>
        </w:rPr>
        <w:t>with no physical location</w:t>
      </w:r>
      <w:r w:rsidRPr="00DD7BD1">
        <w:rPr>
          <w:rFonts w:ascii="Calibri" w:eastAsia="Times New Roman" w:hAnsi="Calibri" w:cs="Calibri"/>
        </w:rPr>
        <w:t xml:space="preserve"> in Colorado and </w:t>
      </w:r>
      <w:r w:rsidRPr="00DD7BD1">
        <w:rPr>
          <w:rFonts w:ascii="Calibri" w:eastAsia="Times New Roman" w:hAnsi="Calibri" w:cs="Calibri"/>
          <w:u w:val="single"/>
        </w:rPr>
        <w:t>14 or fewer remote employees in the state</w:t>
      </w:r>
      <w:r w:rsidRPr="00DD7BD1">
        <w:rPr>
          <w:rFonts w:ascii="Calibri" w:eastAsia="Times New Roman" w:hAnsi="Calibri" w:cs="Calibri"/>
        </w:rPr>
        <w:t>, only remote job opportunities must be shared.</w:t>
      </w:r>
    </w:p>
    <w:p w14:paraId="3FA8D04C" w14:textId="77777777" w:rsidR="00022BF0" w:rsidRPr="00DD7BD1" w:rsidRDefault="00022BF0" w:rsidP="00B06DBE">
      <w:pPr>
        <w:shd w:val="clear" w:color="auto" w:fill="FFFFFF"/>
        <w:spacing w:after="0" w:line="240" w:lineRule="auto"/>
        <w:jc w:val="both"/>
        <w:rPr>
          <w:rFonts w:ascii="Calibri" w:eastAsia="Times New Roman" w:hAnsi="Calibri" w:cs="Calibri"/>
          <w:sz w:val="12"/>
          <w:szCs w:val="12"/>
        </w:rPr>
      </w:pPr>
    </w:p>
    <w:p w14:paraId="4A4BD757"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Employers also have new post-selection notice responsibilities.</w:t>
      </w:r>
      <w:r w:rsidRPr="00DD7BD1">
        <w:rPr>
          <w:rFonts w:ascii="Calibri" w:eastAsia="Times New Roman" w:hAnsi="Calibri" w:cs="Calibri"/>
        </w:rPr>
        <w:t xml:space="preserve"> </w:t>
      </w:r>
    </w:p>
    <w:p w14:paraId="5A90F560"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Within 30 days of the selected candidate starting the job, employers must communicate the following information to the employees that will regularly work with that individual:</w:t>
      </w:r>
    </w:p>
    <w:p w14:paraId="06225CBD"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name of the person who filled the position</w:t>
      </w:r>
    </w:p>
    <w:p w14:paraId="6F4C719C"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lastRenderedPageBreak/>
        <w:t>The person’s title</w:t>
      </w:r>
    </w:p>
    <w:p w14:paraId="62AF5B4A"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prior title with the employer, if applicable</w:t>
      </w:r>
    </w:p>
    <w:p w14:paraId="5B9C7CBC" w14:textId="77E81131"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How and where employees can express interest in similar job opportunities</w:t>
      </w:r>
    </w:p>
    <w:p w14:paraId="2EA55257" w14:textId="31425CE1" w:rsidR="00AF4ED7"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Finally</w:t>
      </w:r>
      <w:r w:rsidRPr="00DD7BD1">
        <w:rPr>
          <w:rFonts w:ascii="Calibri" w:eastAsia="Times New Roman" w:hAnsi="Calibri" w:cs="Calibri"/>
          <w:b/>
          <w:bCs/>
        </w:rPr>
        <w:t>, all eligible employees must be notified of a position’s requirements for career progression</w:t>
      </w:r>
      <w:r w:rsidRPr="00DD7BD1">
        <w:rPr>
          <w:rFonts w:ascii="Calibri" w:eastAsia="Times New Roman" w:hAnsi="Calibri" w:cs="Calibri"/>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DD7BD1" w:rsidRDefault="008C6649" w:rsidP="0073426F">
      <w:pPr>
        <w:pStyle w:val="Heading1"/>
        <w:shd w:val="clear" w:color="auto" w:fill="FFFFFF"/>
        <w:spacing w:before="0" w:beforeAutospacing="0" w:after="0" w:afterAutospacing="0"/>
        <w:jc w:val="center"/>
        <w:rPr>
          <w:rStyle w:val="Strong"/>
          <w:rFonts w:ascii="Calibri" w:hAnsi="Calibri" w:cs="Calibri"/>
          <w:b/>
          <w:bCs/>
          <w:kern w:val="0"/>
          <w:sz w:val="20"/>
          <w:szCs w:val="20"/>
        </w:rPr>
      </w:pPr>
    </w:p>
    <w:p w14:paraId="18E38980" w14:textId="58EE47E1" w:rsidR="0073426F" w:rsidRPr="00DD7BD1" w:rsidRDefault="0073426F" w:rsidP="0073426F">
      <w:pPr>
        <w:pStyle w:val="Heading1"/>
        <w:shd w:val="clear" w:color="auto" w:fill="FFFFFF"/>
        <w:spacing w:before="0" w:beforeAutospacing="0" w:after="0" w:afterAutospacing="0"/>
        <w:jc w:val="center"/>
        <w:rPr>
          <w:rFonts w:ascii="Calibri" w:hAnsi="Calibri" w:cs="Calibri"/>
          <w:kern w:val="0"/>
          <w:sz w:val="28"/>
          <w:szCs w:val="28"/>
        </w:rPr>
      </w:pPr>
      <w:r w:rsidRPr="00DD7BD1">
        <w:rPr>
          <w:rStyle w:val="Strong"/>
          <w:rFonts w:ascii="Calibri" w:hAnsi="Calibri" w:cs="Calibri"/>
          <w:b/>
          <w:bCs/>
          <w:kern w:val="0"/>
          <w:sz w:val="28"/>
          <w:szCs w:val="28"/>
        </w:rPr>
        <w:t>State AI Bill - Regulating Employment Decisions</w:t>
      </w:r>
    </w:p>
    <w:p w14:paraId="6C1EBCDA" w14:textId="582F46E5" w:rsidR="0073426F" w:rsidRPr="00DD7BD1" w:rsidRDefault="0073426F" w:rsidP="0073426F">
      <w:pPr>
        <w:spacing w:after="0" w:line="240" w:lineRule="auto"/>
        <w:jc w:val="both"/>
        <w:rPr>
          <w:rFonts w:ascii="Calibri" w:hAnsi="Calibri" w:cs="Calibri"/>
        </w:rPr>
      </w:pPr>
      <w:r w:rsidRPr="00DD7BD1">
        <w:rPr>
          <w:rFonts w:ascii="Calibri" w:hAnsi="Calibri" w:cs="Calibri"/>
        </w:rPr>
        <w:t xml:space="preserve">On May 17, 2024, Colorado Governor Jared </w:t>
      </w:r>
      <w:proofErr w:type="spellStart"/>
      <w:r w:rsidRPr="00DD7BD1">
        <w:rPr>
          <w:rFonts w:ascii="Calibri" w:hAnsi="Calibri" w:cs="Calibri"/>
        </w:rPr>
        <w:t>Poils</w:t>
      </w:r>
      <w:proofErr w:type="spellEnd"/>
      <w:r w:rsidRPr="00DD7BD1">
        <w:rPr>
          <w:rFonts w:ascii="Calibri" w:hAnsi="Calibri" w:cs="Calibri"/>
        </w:rPr>
        <w:t xml:space="preserve"> signed Colorado </w:t>
      </w:r>
      <w:hyperlink r:id="rId682" w:history="1">
        <w:r w:rsidRPr="00DD7BD1">
          <w:rPr>
            <w:rStyle w:val="Hyperlink"/>
            <w:rFonts w:ascii="Calibri" w:hAnsi="Calibri" w:cs="Calibri"/>
          </w:rPr>
          <w:t>SB 24-205</w:t>
        </w:r>
      </w:hyperlink>
      <w:r w:rsidRPr="00DD7BD1">
        <w:rPr>
          <w:rFonts w:ascii="Calibri" w:hAnsi="Calibri" w:cs="Calibri"/>
        </w:rPr>
        <w:t xml:space="preserve">, making Colorado the first state to enact broad legislation regulating employers’ use of AI to make “consequential decisions.” </w:t>
      </w:r>
      <w:r w:rsidR="008C6649" w:rsidRPr="00DD7BD1">
        <w:rPr>
          <w:rFonts w:ascii="Calibri" w:hAnsi="Calibri" w:cs="Calibri"/>
        </w:rPr>
        <w:t xml:space="preserve"> The law, </w:t>
      </w:r>
      <w:proofErr w:type="gramStart"/>
      <w:r w:rsidR="008C6649" w:rsidRPr="00DD7BD1">
        <w:rPr>
          <w:rFonts w:ascii="Calibri" w:hAnsi="Calibri" w:cs="Calibri"/>
        </w:rPr>
        <w:t>effective on</w:t>
      </w:r>
      <w:proofErr w:type="gramEnd"/>
      <w:r w:rsidR="008C6649" w:rsidRPr="00DD7BD1">
        <w:rPr>
          <w:rFonts w:ascii="Calibri" w:hAnsi="Calibri" w:cs="Calibri"/>
        </w:rPr>
        <w:t xml:space="preserve"> </w:t>
      </w:r>
      <w:r w:rsidR="008C6649" w:rsidRPr="00DD7BD1">
        <w:rPr>
          <w:rFonts w:ascii="Calibri" w:hAnsi="Calibri" w:cs="Calibri"/>
          <w:color w:val="C00000"/>
        </w:rPr>
        <w:t xml:space="preserve">February 1, 2026, </w:t>
      </w:r>
      <w:r w:rsidR="008C6649" w:rsidRPr="00DD7BD1">
        <w:rPr>
          <w:rFonts w:ascii="Calibri" w:hAnsi="Calibri" w:cs="Calibri"/>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DD7BD1" w:rsidRDefault="0073426F" w:rsidP="0073426F">
      <w:pPr>
        <w:shd w:val="clear" w:color="auto" w:fill="FFFFFF"/>
        <w:spacing w:after="0" w:line="240" w:lineRule="auto"/>
        <w:ind w:left="720"/>
        <w:rPr>
          <w:rFonts w:ascii="Calibri" w:eastAsia="Times New Roman" w:hAnsi="Calibri" w:cs="Calibri"/>
          <w:color w:val="292929"/>
          <w:spacing w:val="3"/>
        </w:rPr>
      </w:pPr>
    </w:p>
    <w:p w14:paraId="1A030164"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Key Takeaways</w:t>
      </w:r>
      <w:r w:rsidRPr="00DD7BD1">
        <w:rPr>
          <w:rFonts w:ascii="Calibri" w:hAnsi="Calibri" w:cs="Calibri"/>
          <w:spacing w:val="3"/>
          <w:highlight w:val="lightGray"/>
          <w:shd w:val="clear" w:color="auto" w:fill="FFFFFF"/>
        </w:rPr>
        <w:t>:</w:t>
      </w:r>
      <w:r w:rsidRPr="00DD7BD1">
        <w:rPr>
          <w:rFonts w:ascii="Calibri" w:hAnsi="Calibri" w:cs="Calibri"/>
          <w:spacing w:val="3"/>
          <w:shd w:val="clear" w:color="auto" w:fill="FFFFFF"/>
        </w:rPr>
        <w:t xml:space="preserve"> </w:t>
      </w:r>
      <w:r w:rsidRPr="00DD7BD1">
        <w:rPr>
          <w:rFonts w:ascii="Calibri" w:hAnsi="Calibri" w:cs="Calibri"/>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DD7BD1" w:rsidRDefault="0073426F" w:rsidP="0073426F">
      <w:pPr>
        <w:spacing w:after="0" w:line="240" w:lineRule="auto"/>
        <w:jc w:val="both"/>
        <w:rPr>
          <w:rFonts w:ascii="Calibri" w:hAnsi="Calibri" w:cs="Calibri"/>
          <w:sz w:val="16"/>
          <w:szCs w:val="16"/>
        </w:rPr>
      </w:pPr>
    </w:p>
    <w:p w14:paraId="72CE9232"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Overview:</w:t>
      </w:r>
      <w:r w:rsidRPr="00DD7BD1">
        <w:rPr>
          <w:rFonts w:ascii="Calibri" w:hAnsi="Calibri" w:cs="Calibri"/>
          <w:b/>
          <w:bCs/>
          <w:spacing w:val="3"/>
          <w:shd w:val="clear" w:color="auto" w:fill="FFFFFF"/>
        </w:rPr>
        <w:t xml:space="preserve"> </w:t>
      </w:r>
      <w:r w:rsidRPr="00DD7BD1">
        <w:rPr>
          <w:rFonts w:ascii="Calibri" w:hAnsi="Calibri" w:cs="Calibri"/>
          <w:color w:val="000000" w:themeColor="text1"/>
        </w:rPr>
        <w:t xml:space="preserve">Colorado SB 24-205 broadly covers a wide range of AI applications, including employment, and </w:t>
      </w:r>
      <w:proofErr w:type="gramStart"/>
      <w:r w:rsidRPr="00DD7BD1">
        <w:rPr>
          <w:rFonts w:ascii="Calibri" w:hAnsi="Calibri" w:cs="Calibri"/>
          <w:color w:val="000000" w:themeColor="text1"/>
        </w:rPr>
        <w:t>incentivizes</w:t>
      </w:r>
      <w:proofErr w:type="gramEnd"/>
      <w:r w:rsidRPr="00DD7BD1">
        <w:rPr>
          <w:rFonts w:ascii="Calibri" w:hAnsi="Calibri" w:cs="Calibri"/>
          <w:color w:val="000000" w:themeColor="text1"/>
        </w:rPr>
        <w:t xml:space="preserve">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DD7BD1">
        <w:rPr>
          <w:rFonts w:ascii="Calibri" w:hAnsi="Calibri" w:cs="Calibri"/>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DD7BD1" w:rsidRDefault="0073426F" w:rsidP="0073426F">
      <w:pPr>
        <w:spacing w:after="0" w:line="240" w:lineRule="auto"/>
        <w:jc w:val="both"/>
        <w:rPr>
          <w:rFonts w:ascii="Calibri" w:hAnsi="Calibri" w:cs="Calibri"/>
          <w:color w:val="000000" w:themeColor="text1"/>
          <w:spacing w:val="3"/>
          <w:sz w:val="16"/>
          <w:szCs w:val="16"/>
          <w:shd w:val="clear" w:color="auto" w:fill="FFFFFF"/>
        </w:rPr>
      </w:pPr>
    </w:p>
    <w:p w14:paraId="0E97B12B"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Under Colorado SB 205, deployers of high-risk AI systems must provide “consumers,” including job applicants, with information regarding their </w:t>
      </w:r>
      <w:r w:rsidRPr="00DD7BD1">
        <w:rPr>
          <w:rFonts w:ascii="Calibri" w:hAnsi="Calibri" w:cs="Calibri"/>
          <w:color w:val="000000" w:themeColor="text1"/>
          <w:spacing w:val="3"/>
          <w:u w:val="single"/>
          <w:shd w:val="clear" w:color="auto" w:fill="FFFFFF"/>
        </w:rPr>
        <w:t>right to opt out of the processing of their personal data</w:t>
      </w:r>
      <w:r w:rsidRPr="00DD7BD1">
        <w:rPr>
          <w:rFonts w:ascii="Calibri" w:hAnsi="Calibri" w:cs="Calibri"/>
          <w:color w:val="000000" w:themeColor="text1"/>
          <w:spacing w:val="3"/>
          <w:shd w:val="clear" w:color="auto" w:fill="FFFFFF"/>
        </w:rPr>
        <w:t xml:space="preserve">, consistent with Colorado’s existing privacy law. </w:t>
      </w:r>
    </w:p>
    <w:p w14:paraId="6C7467C1"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Additionally, the bill requires AI deployers using covered systems </w:t>
      </w:r>
      <w:r w:rsidRPr="00DD7BD1">
        <w:rPr>
          <w:rFonts w:ascii="Calibri" w:hAnsi="Calibri" w:cs="Calibri"/>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DD7BD1">
        <w:rPr>
          <w:rFonts w:ascii="Calibri" w:hAnsi="Calibri" w:cs="Calibri"/>
          <w:color w:val="000000" w:themeColor="text1"/>
          <w:spacing w:val="3"/>
          <w:shd w:val="clear" w:color="auto" w:fill="FFFFFF"/>
        </w:rPr>
        <w:t>.</w:t>
      </w:r>
    </w:p>
    <w:p w14:paraId="48BD4C9A"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Colorado SB 205 also requires AI deployers to conduct impact assessments for high-risk AI systems.</w:t>
      </w:r>
    </w:p>
    <w:p w14:paraId="21308298" w14:textId="77777777" w:rsidR="0073426F" w:rsidRPr="00DD7BD1" w:rsidRDefault="0073426F" w:rsidP="0073426F">
      <w:p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the categories of data the system processes as inputs and the outputs it produces;</w:t>
      </w:r>
    </w:p>
    <w:p w14:paraId="1A396B3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An overview of the categories of data used to customize the system, if applicable;</w:t>
      </w:r>
    </w:p>
    <w:p w14:paraId="27D1E11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The metrics used to evaluate the system’s performance and known limitations; and</w:t>
      </w:r>
    </w:p>
    <w:p w14:paraId="39B3E75F"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transparency measures taken, including measures to disclose the use of the system to consumers.</w:t>
      </w:r>
    </w:p>
    <w:p w14:paraId="33748A1F" w14:textId="77777777" w:rsidR="0073426F" w:rsidRPr="00DD7BD1" w:rsidRDefault="0073426F" w:rsidP="00B06DBE">
      <w:pPr>
        <w:shd w:val="clear" w:color="auto" w:fill="FFFFFF"/>
        <w:spacing w:after="0" w:line="240" w:lineRule="auto"/>
        <w:jc w:val="both"/>
        <w:rPr>
          <w:rFonts w:ascii="Calibri" w:eastAsia="Times New Roman" w:hAnsi="Calibri" w:cs="Calibri"/>
          <w:sz w:val="16"/>
          <w:szCs w:val="16"/>
        </w:rPr>
      </w:pPr>
    </w:p>
    <w:p w14:paraId="28F9C5BE" w14:textId="77777777" w:rsidR="00AF4ED7" w:rsidRPr="00DD7BD1" w:rsidRDefault="00AF4ED7" w:rsidP="00AF4ED7">
      <w:pPr>
        <w:shd w:val="clear" w:color="auto" w:fill="FFFFFF"/>
        <w:spacing w:after="0" w:line="240" w:lineRule="auto"/>
        <w:rPr>
          <w:rFonts w:ascii="Calibri" w:hAnsi="Calibri" w:cs="Calibri"/>
          <w:b/>
          <w:bCs/>
          <w:color w:val="2E74B5" w:themeColor="accent5" w:themeShade="BF"/>
          <w:sz w:val="28"/>
          <w:szCs w:val="28"/>
          <w:shd w:val="clear" w:color="auto" w:fill="FFFFFF"/>
          <w:lang w:val="en"/>
        </w:rPr>
      </w:pPr>
      <w:bookmarkStart w:id="76" w:name="_Hlk170458569"/>
      <w:r w:rsidRPr="00DD7BD1">
        <w:rPr>
          <w:rFonts w:ascii="Calibri" w:hAnsi="Calibri" w:cs="Calibri"/>
          <w:b/>
          <w:bCs/>
          <w:color w:val="2E74B5" w:themeColor="accent5" w:themeShade="BF"/>
          <w:sz w:val="28"/>
          <w:szCs w:val="28"/>
          <w:shd w:val="clear" w:color="auto" w:fill="FFFFFF"/>
          <w:lang w:val="en"/>
        </w:rPr>
        <w:t>Connecticut</w:t>
      </w:r>
    </w:p>
    <w:p w14:paraId="16F55E6B" w14:textId="77777777" w:rsidR="00752A36" w:rsidRPr="001578A1" w:rsidRDefault="00752A36" w:rsidP="00752A36">
      <w:pPr>
        <w:spacing w:after="0" w:line="240" w:lineRule="auto"/>
        <w:rPr>
          <w:b/>
          <w:bCs/>
          <w:caps/>
          <w:noProof/>
          <w:color w:val="0E425C"/>
          <w:sz w:val="28"/>
          <w:szCs w:val="28"/>
          <w:u w:val="single"/>
        </w:rPr>
      </w:pPr>
      <w:bookmarkStart w:id="77" w:name="_Hlk212642489"/>
      <w:r w:rsidRPr="001578A1">
        <w:rPr>
          <w:b/>
          <w:bCs/>
          <w:caps/>
          <w:color w:val="0070C0"/>
          <w:sz w:val="26"/>
          <w:szCs w:val="26"/>
        </w:rPr>
        <w:t>New!</w:t>
      </w:r>
      <w:r w:rsidRPr="001578A1">
        <w:rPr>
          <w:b/>
          <w:bCs/>
          <w:caps/>
          <w:noProof/>
          <w:color w:val="0E425C"/>
          <w:sz w:val="26"/>
          <w:szCs w:val="26"/>
        </w:rPr>
        <w:t xml:space="preserve"> State </w:t>
      </w:r>
      <w:r>
        <w:rPr>
          <w:b/>
          <w:bCs/>
          <w:caps/>
          <w:noProof/>
          <w:color w:val="0E425C"/>
          <w:sz w:val="26"/>
          <w:szCs w:val="26"/>
        </w:rPr>
        <w:t>Updates Employee Surveillance LAw</w:t>
      </w:r>
      <w:r w:rsidRPr="001578A1">
        <w:rPr>
          <w:b/>
          <w:bCs/>
          <w:caps/>
          <w:noProof/>
          <w:color w:val="0E425C"/>
          <w:sz w:val="26"/>
          <w:szCs w:val="26"/>
        </w:rPr>
        <w:t xml:space="preserve"> Effective </w:t>
      </w:r>
      <w:r w:rsidRPr="001578A1">
        <w:rPr>
          <w:b/>
          <w:bCs/>
          <w:caps/>
          <w:color w:val="0070C0"/>
          <w:sz w:val="26"/>
          <w:szCs w:val="26"/>
        </w:rPr>
        <w:t>October 1, 2026</w:t>
      </w:r>
    </w:p>
    <w:p w14:paraId="5E33DEC0" w14:textId="77777777" w:rsidR="00752A36" w:rsidRDefault="00752A36" w:rsidP="00752A36">
      <w:pPr>
        <w:spacing w:after="0" w:line="240" w:lineRule="auto"/>
        <w:rPr>
          <w:rFonts w:eastAsia="Times New Roman"/>
        </w:rPr>
      </w:pPr>
      <w:r>
        <w:rPr>
          <w:rFonts w:eastAsia="Times New Roman"/>
        </w:rPr>
        <w:t xml:space="preserve">Under </w:t>
      </w:r>
      <w:hyperlink r:id="rId683" w:tgtFrame="_blank" w:history="1">
        <w:r w:rsidRPr="008C2C9C">
          <w:rPr>
            <w:rStyle w:val="Hyperlink"/>
            <w:rFonts w:eastAsia="Times New Roman"/>
          </w:rPr>
          <w:t>SB 472</w:t>
        </w:r>
      </w:hyperlink>
      <w:r w:rsidRPr="008C2C9C">
        <w:rPr>
          <w:rFonts w:eastAsia="Times New Roman"/>
        </w:rPr>
        <w:t> </w:t>
      </w:r>
      <w:r>
        <w:rPr>
          <w:rFonts w:eastAsia="Times New Roman"/>
        </w:rPr>
        <w:t xml:space="preserve">starting </w:t>
      </w:r>
      <w:r w:rsidRPr="008C2C9C">
        <w:rPr>
          <w:rFonts w:eastAsia="Times New Roman"/>
        </w:rPr>
        <w:t xml:space="preserve">October 1, 2026, employers of all sizes that engage in electronic monitoring will be subject to a new disclosure requirement and updates to their existing employee notice and posting requirements. </w:t>
      </w:r>
    </w:p>
    <w:p w14:paraId="06F54837" w14:textId="77777777" w:rsidR="00752A36" w:rsidRPr="008C2C9C" w:rsidRDefault="00752A36" w:rsidP="00752A36">
      <w:pPr>
        <w:spacing w:after="0" w:line="240" w:lineRule="auto"/>
        <w:rPr>
          <w:rFonts w:eastAsia="Times New Roman"/>
        </w:rPr>
      </w:pPr>
      <w:r w:rsidRPr="008C2C9C">
        <w:rPr>
          <w:rFonts w:eastAsia="Times New Roman"/>
        </w:rPr>
        <w:t>Currently, the electronic monitoring law requires employers to provide notice before electronically monitoring employees, unless they suspect that employees are engaging in specific prohibited activities (e.g., breaking the law), in which case they can monitor without notice.</w:t>
      </w:r>
    </w:p>
    <w:p w14:paraId="0AE01F01" w14:textId="77777777" w:rsidR="00752A36" w:rsidRPr="008C2C9C" w:rsidRDefault="00752A36" w:rsidP="00752A36">
      <w:pPr>
        <w:spacing w:after="0" w:line="240" w:lineRule="auto"/>
        <w:rPr>
          <w:rFonts w:eastAsia="Times New Roman"/>
        </w:rPr>
      </w:pPr>
      <w:r>
        <w:rPr>
          <w:rFonts w:eastAsia="Times New Roman"/>
        </w:rPr>
        <w:t>As of the effective date, e</w:t>
      </w:r>
      <w:r w:rsidRPr="008C2C9C">
        <w:rPr>
          <w:rFonts w:eastAsia="Times New Roman"/>
        </w:rPr>
        <w:t xml:space="preserve">mployers will be required to give new hires a written statement, before their first day of work, </w:t>
      </w:r>
      <w:r>
        <w:rPr>
          <w:rFonts w:eastAsia="Times New Roman"/>
        </w:rPr>
        <w:t>communicating</w:t>
      </w:r>
      <w:r w:rsidRPr="008C2C9C">
        <w:rPr>
          <w:rFonts w:eastAsia="Times New Roman"/>
        </w:rPr>
        <w:t xml:space="preserve"> what activities are prohibited and can be monitored without prior notice. Specifically, the statement should </w:t>
      </w:r>
      <w:r w:rsidRPr="008C2C9C">
        <w:rPr>
          <w:rFonts w:eastAsia="Times New Roman"/>
        </w:rPr>
        <w:lastRenderedPageBreak/>
        <w:t>explain that prior notice isn’t needed when the employer reasonably believes that electronic monitoring will produce evidence that an employee is engaging in conduct that does any of the following:</w:t>
      </w:r>
    </w:p>
    <w:p w14:paraId="5312259B" w14:textId="77777777" w:rsidR="00752A36" w:rsidRPr="008C2C9C" w:rsidRDefault="00752A36">
      <w:pPr>
        <w:numPr>
          <w:ilvl w:val="0"/>
          <w:numId w:val="369"/>
        </w:numPr>
        <w:spacing w:after="0" w:line="240" w:lineRule="auto"/>
        <w:rPr>
          <w:rFonts w:eastAsia="Times New Roman"/>
        </w:rPr>
      </w:pPr>
      <w:r w:rsidRPr="008C2C9C">
        <w:rPr>
          <w:rFonts w:eastAsia="Times New Roman"/>
        </w:rPr>
        <w:t>Violates the law</w:t>
      </w:r>
    </w:p>
    <w:p w14:paraId="7A3986A5" w14:textId="77777777" w:rsidR="00752A36" w:rsidRPr="008C2C9C" w:rsidRDefault="00752A36">
      <w:pPr>
        <w:numPr>
          <w:ilvl w:val="0"/>
          <w:numId w:val="369"/>
        </w:numPr>
        <w:spacing w:after="0" w:line="240" w:lineRule="auto"/>
        <w:rPr>
          <w:rFonts w:eastAsia="Times New Roman"/>
        </w:rPr>
      </w:pPr>
      <w:r w:rsidRPr="008C2C9C">
        <w:rPr>
          <w:rFonts w:eastAsia="Times New Roman"/>
        </w:rPr>
        <w:t>Violates the legal rights of the employer or its employees</w:t>
      </w:r>
    </w:p>
    <w:p w14:paraId="0BEF51E5" w14:textId="77777777" w:rsidR="00752A36" w:rsidRPr="008C2C9C" w:rsidRDefault="00752A36">
      <w:pPr>
        <w:numPr>
          <w:ilvl w:val="0"/>
          <w:numId w:val="369"/>
        </w:numPr>
        <w:spacing w:after="0" w:line="240" w:lineRule="auto"/>
        <w:rPr>
          <w:rFonts w:eastAsia="Times New Roman"/>
        </w:rPr>
      </w:pPr>
      <w:r w:rsidRPr="008C2C9C">
        <w:rPr>
          <w:rFonts w:eastAsia="Times New Roman"/>
        </w:rPr>
        <w:t>Creates a hostile workplace environment</w:t>
      </w:r>
    </w:p>
    <w:p w14:paraId="77256BAB" w14:textId="77777777" w:rsidR="00752A36" w:rsidRPr="008C2C9C" w:rsidRDefault="00752A36" w:rsidP="00752A36">
      <w:pPr>
        <w:spacing w:after="0" w:line="240" w:lineRule="auto"/>
        <w:rPr>
          <w:rFonts w:eastAsia="Times New Roman"/>
        </w:rPr>
      </w:pPr>
      <w:r w:rsidRPr="008C2C9C">
        <w:rPr>
          <w:rFonts w:eastAsia="Times New Roman"/>
          <w:b/>
          <w:bCs/>
          <w:highlight w:val="lightGray"/>
        </w:rPr>
        <w:t>Employer Takeaway:</w:t>
      </w:r>
      <w:r w:rsidRPr="008C2C9C">
        <w:rPr>
          <w:rFonts w:eastAsia="Times New Roman"/>
          <w:b/>
          <w:bCs/>
        </w:rPr>
        <w:t xml:space="preserve"> </w:t>
      </w:r>
      <w:r w:rsidRPr="008C2C9C">
        <w:rPr>
          <w:rFonts w:eastAsia="Times New Roman"/>
        </w:rPr>
        <w:t>If</w:t>
      </w:r>
      <w:r>
        <w:rPr>
          <w:rFonts w:eastAsia="Times New Roman"/>
        </w:rPr>
        <w:t xml:space="preserve"> an employer </w:t>
      </w:r>
      <w:r w:rsidRPr="008C2C9C">
        <w:rPr>
          <w:rFonts w:eastAsia="Times New Roman"/>
        </w:rPr>
        <w:t>engage</w:t>
      </w:r>
      <w:r>
        <w:rPr>
          <w:rFonts w:eastAsia="Times New Roman"/>
        </w:rPr>
        <w:t>s</w:t>
      </w:r>
      <w:r w:rsidRPr="008C2C9C">
        <w:rPr>
          <w:rFonts w:eastAsia="Times New Roman"/>
        </w:rPr>
        <w:t xml:space="preserve"> in electronic monitoring of employees, prepare to notify new hires, and update notice and posting language and posting practices.</w:t>
      </w:r>
    </w:p>
    <w:p w14:paraId="71A08923" w14:textId="77777777" w:rsidR="00752A36" w:rsidRPr="000C6760" w:rsidRDefault="00752A36" w:rsidP="00752A36">
      <w:pPr>
        <w:spacing w:after="0" w:line="240" w:lineRule="auto"/>
        <w:rPr>
          <w:rFonts w:eastAsia="Times New Roman"/>
        </w:rPr>
      </w:pPr>
      <w:r w:rsidRPr="008C2C9C">
        <w:rPr>
          <w:rFonts w:eastAsia="Times New Roman"/>
        </w:rPr>
        <w:t>Employers will need to update their workplace posting and any individual employee notices (if they also provide those) to include the specific locations where electronic monitoring can take place. (Currently, both only need to include the types of monitoring that can be used.) Employers don’t have to disclose the specific locations when the electronic monitoring is conducted for security or employee safety reasons.</w:t>
      </w:r>
      <w:r>
        <w:rPr>
          <w:rFonts w:eastAsia="Times New Roman"/>
        </w:rPr>
        <w:t xml:space="preserve"> </w:t>
      </w:r>
      <w:r w:rsidRPr="008C2C9C">
        <w:rPr>
          <w:rFonts w:eastAsia="Times New Roman"/>
        </w:rPr>
        <w:t>The posting must also be placed at workplace locations where electronic monitoring can occur in addition to the current requirement that the posting be placed in a conspicuous location accessible to employees.</w:t>
      </w:r>
    </w:p>
    <w:p w14:paraId="5F2B30A0" w14:textId="77777777" w:rsidR="00752A36" w:rsidRDefault="00752A36" w:rsidP="00C6528C">
      <w:pPr>
        <w:rPr>
          <w:b/>
          <w:bCs/>
          <w:caps/>
          <w:color w:val="0070C0"/>
          <w:sz w:val="26"/>
          <w:szCs w:val="26"/>
        </w:rPr>
      </w:pPr>
    </w:p>
    <w:p w14:paraId="7354908F" w14:textId="494E62A5" w:rsidR="00C6528C" w:rsidRDefault="00C6528C" w:rsidP="00C6528C">
      <w:pPr>
        <w:rPr>
          <w:b/>
          <w:bCs/>
          <w:caps/>
          <w:color w:val="0070C0"/>
          <w:sz w:val="26"/>
          <w:szCs w:val="26"/>
        </w:rPr>
      </w:pPr>
      <w:r w:rsidRPr="00B925FB">
        <w:rPr>
          <w:b/>
          <w:bCs/>
          <w:caps/>
          <w:color w:val="0070C0"/>
          <w:sz w:val="26"/>
          <w:szCs w:val="26"/>
        </w:rPr>
        <w:t xml:space="preserve">New! </w:t>
      </w:r>
      <w:r w:rsidRPr="00B925FB">
        <w:rPr>
          <w:b/>
          <w:bCs/>
          <w:caps/>
          <w:noProof/>
          <w:color w:val="0E425C"/>
          <w:sz w:val="26"/>
          <w:szCs w:val="26"/>
        </w:rPr>
        <w:t xml:space="preserve">State’s Wage Transparency &amp; Pay Equity Regulations Effective </w:t>
      </w:r>
      <w:r w:rsidRPr="00B925FB">
        <w:rPr>
          <w:b/>
          <w:bCs/>
          <w:caps/>
          <w:color w:val="0070C0"/>
          <w:sz w:val="26"/>
          <w:szCs w:val="26"/>
        </w:rPr>
        <w:t>October 1, 2026</w:t>
      </w:r>
    </w:p>
    <w:p w14:paraId="0E3AACD9" w14:textId="77777777" w:rsidR="00C6528C" w:rsidRDefault="00C6528C" w:rsidP="00C6528C">
      <w:pPr>
        <w:rPr>
          <w:rFonts w:eastAsia="Times New Roman"/>
        </w:rPr>
      </w:pPr>
      <w:r w:rsidRPr="00BF7F20">
        <w:rPr>
          <w:rFonts w:eastAsia="Times New Roman"/>
        </w:rPr>
        <w:t xml:space="preserve">On May 11, 2026, Connecticut </w:t>
      </w:r>
      <w:hyperlink r:id="rId684" w:history="1">
        <w:r w:rsidRPr="00152963">
          <w:rPr>
            <w:rStyle w:val="Hyperlink"/>
          </w:rPr>
          <w:t>enacted</w:t>
        </w:r>
      </w:hyperlink>
      <w:r w:rsidRPr="00152963">
        <w:rPr>
          <w:rFonts w:eastAsia="Times New Roman"/>
        </w:rPr>
        <w:t xml:space="preserve"> </w:t>
      </w:r>
      <w:r w:rsidRPr="00BF7F20">
        <w:rPr>
          <w:rFonts w:eastAsia="Times New Roman"/>
        </w:rPr>
        <w:t xml:space="preserve">a </w:t>
      </w:r>
      <w:r>
        <w:rPr>
          <w:rFonts w:eastAsia="Times New Roman"/>
        </w:rPr>
        <w:t xml:space="preserve">state wage transparency and pay equity </w:t>
      </w:r>
      <w:r w:rsidRPr="00BF7F20">
        <w:rPr>
          <w:rFonts w:eastAsia="Times New Roman"/>
        </w:rPr>
        <w:t>workforce bill</w:t>
      </w:r>
      <w:r>
        <w:rPr>
          <w:rFonts w:eastAsia="Times New Roman"/>
        </w:rPr>
        <w:t>.</w:t>
      </w:r>
    </w:p>
    <w:p w14:paraId="7C05ADB6" w14:textId="77777777" w:rsidR="00C6528C" w:rsidRPr="006F0AE8" w:rsidRDefault="00C6528C" w:rsidP="00C6528C">
      <w:pPr>
        <w:rPr>
          <w:rFonts w:eastAsia="Times New Roman"/>
          <w:b/>
          <w:bCs/>
        </w:rPr>
      </w:pPr>
      <w:r w:rsidRPr="006F0AE8">
        <w:rPr>
          <w:rFonts w:eastAsia="Times New Roman"/>
          <w:b/>
          <w:bCs/>
        </w:rPr>
        <w:t>Job Postings</w:t>
      </w:r>
    </w:p>
    <w:p w14:paraId="00E617C2" w14:textId="77777777" w:rsidR="00C6528C" w:rsidRDefault="00C6528C" w:rsidP="00C6528C">
      <w:pPr>
        <w:rPr>
          <w:rFonts w:eastAsia="Times New Roman"/>
        </w:rPr>
      </w:pPr>
      <w:r w:rsidRPr="006F0AE8">
        <w:rPr>
          <w:rFonts w:eastAsia="Times New Roman"/>
        </w:rPr>
        <w:t xml:space="preserve">Employers </w:t>
      </w:r>
      <w:r>
        <w:rPr>
          <w:rFonts w:eastAsia="Times New Roman"/>
        </w:rPr>
        <w:t>will be</w:t>
      </w:r>
      <w:r w:rsidRPr="006F0AE8">
        <w:rPr>
          <w:rFonts w:eastAsia="Times New Roman"/>
        </w:rPr>
        <w:t xml:space="preserve"> required to include a position’s wage or wage range, as well as a general description of benefits, in all public and internal job advertisements. The law defines “benefits” broadly to include health insurance benefits, retirement benefits, fringe benefits, paid leave, and any other compensation, other than wages, offered with the position.</w:t>
      </w:r>
    </w:p>
    <w:p w14:paraId="162A0BAD" w14:textId="77777777" w:rsidR="00C6528C" w:rsidRPr="00D100BA" w:rsidRDefault="00C6528C" w:rsidP="00C6528C">
      <w:pPr>
        <w:rPr>
          <w:rFonts w:eastAsia="Times New Roman"/>
          <w:b/>
          <w:bCs/>
        </w:rPr>
      </w:pPr>
      <w:r w:rsidRPr="00D100BA">
        <w:rPr>
          <w:rFonts w:eastAsia="Times New Roman"/>
          <w:b/>
          <w:bCs/>
        </w:rPr>
        <w:t>Applicant Disclosures</w:t>
      </w:r>
    </w:p>
    <w:p w14:paraId="660EA70A" w14:textId="77777777" w:rsidR="00C6528C" w:rsidRDefault="00C6528C" w:rsidP="00C6528C">
      <w:pPr>
        <w:rPr>
          <w:rFonts w:eastAsia="Times New Roman"/>
        </w:rPr>
      </w:pPr>
      <w:r w:rsidRPr="006F0AE8">
        <w:rPr>
          <w:rFonts w:eastAsia="Times New Roman"/>
        </w:rPr>
        <w:t xml:space="preserve">Employers </w:t>
      </w:r>
      <w:r>
        <w:rPr>
          <w:rFonts w:eastAsia="Times New Roman"/>
        </w:rPr>
        <w:t>will be required to</w:t>
      </w:r>
      <w:r w:rsidRPr="006F0AE8">
        <w:rPr>
          <w:rFonts w:eastAsia="Times New Roman"/>
        </w:rPr>
        <w:t xml:space="preserve"> provide </w:t>
      </w:r>
      <w:r>
        <w:rPr>
          <w:rFonts w:eastAsia="Times New Roman"/>
        </w:rPr>
        <w:t xml:space="preserve">wage and benefit information </w:t>
      </w:r>
      <w:r w:rsidRPr="006F0AE8">
        <w:rPr>
          <w:rFonts w:eastAsia="Times New Roman"/>
        </w:rPr>
        <w:t xml:space="preserve">upon the </w:t>
      </w:r>
      <w:r w:rsidRPr="006F0AE8">
        <w:rPr>
          <w:rFonts w:eastAsia="Times New Roman"/>
          <w:u w:val="single"/>
        </w:rPr>
        <w:t>applicant</w:t>
      </w:r>
      <w:r w:rsidRPr="006F0AE8">
        <w:rPr>
          <w:rFonts w:eastAsia="Times New Roman"/>
        </w:rPr>
        <w:t xml:space="preserve">’s request or before any discussion of compensation, rather than the current standard of prior to or at the time of making an offer of compensation. </w:t>
      </w:r>
    </w:p>
    <w:p w14:paraId="5B2B2301" w14:textId="77777777" w:rsidR="00C6528C" w:rsidRPr="006F0AE8" w:rsidRDefault="00C6528C" w:rsidP="00C6528C">
      <w:pPr>
        <w:rPr>
          <w:rFonts w:eastAsia="Times New Roman"/>
        </w:rPr>
      </w:pPr>
      <w:r w:rsidRPr="006F0AE8">
        <w:rPr>
          <w:rFonts w:eastAsia="Times New Roman"/>
        </w:rPr>
        <w:t xml:space="preserve">The law defines “wage range” as “the range of wages an employer [anticipates relying on when setting wages] sets in good faith for a position, and may include reference to any applicable pay scale, previously determined range of wages for the position, actual range of wages for those employees currently holding comparable positions or the employer’s budgeted amount for the position.” This definition offers employers flexibility in what kind of compensation they reasonably expect to </w:t>
      </w:r>
      <w:proofErr w:type="gramStart"/>
      <w:r w:rsidRPr="006F0AE8">
        <w:rPr>
          <w:rFonts w:eastAsia="Times New Roman"/>
        </w:rPr>
        <w:t>provide, but</w:t>
      </w:r>
      <w:proofErr w:type="gramEnd"/>
      <w:r w:rsidRPr="006F0AE8">
        <w:rPr>
          <w:rFonts w:eastAsia="Times New Roman"/>
        </w:rPr>
        <w:t xml:space="preserve"> mandates earlier disclosure.</w:t>
      </w:r>
    </w:p>
    <w:p w14:paraId="20EAC2F8" w14:textId="77777777" w:rsidR="00C6528C" w:rsidRPr="006F0AE8" w:rsidRDefault="00C6528C" w:rsidP="00C6528C">
      <w:pPr>
        <w:rPr>
          <w:rFonts w:eastAsia="Times New Roman"/>
        </w:rPr>
      </w:pPr>
      <w:r w:rsidRPr="006F0AE8">
        <w:rPr>
          <w:rFonts w:eastAsia="Times New Roman"/>
        </w:rPr>
        <w:t xml:space="preserve">The law also clarifies its </w:t>
      </w:r>
      <w:r w:rsidRPr="006F0AE8">
        <w:rPr>
          <w:rFonts w:eastAsia="Times New Roman"/>
          <w:u w:val="single"/>
        </w:rPr>
        <w:t>geographic reach</w:t>
      </w:r>
      <w:r w:rsidRPr="006F0AE8">
        <w:rPr>
          <w:rFonts w:eastAsia="Times New Roman"/>
        </w:rPr>
        <w:t>: it applies to any position with duties performed</w:t>
      </w:r>
      <w:r w:rsidRPr="006F0AE8">
        <w:rPr>
          <w:rFonts w:eastAsia="Times New Roman"/>
          <w:u w:val="single"/>
        </w:rPr>
        <w:t xml:space="preserve"> in Connecticut</w:t>
      </w:r>
      <w:r w:rsidRPr="006F0AE8">
        <w:rPr>
          <w:rFonts w:eastAsia="Times New Roman"/>
        </w:rPr>
        <w:t xml:space="preserve"> </w:t>
      </w:r>
      <w:r w:rsidRPr="006F0AE8">
        <w:rPr>
          <w:rFonts w:eastAsia="Times New Roman"/>
          <w:b/>
          <w:bCs/>
        </w:rPr>
        <w:t xml:space="preserve">or </w:t>
      </w:r>
      <w:r w:rsidRPr="006F0AE8">
        <w:rPr>
          <w:rFonts w:eastAsia="Times New Roman"/>
          <w:u w:val="single"/>
        </w:rPr>
        <w:t xml:space="preserve">performed outside of the state where the employee reports directly to a supervisor, office, or other worksite located within </w:t>
      </w:r>
      <w:r>
        <w:rPr>
          <w:rFonts w:eastAsia="Times New Roman"/>
          <w:u w:val="single"/>
        </w:rPr>
        <w:t>the state</w:t>
      </w:r>
      <w:r w:rsidRPr="006F0AE8">
        <w:rPr>
          <w:rFonts w:eastAsia="Times New Roman"/>
        </w:rPr>
        <w:t>.</w:t>
      </w:r>
    </w:p>
    <w:p w14:paraId="69466342" w14:textId="77777777" w:rsidR="00C6528C" w:rsidRPr="00D100BA" w:rsidRDefault="00C6528C" w:rsidP="00C6528C">
      <w:pPr>
        <w:rPr>
          <w:rFonts w:eastAsia="Times New Roman"/>
          <w:b/>
          <w:bCs/>
        </w:rPr>
      </w:pPr>
      <w:r w:rsidRPr="00D100BA">
        <w:rPr>
          <w:rFonts w:eastAsia="Times New Roman"/>
          <w:b/>
          <w:bCs/>
        </w:rPr>
        <w:t>Overtime Pay Codes</w:t>
      </w:r>
    </w:p>
    <w:p w14:paraId="4C5AB989" w14:textId="77777777" w:rsidR="00C6528C" w:rsidRDefault="00C6528C" w:rsidP="00C6528C">
      <w:pPr>
        <w:rPr>
          <w:rFonts w:eastAsia="Times New Roman"/>
        </w:rPr>
      </w:pPr>
      <w:r>
        <w:rPr>
          <w:rFonts w:eastAsia="Times New Roman"/>
        </w:rPr>
        <w:t xml:space="preserve">The new regulations </w:t>
      </w:r>
      <w:r w:rsidRPr="00BF7F20">
        <w:rPr>
          <w:rFonts w:eastAsia="Times New Roman"/>
        </w:rPr>
        <w:t xml:space="preserve">require employers with 100 or more employees to </w:t>
      </w:r>
      <w:r w:rsidRPr="00D100BA">
        <w:rPr>
          <w:rFonts w:eastAsia="Times New Roman"/>
        </w:rPr>
        <w:t>maintain and publish guides to their employees explaining pay codes, overtime codes, and wage differentials shown on pay statements</w:t>
      </w:r>
      <w:r w:rsidRPr="00152963">
        <w:rPr>
          <w:rFonts w:eastAsia="Times New Roman"/>
        </w:rPr>
        <w:t xml:space="preserve">. </w:t>
      </w:r>
    </w:p>
    <w:p w14:paraId="4F8C9F73" w14:textId="77777777" w:rsidR="00C6528C" w:rsidRPr="00152963" w:rsidRDefault="00C6528C" w:rsidP="00C6528C">
      <w:pPr>
        <w:rPr>
          <w:rFonts w:eastAsia="Times New Roman"/>
        </w:rPr>
      </w:pPr>
      <w:r w:rsidRPr="00152963">
        <w:rPr>
          <w:rFonts w:eastAsia="Times New Roman"/>
        </w:rPr>
        <w:t xml:space="preserve">Employers employing 100 or more employees must create a guide for overtime pay codes and the employer’s </w:t>
      </w:r>
      <w:proofErr w:type="gramStart"/>
      <w:r w:rsidRPr="00152963">
        <w:rPr>
          <w:rFonts w:eastAsia="Times New Roman"/>
        </w:rPr>
        <w:t>most commonly used</w:t>
      </w:r>
      <w:proofErr w:type="gramEnd"/>
      <w:r w:rsidRPr="00152963">
        <w:rPr>
          <w:rFonts w:eastAsia="Times New Roman"/>
        </w:rPr>
        <w:t xml:space="preserve"> pay differentials, which may include:</w:t>
      </w:r>
    </w:p>
    <w:p w14:paraId="60CDE115"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Shift differentials;</w:t>
      </w:r>
    </w:p>
    <w:p w14:paraId="5540C875"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On-call pay;</w:t>
      </w:r>
    </w:p>
    <w:p w14:paraId="31570493"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 xml:space="preserve">Hazard </w:t>
      </w:r>
      <w:proofErr w:type="gramStart"/>
      <w:r w:rsidRPr="00152963">
        <w:rPr>
          <w:rFonts w:eastAsia="Times New Roman"/>
        </w:rPr>
        <w:t>pay</w:t>
      </w:r>
      <w:proofErr w:type="gramEnd"/>
      <w:r w:rsidRPr="00152963">
        <w:rPr>
          <w:rFonts w:eastAsia="Times New Roman"/>
        </w:rPr>
        <w:t>;</w:t>
      </w:r>
    </w:p>
    <w:p w14:paraId="72574D99"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Call-back pay;</w:t>
      </w:r>
    </w:p>
    <w:p w14:paraId="1A48CA64"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Holiday pay;</w:t>
      </w:r>
    </w:p>
    <w:p w14:paraId="75890FB4"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lastRenderedPageBreak/>
        <w:t>Weekend pay; or</w:t>
      </w:r>
    </w:p>
    <w:p w14:paraId="262C6121"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Geographical pay differentials.</w:t>
      </w:r>
    </w:p>
    <w:p w14:paraId="0F9708D5" w14:textId="77777777" w:rsidR="00C6528C" w:rsidRPr="00152963" w:rsidRDefault="00C6528C" w:rsidP="00C6528C">
      <w:pPr>
        <w:rPr>
          <w:rFonts w:eastAsia="Times New Roman"/>
        </w:rPr>
      </w:pPr>
      <w:r w:rsidRPr="00152963">
        <w:rPr>
          <w:rFonts w:eastAsia="Times New Roman"/>
        </w:rPr>
        <w:t xml:space="preserve">If applicable, each guide must include at least 10 pay codes. Employers must post the guides on their website in English, Spanish and the other most common languages spoken by their employees. Employers must include the contact information of a designated office or individual who handles employee disputes regarding calculations of hours and pay differentials. Employers are required to update their guides each time they add a new overtime pay code or pay differential. The law does not require employers to establish and maintain a website if they do not currently maintain one or establish new pay codes. </w:t>
      </w:r>
    </w:p>
    <w:p w14:paraId="303A7EB0" w14:textId="77777777" w:rsidR="00C6528C" w:rsidRPr="00152963" w:rsidRDefault="00C6528C" w:rsidP="00C6528C">
      <w:pPr>
        <w:rPr>
          <w:rFonts w:eastAsia="Times New Roman"/>
        </w:rPr>
      </w:pPr>
      <w:r w:rsidRPr="00152963">
        <w:rPr>
          <w:rFonts w:eastAsia="Times New Roman"/>
        </w:rPr>
        <w:t xml:space="preserve">Employers must provide their employees with website addresses for their guides upon hire. Employers may comply with this requirement by providing a written copy of such guides to an employee upon hire in English and the employee’s primary language. In addition, employers must provide the website address to such guides on each record of hours provided to employees. </w:t>
      </w:r>
    </w:p>
    <w:p w14:paraId="4F1AFF54" w14:textId="77777777" w:rsidR="00C6528C" w:rsidRPr="00CB21AF" w:rsidRDefault="00C6528C" w:rsidP="00C6528C">
      <w:pPr>
        <w:rPr>
          <w:rFonts w:eastAsia="Times New Roman"/>
        </w:rPr>
      </w:pPr>
      <w:r w:rsidRPr="00152963">
        <w:rPr>
          <w:rFonts w:eastAsia="Times New Roman"/>
        </w:rPr>
        <w:t>Employers may use a third-party payroll service that provides pay code guides to comply with the law’s overtime notice requirements.</w:t>
      </w:r>
    </w:p>
    <w:p w14:paraId="59C207BD" w14:textId="77777777" w:rsidR="00C6528C" w:rsidRDefault="00C6528C" w:rsidP="00C6528C">
      <w:pPr>
        <w:rPr>
          <w:b/>
          <w:bCs/>
          <w:caps/>
          <w:noProof/>
          <w:color w:val="0E425C"/>
          <w:sz w:val="26"/>
          <w:szCs w:val="26"/>
        </w:rPr>
      </w:pPr>
      <w:r w:rsidRPr="002D25F1">
        <w:rPr>
          <w:b/>
          <w:bCs/>
          <w:caps/>
          <w:color w:val="0070C0"/>
          <w:sz w:val="26"/>
          <w:szCs w:val="26"/>
        </w:rPr>
        <w:t xml:space="preserve">New! </w:t>
      </w:r>
      <w:r w:rsidRPr="004E55DE">
        <w:rPr>
          <w:b/>
          <w:bCs/>
          <w:caps/>
          <w:noProof/>
          <w:color w:val="0E425C"/>
          <w:sz w:val="26"/>
          <w:szCs w:val="26"/>
        </w:rPr>
        <w:t>State Expan</w:t>
      </w:r>
      <w:r>
        <w:rPr>
          <w:b/>
          <w:bCs/>
          <w:caps/>
          <w:noProof/>
          <w:color w:val="0E425C"/>
          <w:sz w:val="26"/>
          <w:szCs w:val="26"/>
        </w:rPr>
        <w:t>D</w:t>
      </w:r>
      <w:r w:rsidRPr="004E55DE">
        <w:rPr>
          <w:b/>
          <w:bCs/>
          <w:caps/>
          <w:noProof/>
          <w:color w:val="0E425C"/>
          <w:sz w:val="26"/>
          <w:szCs w:val="26"/>
        </w:rPr>
        <w:t xml:space="preserve">s “Stay or Pay” Agreement Prohibition Effective </w:t>
      </w:r>
      <w:r w:rsidRPr="004E55DE">
        <w:rPr>
          <w:b/>
          <w:bCs/>
          <w:caps/>
          <w:color w:val="0070C0"/>
          <w:sz w:val="26"/>
          <w:szCs w:val="26"/>
        </w:rPr>
        <w:t>October 1, 2026</w:t>
      </w:r>
    </w:p>
    <w:p w14:paraId="03AFCFC8" w14:textId="77777777" w:rsidR="00C6528C" w:rsidRDefault="00C6528C" w:rsidP="00C6528C">
      <w:pPr>
        <w:rPr>
          <w:rFonts w:eastAsia="Times New Roman"/>
        </w:rPr>
      </w:pPr>
      <w:r>
        <w:rPr>
          <w:rFonts w:eastAsia="Times New Roman"/>
        </w:rPr>
        <w:t xml:space="preserve">State </w:t>
      </w:r>
      <w:r w:rsidRPr="00FA3DF5">
        <w:rPr>
          <w:rFonts w:eastAsia="Times New Roman"/>
        </w:rPr>
        <w:t xml:space="preserve">law prohibits employers from requiring, as a condition of employment, that employees agree to repay money if they leave employment before a specified period. </w:t>
      </w:r>
    </w:p>
    <w:p w14:paraId="0AC2D146" w14:textId="77777777" w:rsidR="00C6528C" w:rsidRDefault="00C6528C" w:rsidP="00C6528C">
      <w:pPr>
        <w:rPr>
          <w:rFonts w:eastAsia="Times New Roman"/>
        </w:rPr>
      </w:pPr>
      <w:r w:rsidRPr="00FA3DF5">
        <w:rPr>
          <w:rFonts w:eastAsia="Times New Roman"/>
        </w:rPr>
        <w:t xml:space="preserve">The law’s definition of prohibited agreements is intentionally broad and includes: </w:t>
      </w:r>
    </w:p>
    <w:p w14:paraId="6EE324F2" w14:textId="77777777" w:rsidR="00C6528C" w:rsidRPr="00FA3DF5" w:rsidRDefault="00C6528C">
      <w:pPr>
        <w:pStyle w:val="ListParagraph"/>
        <w:numPr>
          <w:ilvl w:val="0"/>
          <w:numId w:val="347"/>
        </w:numPr>
        <w:spacing w:after="100" w:line="276" w:lineRule="auto"/>
        <w:rPr>
          <w:rFonts w:eastAsia="Times New Roman"/>
        </w:rPr>
      </w:pPr>
      <w:r w:rsidRPr="00FA3DF5">
        <w:rPr>
          <w:rFonts w:eastAsia="Times New Roman"/>
        </w:rPr>
        <w:t xml:space="preserve">training repayment agreements; </w:t>
      </w:r>
    </w:p>
    <w:p w14:paraId="1B0D52CD" w14:textId="77777777" w:rsidR="00C6528C" w:rsidRDefault="00C6528C">
      <w:pPr>
        <w:pStyle w:val="ListParagraph"/>
        <w:numPr>
          <w:ilvl w:val="0"/>
          <w:numId w:val="347"/>
        </w:numPr>
        <w:spacing w:after="100" w:line="276" w:lineRule="auto"/>
        <w:rPr>
          <w:rFonts w:eastAsia="Times New Roman"/>
        </w:rPr>
      </w:pPr>
      <w:r w:rsidRPr="00FA3DF5">
        <w:rPr>
          <w:rFonts w:eastAsia="Times New Roman"/>
        </w:rPr>
        <w:t xml:space="preserve">agreements requiring reimbursement for onboarding or certification costs; and </w:t>
      </w:r>
    </w:p>
    <w:p w14:paraId="692E31C0" w14:textId="77777777" w:rsidR="00C6528C" w:rsidRPr="00FA3DF5" w:rsidRDefault="00C6528C">
      <w:pPr>
        <w:pStyle w:val="ListParagraph"/>
        <w:numPr>
          <w:ilvl w:val="0"/>
          <w:numId w:val="347"/>
        </w:numPr>
        <w:spacing w:after="100" w:line="276" w:lineRule="auto"/>
        <w:rPr>
          <w:rFonts w:eastAsia="Times New Roman"/>
        </w:rPr>
      </w:pPr>
      <w:r w:rsidRPr="00FA3DF5">
        <w:rPr>
          <w:rFonts w:eastAsia="Times New Roman"/>
        </w:rPr>
        <w:t>any arrangement, imposed as a condition of employment</w:t>
      </w:r>
      <w:r>
        <w:rPr>
          <w:rFonts w:eastAsia="Times New Roman"/>
        </w:rPr>
        <w:t>,</w:t>
      </w:r>
      <w:r w:rsidRPr="00FA3DF5">
        <w:rPr>
          <w:rFonts w:eastAsia="Times New Roman"/>
        </w:rPr>
        <w:t xml:space="preserve"> that requires payment upon early separation, regardless of how it is characterized.</w:t>
      </w:r>
    </w:p>
    <w:p w14:paraId="2C378431" w14:textId="77777777" w:rsidR="00C6528C" w:rsidRDefault="00C6528C" w:rsidP="00C6528C">
      <w:pPr>
        <w:rPr>
          <w:rFonts w:eastAsia="Times New Roman"/>
        </w:rPr>
      </w:pPr>
      <w:r w:rsidRPr="00254AF4">
        <w:rPr>
          <w:rFonts w:eastAsia="Times New Roman"/>
        </w:rPr>
        <w:t>Effective </w:t>
      </w:r>
      <w:r>
        <w:rPr>
          <w:rFonts w:eastAsia="Times New Roman"/>
        </w:rPr>
        <w:t xml:space="preserve">as of the start of </w:t>
      </w:r>
      <w:r w:rsidRPr="00254AF4">
        <w:rPr>
          <w:rFonts w:eastAsia="Times New Roman"/>
        </w:rPr>
        <w:t>October</w:t>
      </w:r>
      <w:r>
        <w:rPr>
          <w:rFonts w:eastAsia="Times New Roman"/>
          <w:b/>
          <w:bCs/>
        </w:rPr>
        <w:t>,</w:t>
      </w:r>
      <w:r w:rsidRPr="00254AF4">
        <w:rPr>
          <w:rFonts w:eastAsia="Times New Roman"/>
        </w:rPr>
        <w:t xml:space="preserve"> the amended law will extend the prohibition to all employers, regardless of size; and reinforce that agreements requiring repayment tied to early separation are void as against public policy, subject only to narrow statutory exceptions. </w:t>
      </w:r>
      <w:r>
        <w:rPr>
          <w:rFonts w:eastAsia="Times New Roman"/>
        </w:rPr>
        <w:t>(</w:t>
      </w:r>
      <w:r w:rsidRPr="00254AF4">
        <w:rPr>
          <w:rFonts w:eastAsia="Times New Roman"/>
        </w:rPr>
        <w:t>Previously, the prohibition applied only to employers with 26 or more employees, meaning this change will bring smaller employers squarely within the statute’s scope for the first time.</w:t>
      </w:r>
      <w:r>
        <w:rPr>
          <w:rFonts w:eastAsia="Times New Roman"/>
        </w:rPr>
        <w:t>)</w:t>
      </w:r>
    </w:p>
    <w:p w14:paraId="20D195FE" w14:textId="0F6D43AE" w:rsidR="00C6528C" w:rsidRPr="00C6528C" w:rsidRDefault="00C6528C" w:rsidP="00C6528C">
      <w:pPr>
        <w:rPr>
          <w:rFonts w:eastAsia="Times New Roman"/>
          <w:b/>
          <w:bCs/>
        </w:rPr>
      </w:pPr>
      <w:r w:rsidRPr="00FA3DF5">
        <w:rPr>
          <w:rFonts w:eastAsia="Times New Roman"/>
          <w:b/>
          <w:bCs/>
          <w:highlight w:val="lightGray"/>
        </w:rPr>
        <w:t>Employer Takeaway:</w:t>
      </w:r>
      <w:r>
        <w:rPr>
          <w:rFonts w:eastAsia="Times New Roman"/>
        </w:rPr>
        <w:t xml:space="preserve"> Employers are advised to review and existing Agreements </w:t>
      </w:r>
      <w:r w:rsidRPr="00FA3DF5">
        <w:rPr>
          <w:rFonts w:eastAsia="Times New Roman"/>
        </w:rPr>
        <w:t> (including offer letters, training reimbursement agreements, retention arrangements, and programs involving sign</w:t>
      </w:r>
      <w:r w:rsidRPr="00FA3DF5">
        <w:rPr>
          <w:rFonts w:eastAsia="Times New Roman"/>
        </w:rPr>
        <w:noBreakHyphen/>
        <w:t>on bonuses, relocation assistance, immigration sponsorship, and tuition or education-related assistance)</w:t>
      </w:r>
      <w:r>
        <w:rPr>
          <w:rFonts w:eastAsia="Times New Roman"/>
          <w:b/>
          <w:bCs/>
        </w:rPr>
        <w:t xml:space="preserve"> </w:t>
      </w:r>
      <w:r w:rsidRPr="00FA3DF5">
        <w:rPr>
          <w:rFonts w:eastAsia="Times New Roman"/>
        </w:rPr>
        <w:t xml:space="preserve">for “stay or pay” provisions as these will need to </w:t>
      </w:r>
      <w:r>
        <w:rPr>
          <w:rFonts w:eastAsia="Times New Roman"/>
        </w:rPr>
        <w:t xml:space="preserve">be </w:t>
      </w:r>
      <w:r w:rsidRPr="00FA3DF5">
        <w:rPr>
          <w:rFonts w:eastAsia="Times New Roman"/>
        </w:rPr>
        <w:t>removed</w:t>
      </w:r>
      <w:r>
        <w:rPr>
          <w:rFonts w:eastAsia="Times New Roman"/>
        </w:rPr>
        <w:t xml:space="preserve"> as of the effective date.</w:t>
      </w:r>
    </w:p>
    <w:p w14:paraId="2374026C" w14:textId="77777777" w:rsidR="00C6528C" w:rsidRDefault="00C6528C" w:rsidP="00C6528C">
      <w:pPr>
        <w:rPr>
          <w:rFonts w:eastAsia="Times New Roman"/>
          <w:b/>
          <w:bCs/>
        </w:rPr>
      </w:pPr>
      <w:r w:rsidRPr="00B925FB">
        <w:rPr>
          <w:b/>
          <w:bCs/>
          <w:caps/>
          <w:color w:val="0070C0"/>
          <w:sz w:val="26"/>
          <w:szCs w:val="26"/>
        </w:rPr>
        <w:t xml:space="preserve">New! </w:t>
      </w:r>
      <w:r w:rsidRPr="00B925FB">
        <w:rPr>
          <w:b/>
          <w:bCs/>
          <w:caps/>
          <w:noProof/>
          <w:color w:val="0E425C"/>
          <w:sz w:val="26"/>
          <w:szCs w:val="26"/>
        </w:rPr>
        <w:t xml:space="preserve">ADA Workplace Notice Requirements Effective </w:t>
      </w:r>
      <w:r w:rsidRPr="00B925FB">
        <w:rPr>
          <w:b/>
          <w:bCs/>
          <w:caps/>
          <w:color w:val="0070C0"/>
          <w:sz w:val="26"/>
          <w:szCs w:val="26"/>
        </w:rPr>
        <w:t>October 1, 2026</w:t>
      </w:r>
    </w:p>
    <w:p w14:paraId="348DB836" w14:textId="77777777" w:rsidR="00C6528C" w:rsidRDefault="00C6528C" w:rsidP="00C6528C">
      <w:pPr>
        <w:rPr>
          <w:rFonts w:eastAsia="Times New Roman"/>
        </w:rPr>
      </w:pPr>
      <w:r w:rsidRPr="00E74C5A">
        <w:rPr>
          <w:rFonts w:eastAsia="Times New Roman"/>
        </w:rPr>
        <w:t xml:space="preserve">Employers </w:t>
      </w:r>
      <w:r>
        <w:rPr>
          <w:rFonts w:eastAsia="Times New Roman"/>
        </w:rPr>
        <w:t xml:space="preserve">will be </w:t>
      </w:r>
      <w:r w:rsidRPr="00E74C5A">
        <w:rPr>
          <w:rFonts w:eastAsia="Times New Roman"/>
        </w:rPr>
        <w:t xml:space="preserve">required to give written notice about an employee’s right to reasonable accommodations in the workplace under the federal Americans with Disabilities Act to new employees at the start of employment, existing employees within 120 days of October 1, 2026, and any employee who notifies the employer of a disability within 10 days of that notification. Alternatively, </w:t>
      </w:r>
      <w:r w:rsidRPr="006F0AE8">
        <w:rPr>
          <w:rFonts w:eastAsia="Times New Roman"/>
          <w:u w:val="single"/>
        </w:rPr>
        <w:t>an employer can comply by displaying a poster created by the Labor Commissioner in a conspicuous place accessible to employees.</w:t>
      </w:r>
      <w:r w:rsidRPr="006F0AE8">
        <w:rPr>
          <w:rFonts w:eastAsia="Times New Roman"/>
        </w:rPr>
        <w:t xml:space="preserve"> Should</w:t>
      </w:r>
      <w:r>
        <w:rPr>
          <w:rFonts w:eastAsia="Times New Roman"/>
        </w:rPr>
        <w:t xml:space="preserve"> the State release a separate and additional ADA  Labor Notice, ETC will alert employers. </w:t>
      </w:r>
    </w:p>
    <w:p w14:paraId="3BE0B454" w14:textId="77777777" w:rsidR="00C6528C" w:rsidRPr="006F0AE8" w:rsidRDefault="00C6528C" w:rsidP="00C6528C">
      <w:pPr>
        <w:rPr>
          <w:rFonts w:eastAsia="Times New Roman"/>
          <w:b/>
          <w:bCs/>
        </w:rPr>
      </w:pPr>
      <w:r w:rsidRPr="00B925FB">
        <w:rPr>
          <w:b/>
          <w:bCs/>
          <w:caps/>
          <w:color w:val="0070C0"/>
          <w:sz w:val="26"/>
          <w:szCs w:val="26"/>
        </w:rPr>
        <w:t xml:space="preserve">New! </w:t>
      </w:r>
      <w:r w:rsidRPr="00B925FB">
        <w:rPr>
          <w:b/>
          <w:bCs/>
          <w:caps/>
          <w:noProof/>
          <w:color w:val="0E425C"/>
          <w:sz w:val="26"/>
          <w:szCs w:val="26"/>
        </w:rPr>
        <w:t xml:space="preserve">State Lactation Accommodation Regulations Effective </w:t>
      </w:r>
      <w:r w:rsidRPr="00B925FB">
        <w:rPr>
          <w:b/>
          <w:bCs/>
          <w:caps/>
          <w:color w:val="0070C0"/>
          <w:sz w:val="26"/>
          <w:szCs w:val="26"/>
        </w:rPr>
        <w:t>October 1, 2026</w:t>
      </w:r>
    </w:p>
    <w:p w14:paraId="3672C3A6" w14:textId="77777777" w:rsidR="00C6528C" w:rsidRPr="006F0AE8" w:rsidRDefault="00C6528C" w:rsidP="00C6528C">
      <w:pPr>
        <w:rPr>
          <w:rFonts w:eastAsia="Times New Roman"/>
        </w:rPr>
      </w:pPr>
      <w:r w:rsidRPr="006F0AE8">
        <w:rPr>
          <w:rFonts w:eastAsia="Times New Roman"/>
        </w:rPr>
        <w:t xml:space="preserve">The law strengthens protections for breastfeeding employees by requiring employers to provide </w:t>
      </w:r>
      <w:r w:rsidRPr="006F0AE8">
        <w:rPr>
          <w:rFonts w:eastAsia="Times New Roman"/>
          <w:u w:val="single"/>
        </w:rPr>
        <w:t>reasonable break times</w:t>
      </w:r>
      <w:r w:rsidRPr="006F0AE8">
        <w:rPr>
          <w:rFonts w:eastAsia="Times New Roman"/>
        </w:rPr>
        <w:t xml:space="preserve"> for an employee to express breast milk or breastfeed at the workplace, in addition to the employee’s scheduled breaks.</w:t>
      </w:r>
      <w:r w:rsidRPr="006F0AE8">
        <w:rPr>
          <w:rFonts w:ascii="Georgia" w:hAnsi="Georgia"/>
          <w:color w:val="292929"/>
          <w:spacing w:val="3"/>
          <w:sz w:val="27"/>
          <w:szCs w:val="27"/>
          <w:shd w:val="clear" w:color="auto" w:fill="FFFFFF"/>
        </w:rPr>
        <w:t xml:space="preserve"> </w:t>
      </w:r>
      <w:r w:rsidRPr="006F0AE8">
        <w:rPr>
          <w:rFonts w:eastAsia="Times New Roman"/>
        </w:rPr>
        <w:t xml:space="preserve">This represents a shift from the current law, which allows an employee to express milk or breastfeed during meals or break periods. </w:t>
      </w:r>
      <w:r w:rsidRPr="006F0AE8">
        <w:rPr>
          <w:rFonts w:eastAsia="Times New Roman"/>
        </w:rPr>
        <w:lastRenderedPageBreak/>
        <w:t>Existing requirements for a private space near the work area with refrigeration and an electrical outlet remain unchanged.</w:t>
      </w:r>
      <w:r>
        <w:rPr>
          <w:rFonts w:eastAsia="Times New Roman"/>
        </w:rPr>
        <w:t xml:space="preserve"> If an updated State Handbook is needed, at present we do not feel an update will be warranted given federal lactation accommodation regulations, ETC will release such for employers.</w:t>
      </w:r>
    </w:p>
    <w:p w14:paraId="6BC87591" w14:textId="77777777" w:rsidR="00C6528C" w:rsidRDefault="00C6528C" w:rsidP="00C6528C">
      <w:pPr>
        <w:rPr>
          <w:b/>
          <w:bCs/>
          <w:caps/>
          <w:color w:val="0070C0"/>
          <w:sz w:val="26"/>
          <w:szCs w:val="26"/>
        </w:rPr>
      </w:pPr>
      <w:r w:rsidRPr="00674308">
        <w:rPr>
          <w:b/>
          <w:bCs/>
          <w:caps/>
          <w:noProof/>
          <w:color w:val="0E425C"/>
          <w:sz w:val="26"/>
          <w:szCs w:val="26"/>
        </w:rPr>
        <w:t xml:space="preserve">Reminder: </w:t>
      </w:r>
      <w:r w:rsidRPr="005E5793">
        <w:rPr>
          <w:b/>
          <w:bCs/>
          <w:caps/>
          <w:noProof/>
          <w:color w:val="0E425C"/>
          <w:sz w:val="26"/>
          <w:szCs w:val="26"/>
        </w:rPr>
        <w:t>State Warehouse Quota Law Eff</w:t>
      </w:r>
      <w:r>
        <w:rPr>
          <w:b/>
          <w:bCs/>
          <w:caps/>
          <w:noProof/>
          <w:color w:val="0E425C"/>
          <w:sz w:val="26"/>
          <w:szCs w:val="26"/>
        </w:rPr>
        <w:t>ective</w:t>
      </w:r>
      <w:r w:rsidRPr="005E5793">
        <w:rPr>
          <w:b/>
          <w:bCs/>
          <w:caps/>
          <w:noProof/>
          <w:color w:val="0E425C"/>
          <w:sz w:val="26"/>
          <w:szCs w:val="26"/>
        </w:rPr>
        <w:t xml:space="preserve"> </w:t>
      </w:r>
      <w:r w:rsidRPr="005E5793">
        <w:rPr>
          <w:b/>
          <w:bCs/>
          <w:caps/>
          <w:color w:val="0070C0"/>
          <w:sz w:val="26"/>
          <w:szCs w:val="26"/>
        </w:rPr>
        <w:t>July 1, 2026</w:t>
      </w:r>
    </w:p>
    <w:p w14:paraId="36FBC22A" w14:textId="36B9F409" w:rsidR="00C6528C" w:rsidRPr="00752A36" w:rsidRDefault="00C6528C" w:rsidP="00752A36">
      <w:pPr>
        <w:rPr>
          <w:rFonts w:eastAsia="Times New Roman"/>
        </w:rPr>
      </w:pPr>
      <w:r w:rsidRPr="002F6B18">
        <w:rPr>
          <w:rFonts w:eastAsia="Times New Roman"/>
        </w:rPr>
        <w:t>Warehouse Quota laws require certain employers operating warehouses and distribution centers to provide notice to employees of any productivity quotas, along with an identification of the adverse employment actions which could be imposed for failure to meet a quota</w:t>
      </w:r>
      <w:r>
        <w:rPr>
          <w:rFonts w:eastAsia="Times New Roman"/>
        </w:rPr>
        <w:t xml:space="preserve">. </w:t>
      </w:r>
      <w:r w:rsidRPr="002F6B18">
        <w:rPr>
          <w:shd w:val="clear" w:color="auto" w:fill="FFFFFF"/>
        </w:rPr>
        <w:t>Impacted employers are urged  to ensure understanding and compliance with this industry-specific compliance obligation.</w:t>
      </w:r>
      <w:r w:rsidRPr="001B1273">
        <w:rPr>
          <w:rFonts w:eastAsia="Times New Roman"/>
        </w:rPr>
        <w:t xml:space="preserve"> </w:t>
      </w:r>
    </w:p>
    <w:p w14:paraId="4F71A6A0" w14:textId="6739FF15" w:rsidR="00EB6934" w:rsidRDefault="00EB6934" w:rsidP="00EB6934">
      <w:pPr>
        <w:jc w:val="center"/>
        <w:rPr>
          <w:b/>
          <w:bCs/>
          <w:caps/>
          <w:color w:val="0070C0"/>
          <w:sz w:val="26"/>
          <w:szCs w:val="26"/>
        </w:rPr>
      </w:pPr>
      <w:r w:rsidRPr="005E5793">
        <w:rPr>
          <w:b/>
          <w:bCs/>
          <w:caps/>
          <w:noProof/>
          <w:color w:val="0E425C"/>
          <w:sz w:val="26"/>
          <w:szCs w:val="26"/>
        </w:rPr>
        <w:t xml:space="preserve">State Warehouse Quota Law Eff </w:t>
      </w:r>
      <w:r w:rsidRPr="005E5793">
        <w:rPr>
          <w:b/>
          <w:bCs/>
          <w:caps/>
          <w:color w:val="0070C0"/>
          <w:sz w:val="26"/>
          <w:szCs w:val="26"/>
        </w:rPr>
        <w:t>July 1, 2026</w:t>
      </w:r>
    </w:p>
    <w:p w14:paraId="56122170" w14:textId="77777777" w:rsidR="00EB6934" w:rsidRPr="002F6B18" w:rsidRDefault="00EB6934" w:rsidP="00EB6934">
      <w:pPr>
        <w:rPr>
          <w:rFonts w:eastAsia="Times New Roman"/>
        </w:rPr>
      </w:pPr>
      <w:r w:rsidRPr="002F6B18">
        <w:rPr>
          <w:rFonts w:eastAsia="Times New Roman"/>
        </w:rPr>
        <w:t>Warehouse Quota laws require certain employers operating warehouses and distribution centers to provide notice to employees of any productivity quotas, along with an identification of the adverse employment actions which could be imposed for failure to meet a quota.</w:t>
      </w:r>
    </w:p>
    <w:p w14:paraId="1099B350" w14:textId="77777777" w:rsidR="00EB6934" w:rsidRPr="002F6B18" w:rsidRDefault="00EB6934" w:rsidP="00EB6934">
      <w:pPr>
        <w:rPr>
          <w:shd w:val="clear" w:color="auto" w:fill="FFFFFF"/>
        </w:rPr>
      </w:pPr>
      <w:r w:rsidRPr="002F6B18">
        <w:rPr>
          <w:shd w:val="clear" w:color="auto" w:fill="FFFFFF"/>
        </w:rPr>
        <w:t>Connecticut’s new law applies only to non-exempt employees who work at “warehouse distribution centers,” at which the employer employs at least a defined number of employees, and only within operations identified by specific codes within the North American Industry Classification System (NAICS).</w:t>
      </w:r>
    </w:p>
    <w:p w14:paraId="53A08095" w14:textId="2DC70DC9" w:rsidR="00EB6934" w:rsidRPr="00EB6934" w:rsidRDefault="00EB6934" w:rsidP="00EB6934">
      <w:pPr>
        <w:rPr>
          <w:shd w:val="clear" w:color="auto" w:fill="FFFFFF"/>
        </w:rPr>
      </w:pPr>
      <w:r w:rsidRPr="002F6B18">
        <w:rPr>
          <w:shd w:val="clear" w:color="auto" w:fill="FFFFFF"/>
        </w:rPr>
        <w:t xml:space="preserve">Impacted employers are urged  to ensure understanding and compliance with this industry-specific compliance obligation. To learn more, access Littler Mendelson’s ASAP online release from March 10, 2026, </w:t>
      </w:r>
      <w:hyperlink r:id="rId685" w:history="1">
        <w:r w:rsidRPr="002F6B18">
          <w:rPr>
            <w:rStyle w:val="Hyperlink"/>
            <w:shd w:val="clear" w:color="auto" w:fill="FFFFFF"/>
          </w:rPr>
          <w:t>HERE</w:t>
        </w:r>
      </w:hyperlink>
      <w:r>
        <w:rPr>
          <w:shd w:val="clear" w:color="auto" w:fill="FFFFFF"/>
        </w:rPr>
        <w:t xml:space="preserve">   </w:t>
      </w:r>
      <w:r w:rsidRPr="002F6B18">
        <w:t xml:space="preserve">Additional related Links: </w:t>
      </w:r>
      <w:hyperlink r:id="rId686" w:history="1">
        <w:r w:rsidRPr="002F6B18">
          <w:rPr>
            <w:rStyle w:val="Hyperlink"/>
          </w:rPr>
          <w:t>SB 298, Secs. 50-57</w:t>
        </w:r>
      </w:hyperlink>
      <w:r w:rsidRPr="002F6B18">
        <w:t xml:space="preserve"> and </w:t>
      </w:r>
      <w:hyperlink r:id="rId687" w:history="1">
        <w:r w:rsidRPr="002F6B18">
          <w:rPr>
            <w:rStyle w:val="Hyperlink"/>
          </w:rPr>
          <w:t>Bill Notification 2026-2 (3.6.26)</w:t>
        </w:r>
      </w:hyperlink>
    </w:p>
    <w:p w14:paraId="529BE855" w14:textId="460BF41B" w:rsidR="00AF6D90" w:rsidRPr="00DD7BD1" w:rsidRDefault="00AF6D90" w:rsidP="00AF6D9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2026</w:t>
      </w:r>
    </w:p>
    <w:p w14:paraId="509F510A" w14:textId="3CBCCBCB" w:rsidR="00AF6D90"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Connecticut’s minimum wage will increase to $16.94 per hour. The minimum base wage for most tipped hotel and restaurant service employees and tipped bartenders remains the same ($6.38 and $8.23 per hour, respectively).</w:t>
      </w:r>
    </w:p>
    <w:p w14:paraId="1FA699E4" w14:textId="77777777" w:rsidR="00AF6D90" w:rsidRPr="00DD7BD1" w:rsidRDefault="00AF6D90" w:rsidP="00AF6D90">
      <w:pPr>
        <w:spacing w:after="0" w:line="240" w:lineRule="auto"/>
        <w:jc w:val="center"/>
        <w:rPr>
          <w:rFonts w:ascii="Calibri" w:hAnsi="Calibri" w:cs="Calibri"/>
          <w:b/>
          <w:bCs/>
          <w:shd w:val="clear" w:color="auto" w:fill="FFFFFF"/>
          <w:lang w:val="en"/>
        </w:rPr>
      </w:pPr>
    </w:p>
    <w:p w14:paraId="0AF4BFCF" w14:textId="3DDB4303" w:rsidR="00AF6D90" w:rsidRPr="00DD7BD1" w:rsidRDefault="00AF6D90" w:rsidP="00AF6D9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State Paid Sick Leave Regulations – </w:t>
      </w:r>
      <w:r w:rsidRPr="00DD7BD1">
        <w:rPr>
          <w:rFonts w:ascii="Calibri" w:hAnsi="Calibri" w:cs="Calibri"/>
          <w:b/>
          <w:bCs/>
          <w:color w:val="C00000"/>
          <w:sz w:val="28"/>
          <w:szCs w:val="28"/>
          <w:shd w:val="clear" w:color="auto" w:fill="FFFFFF"/>
          <w:lang w:val="en"/>
        </w:rPr>
        <w:t>Eff Jan 1, 2026</w:t>
      </w:r>
    </w:p>
    <w:p w14:paraId="570296C4" w14:textId="12FF4792" w:rsidR="00B01E3D"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rPr>
        <w:t>Beginning January 1, 2026, Connecticut’s paid sick leave law will cover employers with 11 or more employees in the state.</w:t>
      </w:r>
    </w:p>
    <w:p w14:paraId="204DE3C0" w14:textId="77777777" w:rsidR="00AC5E05" w:rsidRPr="00AC5E05" w:rsidRDefault="00AC5E05" w:rsidP="00A85628">
      <w:pPr>
        <w:spacing w:before="11"/>
        <w:ind w:right="-90"/>
        <w:jc w:val="center"/>
        <w:rPr>
          <w:rFonts w:ascii="Calibri" w:hAnsi="Calibri" w:cs="Calibri"/>
          <w:b/>
          <w:bCs/>
          <w:sz w:val="12"/>
          <w:szCs w:val="12"/>
          <w:shd w:val="clear" w:color="auto" w:fill="FFFFFF"/>
        </w:rPr>
      </w:pPr>
    </w:p>
    <w:p w14:paraId="65FA0F39" w14:textId="1D6755A9" w:rsidR="00A85628" w:rsidRPr="00DD7BD1" w:rsidRDefault="00A85628" w:rsidP="00A85628">
      <w:pPr>
        <w:spacing w:before="11"/>
        <w:ind w:right="-9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State Expands Victim Protections –</w:t>
      </w:r>
      <w:r w:rsidRPr="00DD7BD1">
        <w:rPr>
          <w:rFonts w:ascii="Calibri" w:hAnsi="Calibri" w:cs="Calibri"/>
          <w:b/>
          <w:bCs/>
          <w:color w:val="C00000"/>
          <w:sz w:val="28"/>
          <w:szCs w:val="28"/>
          <w:shd w:val="clear" w:color="auto" w:fill="FFFFFF"/>
        </w:rPr>
        <w:t xml:space="preserve"> Eff Oct 1, 2025</w:t>
      </w:r>
    </w:p>
    <w:bookmarkEnd w:id="77"/>
    <w:p w14:paraId="0AF27FA6" w14:textId="473CECB1" w:rsidR="00A85628" w:rsidRPr="00DD7BD1" w:rsidRDefault="00A85628" w:rsidP="00A85628">
      <w:pPr>
        <w:pStyle w:val="BodyText"/>
        <w:spacing w:after="0" w:line="240" w:lineRule="auto"/>
        <w:ind w:right="-187"/>
        <w:jc w:val="left"/>
        <w:rPr>
          <w:rFonts w:cs="Calibri"/>
          <w:color w:val="auto"/>
          <w:spacing w:val="-2"/>
          <w:w w:val="110"/>
          <w:szCs w:val="22"/>
        </w:rPr>
      </w:pPr>
      <w:r w:rsidRPr="00DD7BD1">
        <w:rPr>
          <w:rFonts w:cs="Calibri"/>
          <w:szCs w:val="22"/>
        </w:rPr>
        <w:fldChar w:fldCharType="begin"/>
      </w:r>
      <w:r w:rsidRPr="00DD7BD1">
        <w:rPr>
          <w:rFonts w:cs="Calibri"/>
          <w:szCs w:val="22"/>
        </w:rPr>
        <w:instrText>HYPERLINK "https://www.cga.ct.gov/asp/cgabillstatus/cgabillstatus.asp?selBillType=Bill&amp;which_year=2025&amp;bill_num=7236" \h</w:instrText>
      </w:r>
      <w:r w:rsidRPr="00DD7BD1">
        <w:rPr>
          <w:rFonts w:cs="Calibri"/>
          <w:szCs w:val="22"/>
        </w:rPr>
      </w:r>
      <w:r w:rsidRPr="00DD7BD1">
        <w:rPr>
          <w:rFonts w:cs="Calibri"/>
          <w:szCs w:val="22"/>
        </w:rPr>
        <w:fldChar w:fldCharType="separate"/>
      </w:r>
      <w:r w:rsidRPr="00DD7BD1">
        <w:rPr>
          <w:rFonts w:cs="Calibri"/>
          <w:color w:val="0000FF"/>
          <w:w w:val="110"/>
          <w:szCs w:val="22"/>
          <w:u w:val="single" w:color="0000FF"/>
        </w:rPr>
        <w:t>CT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7236</w:t>
      </w:r>
      <w:r w:rsidRPr="00DD7BD1">
        <w:rPr>
          <w:rFonts w:cs="Calibri"/>
          <w:szCs w:val="22"/>
        </w:rPr>
        <w:fldChar w:fldCharType="end"/>
      </w:r>
      <w:r w:rsidRPr="00DD7BD1">
        <w:rPr>
          <w:rFonts w:cs="Calibri"/>
          <w:color w:val="0000FF"/>
          <w:spacing w:val="-17"/>
          <w:w w:val="110"/>
          <w:szCs w:val="22"/>
        </w:rPr>
        <w:t xml:space="preserve"> </w:t>
      </w:r>
      <w:r w:rsidRPr="00DD7BD1">
        <w:rPr>
          <w:rFonts w:cs="Calibri"/>
          <w:color w:val="auto"/>
          <w:w w:val="110"/>
          <w:szCs w:val="22"/>
        </w:rPr>
        <w:t>was</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8,</w:t>
      </w:r>
      <w:r w:rsidRPr="00DD7BD1">
        <w:rPr>
          <w:rFonts w:cs="Calibri"/>
          <w:color w:val="auto"/>
          <w:spacing w:val="-16"/>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6"/>
          <w:w w:val="110"/>
          <w:szCs w:val="22"/>
        </w:rPr>
        <w:t xml:space="preserve"> </w:t>
      </w:r>
      <w:r w:rsidRPr="00DD7BD1">
        <w:rPr>
          <w:rFonts w:cs="Calibri"/>
          <w:color w:val="auto"/>
          <w:w w:val="110"/>
          <w:szCs w:val="22"/>
        </w:rPr>
        <w:t>Connecticut’s</w:t>
      </w:r>
      <w:r w:rsidRPr="00DD7BD1">
        <w:rPr>
          <w:rFonts w:cs="Calibri"/>
          <w:color w:val="auto"/>
          <w:spacing w:val="-17"/>
          <w:w w:val="110"/>
          <w:szCs w:val="22"/>
        </w:rPr>
        <w:t xml:space="preserve"> </w:t>
      </w:r>
      <w:r w:rsidRPr="00DD7BD1">
        <w:rPr>
          <w:rFonts w:cs="Calibri"/>
          <w:color w:val="auto"/>
          <w:w w:val="110"/>
          <w:szCs w:val="22"/>
        </w:rPr>
        <w:t>antidiscrimination law,</w:t>
      </w:r>
      <w:r w:rsidRPr="00DD7BD1">
        <w:rPr>
          <w:rFonts w:cs="Calibri"/>
          <w:color w:val="auto"/>
          <w:spacing w:val="-9"/>
          <w:w w:val="110"/>
          <w:szCs w:val="22"/>
        </w:rPr>
        <w:t xml:space="preserve"> </w:t>
      </w:r>
      <w:r w:rsidRPr="00DD7BD1">
        <w:rPr>
          <w:rFonts w:cs="Calibri"/>
          <w:color w:val="auto"/>
          <w:w w:val="110"/>
          <w:szCs w:val="22"/>
        </w:rPr>
        <w:t>which</w:t>
      </w:r>
      <w:r w:rsidRPr="00DD7BD1">
        <w:rPr>
          <w:rFonts w:cs="Calibri"/>
          <w:color w:val="auto"/>
          <w:spacing w:val="-7"/>
          <w:w w:val="110"/>
          <w:szCs w:val="22"/>
        </w:rPr>
        <w:t xml:space="preserve"> </w:t>
      </w:r>
      <w:r w:rsidRPr="00DD7BD1">
        <w:rPr>
          <w:rFonts w:cs="Calibri"/>
          <w:color w:val="auto"/>
          <w:w w:val="110"/>
          <w:szCs w:val="22"/>
        </w:rPr>
        <w:t>applies</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7"/>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cover</w:t>
      </w:r>
      <w:r w:rsidRPr="00DD7BD1">
        <w:rPr>
          <w:rFonts w:cs="Calibri"/>
          <w:color w:val="auto"/>
          <w:spacing w:val="-7"/>
          <w:w w:val="110"/>
          <w:szCs w:val="22"/>
        </w:rPr>
        <w:t xml:space="preserve"> </w:t>
      </w:r>
      <w:r w:rsidRPr="00DD7BD1">
        <w:rPr>
          <w:rFonts w:cs="Calibri"/>
          <w:color w:val="auto"/>
          <w:w w:val="110"/>
          <w:szCs w:val="22"/>
        </w:rPr>
        <w:t>victims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u w:val="single"/>
        </w:rPr>
        <w:t>sexual</w:t>
      </w:r>
      <w:r w:rsidRPr="00DD7BD1">
        <w:rPr>
          <w:rFonts w:cs="Calibri"/>
          <w:color w:val="auto"/>
          <w:spacing w:val="-9"/>
          <w:w w:val="110"/>
          <w:szCs w:val="22"/>
          <w:u w:val="single"/>
        </w:rPr>
        <w:t xml:space="preserve"> </w:t>
      </w:r>
      <w:r w:rsidRPr="00DD7BD1">
        <w:rPr>
          <w:rFonts w:cs="Calibri"/>
          <w:color w:val="auto"/>
          <w:w w:val="110"/>
          <w:szCs w:val="22"/>
          <w:u w:val="single"/>
        </w:rPr>
        <w:t>assault</w:t>
      </w:r>
      <w:r w:rsidRPr="00DD7BD1">
        <w:rPr>
          <w:rFonts w:cs="Calibri"/>
          <w:color w:val="auto"/>
          <w:spacing w:val="-7"/>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human</w:t>
      </w:r>
      <w:r w:rsidRPr="00DD7BD1">
        <w:rPr>
          <w:rFonts w:cs="Calibri"/>
          <w:color w:val="auto"/>
          <w:spacing w:val="-7"/>
          <w:w w:val="110"/>
          <w:szCs w:val="22"/>
          <w:u w:val="single"/>
        </w:rPr>
        <w:t xml:space="preserve"> </w:t>
      </w:r>
      <w:r w:rsidRPr="00DD7BD1">
        <w:rPr>
          <w:rFonts w:cs="Calibri"/>
          <w:color w:val="auto"/>
          <w:w w:val="110"/>
          <w:szCs w:val="22"/>
          <w:u w:val="single"/>
        </w:rPr>
        <w:t>trafficking</w:t>
      </w:r>
      <w:r w:rsidRPr="00DD7BD1">
        <w:rPr>
          <w:rFonts w:cs="Calibri"/>
          <w:color w:val="auto"/>
          <w:spacing w:val="-6"/>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give</w:t>
      </w:r>
      <w:r w:rsidRPr="00DD7BD1">
        <w:rPr>
          <w:rFonts w:cs="Calibri"/>
          <w:color w:val="auto"/>
          <w:spacing w:val="-7"/>
          <w:w w:val="110"/>
          <w:szCs w:val="22"/>
          <w:u w:val="single"/>
        </w:rPr>
        <w:t xml:space="preserve"> </w:t>
      </w:r>
      <w:r w:rsidRPr="00DD7BD1">
        <w:rPr>
          <w:rFonts w:cs="Calibri"/>
          <w:color w:val="auto"/>
          <w:w w:val="110"/>
          <w:szCs w:val="22"/>
          <w:u w:val="single"/>
        </w:rPr>
        <w:t>them</w:t>
      </w:r>
      <w:r w:rsidRPr="00DD7BD1">
        <w:rPr>
          <w:rFonts w:cs="Calibri"/>
          <w:color w:val="auto"/>
          <w:w w:val="110"/>
          <w:szCs w:val="22"/>
        </w:rPr>
        <w:t xml:space="preserve"> </w:t>
      </w:r>
      <w:r w:rsidRPr="00DD7BD1">
        <w:rPr>
          <w:rFonts w:cs="Calibri"/>
          <w:color w:val="auto"/>
          <w:w w:val="110"/>
          <w:szCs w:val="22"/>
          <w:u w:val="single"/>
        </w:rPr>
        <w:t>the</w:t>
      </w:r>
      <w:r w:rsidRPr="00DD7BD1">
        <w:rPr>
          <w:rFonts w:cs="Calibri"/>
          <w:color w:val="auto"/>
          <w:spacing w:val="-2"/>
          <w:w w:val="110"/>
          <w:szCs w:val="22"/>
          <w:u w:val="single"/>
        </w:rPr>
        <w:t xml:space="preserve"> </w:t>
      </w:r>
      <w:r w:rsidRPr="00DD7BD1">
        <w:rPr>
          <w:rFonts w:cs="Calibri"/>
          <w:color w:val="auto"/>
          <w:w w:val="110"/>
          <w:szCs w:val="22"/>
          <w:u w:val="single"/>
        </w:rPr>
        <w:t>same</w:t>
      </w:r>
      <w:r w:rsidRPr="00DD7BD1">
        <w:rPr>
          <w:rFonts w:cs="Calibri"/>
          <w:color w:val="auto"/>
          <w:spacing w:val="-2"/>
          <w:w w:val="110"/>
          <w:szCs w:val="22"/>
          <w:u w:val="single"/>
        </w:rPr>
        <w:t xml:space="preserve"> </w:t>
      </w:r>
      <w:r w:rsidRPr="00DD7BD1">
        <w:rPr>
          <w:rFonts w:cs="Calibri"/>
          <w:color w:val="auto"/>
          <w:w w:val="110"/>
          <w:szCs w:val="22"/>
          <w:u w:val="single"/>
        </w:rPr>
        <w:t>protections</w:t>
      </w:r>
      <w:r w:rsidRPr="00DD7BD1">
        <w:rPr>
          <w:rFonts w:cs="Calibri"/>
          <w:color w:val="auto"/>
          <w:spacing w:val="-2"/>
          <w:w w:val="110"/>
          <w:szCs w:val="22"/>
          <w:u w:val="single"/>
        </w:rPr>
        <w:t xml:space="preserve"> </w:t>
      </w:r>
      <w:r w:rsidRPr="00DD7BD1">
        <w:rPr>
          <w:rFonts w:cs="Calibri"/>
          <w:color w:val="auto"/>
          <w:w w:val="110"/>
          <w:szCs w:val="22"/>
          <w:u w:val="single"/>
        </w:rPr>
        <w:t>as</w:t>
      </w:r>
      <w:r w:rsidRPr="00DD7BD1">
        <w:rPr>
          <w:rFonts w:cs="Calibri"/>
          <w:color w:val="auto"/>
          <w:spacing w:val="-4"/>
          <w:w w:val="110"/>
          <w:szCs w:val="22"/>
          <w:u w:val="single"/>
        </w:rPr>
        <w:t xml:space="preserve"> </w:t>
      </w:r>
      <w:r w:rsidRPr="00DD7BD1">
        <w:rPr>
          <w:rFonts w:cs="Calibri"/>
          <w:color w:val="auto"/>
          <w:w w:val="110"/>
          <w:szCs w:val="22"/>
          <w:u w:val="single"/>
        </w:rPr>
        <w:t>victims</w:t>
      </w:r>
      <w:r w:rsidRPr="00DD7BD1">
        <w:rPr>
          <w:rFonts w:cs="Calibri"/>
          <w:color w:val="auto"/>
          <w:spacing w:val="-4"/>
          <w:w w:val="110"/>
          <w:szCs w:val="22"/>
          <w:u w:val="single"/>
        </w:rPr>
        <w:t xml:space="preserve"> </w:t>
      </w:r>
      <w:r w:rsidRPr="00DD7BD1">
        <w:rPr>
          <w:rFonts w:cs="Calibri"/>
          <w:color w:val="auto"/>
          <w:w w:val="110"/>
          <w:szCs w:val="22"/>
          <w:u w:val="single"/>
        </w:rPr>
        <w:t>of</w:t>
      </w:r>
      <w:r w:rsidRPr="00DD7BD1">
        <w:rPr>
          <w:rFonts w:cs="Calibri"/>
          <w:color w:val="auto"/>
          <w:spacing w:val="-3"/>
          <w:w w:val="110"/>
          <w:szCs w:val="22"/>
          <w:u w:val="single"/>
        </w:rPr>
        <w:t xml:space="preserve"> </w:t>
      </w:r>
      <w:r w:rsidRPr="00DD7BD1">
        <w:rPr>
          <w:rFonts w:cs="Calibri"/>
          <w:color w:val="auto"/>
          <w:w w:val="110"/>
          <w:szCs w:val="22"/>
          <w:u w:val="single"/>
        </w:rPr>
        <w:t>domestic</w:t>
      </w:r>
      <w:r w:rsidRPr="00DD7BD1">
        <w:rPr>
          <w:rFonts w:cs="Calibri"/>
          <w:color w:val="auto"/>
          <w:spacing w:val="-3"/>
          <w:w w:val="110"/>
          <w:szCs w:val="22"/>
          <w:u w:val="single"/>
        </w:rPr>
        <w:t xml:space="preserve"> </w:t>
      </w:r>
      <w:r w:rsidRPr="00DD7BD1">
        <w:rPr>
          <w:rFonts w:cs="Calibri"/>
          <w:color w:val="auto"/>
          <w:w w:val="110"/>
          <w:szCs w:val="22"/>
          <w:u w:val="single"/>
        </w:rPr>
        <w:t>violence</w:t>
      </w:r>
      <w:r w:rsidRPr="00DD7BD1">
        <w:rPr>
          <w:rFonts w:cs="Calibri"/>
          <w:color w:val="auto"/>
          <w:w w:val="110"/>
          <w:szCs w:val="22"/>
        </w:rPr>
        <w:t>.</w:t>
      </w:r>
      <w:r w:rsidRPr="00DD7BD1">
        <w:rPr>
          <w:rFonts w:cs="Calibri"/>
          <w:color w:val="auto"/>
          <w:spacing w:val="-3"/>
          <w:w w:val="110"/>
          <w:szCs w:val="22"/>
        </w:rPr>
        <w:t xml:space="preserve"> </w:t>
      </w: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means</w:t>
      </w:r>
      <w:r w:rsidRPr="00DD7BD1">
        <w:rPr>
          <w:rFonts w:cs="Calibri"/>
          <w:color w:val="auto"/>
          <w:spacing w:val="-2"/>
          <w:w w:val="110"/>
          <w:szCs w:val="22"/>
        </w:rPr>
        <w:t xml:space="preserve"> </w:t>
      </w:r>
      <w:r w:rsidRPr="00DD7BD1">
        <w:rPr>
          <w:rFonts w:cs="Calibri"/>
          <w:color w:val="auto"/>
          <w:w w:val="110"/>
          <w:szCs w:val="22"/>
        </w:rPr>
        <w:t>they’ll</w:t>
      </w:r>
      <w:r w:rsidRPr="00DD7BD1">
        <w:rPr>
          <w:rFonts w:cs="Calibri"/>
          <w:color w:val="auto"/>
          <w:spacing w:val="-1"/>
          <w:w w:val="110"/>
          <w:szCs w:val="22"/>
        </w:rPr>
        <w:t xml:space="preserve"> </w:t>
      </w:r>
      <w:r w:rsidRPr="00DD7BD1">
        <w:rPr>
          <w:rFonts w:cs="Calibri"/>
          <w:color w:val="auto"/>
          <w:w w:val="110"/>
          <w:szCs w:val="22"/>
        </w:rPr>
        <w:t>be</w:t>
      </w:r>
      <w:r w:rsidRPr="00DD7BD1">
        <w:rPr>
          <w:rFonts w:cs="Calibri"/>
          <w:color w:val="auto"/>
          <w:spacing w:val="-2"/>
          <w:w w:val="110"/>
          <w:szCs w:val="22"/>
        </w:rPr>
        <w:t xml:space="preserve"> </w:t>
      </w:r>
      <w:r w:rsidRPr="00DD7BD1">
        <w:rPr>
          <w:rFonts w:cs="Calibri"/>
          <w:color w:val="auto"/>
          <w:w w:val="110"/>
          <w:szCs w:val="22"/>
        </w:rPr>
        <w:t>entitled</w:t>
      </w:r>
      <w:r w:rsidRPr="00DD7BD1">
        <w:rPr>
          <w:rFonts w:cs="Calibri"/>
          <w:color w:val="auto"/>
          <w:spacing w:val="-2"/>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discrimination</w:t>
      </w:r>
      <w:r w:rsidRPr="00DD7BD1">
        <w:rPr>
          <w:rFonts w:cs="Calibri"/>
          <w:color w:val="auto"/>
          <w:spacing w:val="-2"/>
          <w:w w:val="110"/>
          <w:szCs w:val="22"/>
        </w:rPr>
        <w:t xml:space="preserve"> </w:t>
      </w:r>
      <w:r w:rsidRPr="00DD7BD1">
        <w:rPr>
          <w:rFonts w:cs="Calibri"/>
          <w:color w:val="auto"/>
          <w:w w:val="110"/>
          <w:szCs w:val="22"/>
        </w:rPr>
        <w:t>protections, reasonable</w:t>
      </w:r>
      <w:r w:rsidRPr="00DD7BD1">
        <w:rPr>
          <w:rFonts w:cs="Calibri"/>
          <w:color w:val="auto"/>
          <w:spacing w:val="-17"/>
          <w:w w:val="110"/>
          <w:szCs w:val="22"/>
        </w:rPr>
        <w:t xml:space="preserve"> </w:t>
      </w:r>
      <w:r w:rsidRPr="00DD7BD1">
        <w:rPr>
          <w:rFonts w:cs="Calibri"/>
          <w:color w:val="auto"/>
          <w:w w:val="110"/>
          <w:szCs w:val="22"/>
        </w:rPr>
        <w:t>victim</w:t>
      </w:r>
      <w:r w:rsidRPr="00DD7BD1">
        <w:rPr>
          <w:rFonts w:cs="Calibri"/>
          <w:color w:val="auto"/>
          <w:spacing w:val="-17"/>
          <w:w w:val="110"/>
          <w:szCs w:val="22"/>
        </w:rPr>
        <w:t xml:space="preserve"> </w:t>
      </w:r>
      <w:proofErr w:type="gramStart"/>
      <w:r w:rsidRPr="00DD7BD1">
        <w:rPr>
          <w:rFonts w:cs="Calibri"/>
          <w:color w:val="auto"/>
          <w:w w:val="110"/>
          <w:szCs w:val="22"/>
        </w:rPr>
        <w:t>leave</w:t>
      </w:r>
      <w:proofErr w:type="gramEnd"/>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accommodations.</w:t>
      </w:r>
      <w:r w:rsidRPr="00DD7BD1">
        <w:rPr>
          <w:rFonts w:cs="Calibri"/>
          <w:color w:val="auto"/>
          <w:spacing w:val="40"/>
          <w:w w:val="110"/>
          <w:szCs w:val="22"/>
        </w:rPr>
        <w:t xml:space="preserve"> </w:t>
      </w:r>
      <w:r w:rsidRPr="00DD7BD1">
        <w:rPr>
          <w:rFonts w:cs="Calibri"/>
          <w:color w:val="auto"/>
          <w:w w:val="110"/>
          <w:szCs w:val="22"/>
        </w:rPr>
        <w:t>ETC’s</w:t>
      </w:r>
      <w:r w:rsidRPr="00DD7BD1">
        <w:rPr>
          <w:rFonts w:cs="Calibri"/>
          <w:color w:val="auto"/>
          <w:spacing w:val="-15"/>
          <w:w w:val="110"/>
          <w:szCs w:val="22"/>
        </w:rPr>
        <w:t xml:space="preserve"> </w:t>
      </w:r>
      <w:r w:rsidRPr="00DD7BD1">
        <w:rPr>
          <w:rFonts w:cs="Calibri"/>
          <w:color w:val="auto"/>
          <w:w w:val="110"/>
          <w:szCs w:val="22"/>
        </w:rPr>
        <w:t>State</w:t>
      </w:r>
      <w:r w:rsidRPr="00DD7BD1">
        <w:rPr>
          <w:rFonts w:cs="Calibri"/>
          <w:color w:val="auto"/>
          <w:spacing w:val="-15"/>
          <w:w w:val="110"/>
          <w:szCs w:val="22"/>
        </w:rPr>
        <w:t xml:space="preserve"> </w:t>
      </w:r>
      <w:r w:rsidRPr="00DD7BD1">
        <w:rPr>
          <w:rFonts w:cs="Calibri"/>
          <w:color w:val="auto"/>
          <w:w w:val="110"/>
          <w:szCs w:val="22"/>
        </w:rPr>
        <w:t>Handbook</w:t>
      </w:r>
      <w:r w:rsidRPr="00DD7BD1">
        <w:rPr>
          <w:rFonts w:cs="Calibri"/>
          <w:color w:val="auto"/>
          <w:spacing w:val="-15"/>
          <w:w w:val="110"/>
          <w:szCs w:val="22"/>
        </w:rPr>
        <w:t xml:space="preserve"> </w:t>
      </w:r>
      <w:r w:rsidRPr="00DD7BD1">
        <w:rPr>
          <w:rFonts w:cs="Calibri"/>
          <w:color w:val="auto"/>
          <w:w w:val="110"/>
          <w:szCs w:val="22"/>
        </w:rPr>
        <w:t>Addendum</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CT</w:t>
      </w:r>
      <w:r w:rsidRPr="00DD7BD1">
        <w:rPr>
          <w:rFonts w:cs="Calibri"/>
          <w:color w:val="auto"/>
          <w:spacing w:val="-15"/>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included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Aug/Sept</w:t>
      </w:r>
      <w:r w:rsidRPr="00DD7BD1">
        <w:rPr>
          <w:rFonts w:cs="Calibri"/>
          <w:color w:val="auto"/>
          <w:spacing w:val="-16"/>
          <w:w w:val="110"/>
          <w:szCs w:val="22"/>
        </w:rPr>
        <w:t xml:space="preserve"> </w:t>
      </w:r>
      <w:r w:rsidRPr="00DD7BD1">
        <w:rPr>
          <w:rFonts w:cs="Calibri"/>
          <w:color w:val="auto"/>
          <w:w w:val="110"/>
          <w:szCs w:val="22"/>
        </w:rPr>
        <w:t>HR</w:t>
      </w:r>
      <w:r w:rsidRPr="00DD7BD1">
        <w:rPr>
          <w:rFonts w:cs="Calibri"/>
          <w:color w:val="auto"/>
          <w:spacing w:val="-16"/>
          <w:w w:val="110"/>
          <w:szCs w:val="22"/>
        </w:rPr>
        <w:t xml:space="preserve"> </w:t>
      </w:r>
      <w:r w:rsidRPr="00DD7BD1">
        <w:rPr>
          <w:rFonts w:cs="Calibri"/>
          <w:color w:val="auto"/>
          <w:w w:val="110"/>
          <w:szCs w:val="22"/>
        </w:rPr>
        <w:t>WIRE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includes</w:t>
      </w:r>
      <w:r w:rsidRPr="00DD7BD1">
        <w:rPr>
          <w:rFonts w:cs="Calibri"/>
          <w:color w:val="auto"/>
          <w:spacing w:val="-15"/>
          <w:w w:val="110"/>
          <w:szCs w:val="22"/>
        </w:rPr>
        <w:t xml:space="preserve"> </w:t>
      </w:r>
      <w:r w:rsidRPr="00DD7BD1">
        <w:rPr>
          <w:rFonts w:cs="Calibri"/>
          <w:color w:val="auto"/>
          <w:w w:val="110"/>
          <w:szCs w:val="22"/>
        </w:rPr>
        <w:t>updates</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reflect</w:t>
      </w:r>
      <w:r w:rsidRPr="00DD7BD1">
        <w:rPr>
          <w:rFonts w:cs="Calibri"/>
          <w:color w:val="auto"/>
          <w:spacing w:val="-13"/>
          <w:w w:val="110"/>
          <w:szCs w:val="22"/>
        </w:rPr>
        <w:t xml:space="preserve"> </w:t>
      </w:r>
      <w:r w:rsidRPr="00DD7BD1">
        <w:rPr>
          <w:rFonts w:cs="Calibri"/>
          <w:color w:val="auto"/>
          <w:spacing w:val="-4"/>
          <w:w w:val="110"/>
          <w:szCs w:val="22"/>
        </w:rPr>
        <w:t>this</w:t>
      </w:r>
      <w:r w:rsidRPr="00DD7BD1">
        <w:rPr>
          <w:rFonts w:cs="Calibri"/>
          <w:color w:val="auto"/>
          <w:szCs w:val="22"/>
        </w:rPr>
        <w:t xml:space="preserve"> </w:t>
      </w:r>
      <w:r w:rsidRPr="00DD7BD1">
        <w:rPr>
          <w:rFonts w:cs="Calibri"/>
          <w:color w:val="auto"/>
          <w:spacing w:val="-2"/>
          <w:w w:val="110"/>
          <w:szCs w:val="22"/>
        </w:rPr>
        <w:t>enactment.</w:t>
      </w:r>
    </w:p>
    <w:p w14:paraId="4BE29792" w14:textId="77777777" w:rsidR="00A85628" w:rsidRPr="00DD7BD1" w:rsidRDefault="00A85628" w:rsidP="00A85628">
      <w:pPr>
        <w:pStyle w:val="BodyText"/>
        <w:spacing w:after="0" w:line="240" w:lineRule="auto"/>
        <w:ind w:right="-187"/>
        <w:jc w:val="left"/>
        <w:rPr>
          <w:rFonts w:cs="Calibri"/>
          <w:color w:val="auto"/>
          <w:spacing w:val="-2"/>
          <w:w w:val="110"/>
          <w:szCs w:val="22"/>
        </w:rPr>
      </w:pPr>
    </w:p>
    <w:p w14:paraId="5CDC9ADA" w14:textId="0AE193DF"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Issues FAQs on New Paid Sick Leave Requirements</w:t>
      </w:r>
    </w:p>
    <w:p w14:paraId="2B364AB4" w14:textId="3A8352E4" w:rsidR="00B939E8" w:rsidRPr="00DD7BD1" w:rsidRDefault="00B939E8" w:rsidP="00B939E8">
      <w:pPr>
        <w:pStyle w:val="BodyText"/>
        <w:ind w:right="-90"/>
        <w:rPr>
          <w:rFonts w:cs="Calibri"/>
        </w:rPr>
      </w:pPr>
      <w:r w:rsidRPr="00DD7BD1">
        <w:rPr>
          <w:rFonts w:cs="Calibri"/>
          <w:color w:val="auto"/>
        </w:rPr>
        <w:t xml:space="preserve">The Connecticut Department of Labor has issued </w:t>
      </w:r>
      <w:hyperlink r:id="rId688" w:history="1">
        <w:r w:rsidRPr="00DD7BD1">
          <w:rPr>
            <w:rStyle w:val="Hyperlink"/>
            <w:rFonts w:cs="Calibri"/>
          </w:rPr>
          <w:t>answers to frequently asked questions</w:t>
        </w:r>
      </w:hyperlink>
      <w:r w:rsidRPr="00DD7BD1">
        <w:rPr>
          <w:rFonts w:cs="Calibri"/>
        </w:rPr>
        <w:t xml:space="preserve"> </w:t>
      </w:r>
      <w:r w:rsidRPr="00DD7BD1">
        <w:rPr>
          <w:rFonts w:cs="Calibri"/>
          <w:color w:val="auto"/>
        </w:rPr>
        <w:t xml:space="preserve">(FAQs) about the expanded paid sick leave (PSL) requirements that take effect in the state starting Jan. 1, 2025. The department has also </w:t>
      </w:r>
      <w:hyperlink r:id="rId689" w:history="1">
        <w:r w:rsidRPr="00DD7BD1">
          <w:rPr>
            <w:rStyle w:val="Hyperlink"/>
            <w:rFonts w:cs="Calibri"/>
          </w:rPr>
          <w:t>created</w:t>
        </w:r>
      </w:hyperlink>
      <w:r w:rsidRPr="00DD7BD1">
        <w:rPr>
          <w:rFonts w:cs="Calibri"/>
        </w:rPr>
        <w:t xml:space="preserve"> </w:t>
      </w:r>
      <w:r w:rsidRPr="00DD7BD1">
        <w:rPr>
          <w:rFonts w:cs="Calibri"/>
          <w:color w:val="auto"/>
        </w:rPr>
        <w:t xml:space="preserve">a workplace poster and written employee notice, which employers must provide by Jan. 1. Other PSL resources are also available on the department’s website. </w:t>
      </w:r>
    </w:p>
    <w:p w14:paraId="0AB33C89" w14:textId="703137CB"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w:t>
      </w:r>
      <w:r w:rsidRPr="00DD7BD1">
        <w:rPr>
          <w:rFonts w:ascii="Calibri" w:hAnsi="Calibri" w:cs="Calibri"/>
          <w:b/>
          <w:bCs/>
          <w:sz w:val="28"/>
          <w:szCs w:val="28"/>
          <w:shd w:val="clear" w:color="auto" w:fill="FFFFFF"/>
        </w:rPr>
        <w:t> </w:t>
      </w:r>
      <w:bookmarkStart w:id="78" w:name="_Hlk183179004"/>
      <w:r w:rsidRPr="00DD7BD1">
        <w:rPr>
          <w:rFonts w:ascii="Calibri" w:hAnsi="Calibri" w:cs="Calibri"/>
          <w:b/>
          <w:bCs/>
          <w:sz w:val="28"/>
          <w:szCs w:val="28"/>
          <w:shd w:val="clear" w:color="auto" w:fill="FFFFFF"/>
        </w:rPr>
        <w:t>Expands Family Violence Leave – Oct 2024</w:t>
      </w:r>
      <w:bookmarkEnd w:id="78"/>
    </w:p>
    <w:p w14:paraId="23AC100B" w14:textId="24F5F48B" w:rsidR="001A2C87" w:rsidRPr="00DD7BD1" w:rsidRDefault="001A2C87" w:rsidP="001A2C87">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DD7BD1" w:rsidRDefault="001A2C87" w:rsidP="001A2C87">
      <w:pPr>
        <w:spacing w:after="0" w:line="240" w:lineRule="auto"/>
        <w:jc w:val="both"/>
        <w:rPr>
          <w:rFonts w:ascii="Calibri" w:hAnsi="Calibri" w:cs="Calibri"/>
          <w:shd w:val="clear" w:color="auto" w:fill="FFFFFF"/>
        </w:rPr>
      </w:pPr>
    </w:p>
    <w:p w14:paraId="3C4129AB" w14:textId="25A55112"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Update your domestic violence leave policy to include victims of sexual assault.</w:t>
      </w:r>
    </w:p>
    <w:p w14:paraId="2AE86747"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NOTE: ETC’s CT State Handbook Addendum released 7/2024 included this update reference.</w:t>
      </w:r>
    </w:p>
    <w:p w14:paraId="471C4C68" w14:textId="77777777" w:rsidR="001A2C87" w:rsidRPr="00DD7BD1" w:rsidRDefault="001A2C87" w:rsidP="001A2C87">
      <w:pPr>
        <w:shd w:val="clear" w:color="auto" w:fill="FFFFFF"/>
        <w:spacing w:after="0" w:line="240" w:lineRule="auto"/>
        <w:rPr>
          <w:rStyle w:val="Strong"/>
          <w:rFonts w:ascii="Calibri" w:hAnsi="Calibri" w:cs="Calibri"/>
        </w:rPr>
      </w:pPr>
    </w:p>
    <w:p w14:paraId="1123C96A" w14:textId="5A3BE711" w:rsidR="00AF4ED7" w:rsidRPr="00DD7BD1" w:rsidRDefault="00AF4ED7" w:rsidP="00AF4ED7">
      <w:pPr>
        <w:shd w:val="clear" w:color="auto" w:fill="FFFFFF"/>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CT Passes Significant Expansion of Paid Sick Leave Benefits</w:t>
      </w:r>
    </w:p>
    <w:p w14:paraId="24F2B49C"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January 1, 2025.</w:t>
      </w:r>
    </w:p>
    <w:p w14:paraId="0E079AFE"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54D1BF57" w14:textId="77777777" w:rsidR="00AF4ED7" w:rsidRPr="00DD7BD1" w:rsidRDefault="00AF4ED7" w:rsidP="00AF4ED7">
      <w:pPr>
        <w:shd w:val="clear" w:color="auto" w:fill="FFFFFF"/>
        <w:spacing w:after="150" w:line="240" w:lineRule="auto"/>
        <w:rPr>
          <w:rFonts w:ascii="Calibri" w:eastAsia="Times New Roman" w:hAnsi="Calibri" w:cs="Calibri"/>
        </w:rPr>
      </w:pPr>
      <w:r w:rsidRPr="00DD7BD1">
        <w:rPr>
          <w:rFonts w:ascii="Calibri" w:eastAsia="Times New Roman" w:hAnsi="Calibri" w:cs="Calibri"/>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u w:val="single"/>
        </w:rPr>
      </w:pPr>
      <w:r w:rsidRPr="00DD7BD1">
        <w:rPr>
          <w:rFonts w:ascii="Calibri" w:eastAsia="Times New Roman" w:hAnsi="Calibri" w:cs="Calibri"/>
          <w:u w:val="single"/>
        </w:rPr>
        <w:t>As of January 1, 2025: Employers with 25 or more employees in the State will be covered</w:t>
      </w:r>
    </w:p>
    <w:p w14:paraId="3F1FF2A1"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2026: Employers with 11 or more employees in the State will be covered</w:t>
      </w:r>
    </w:p>
    <w:p w14:paraId="47ABE24E"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2027: Employers with one or more employees in the State will be covered</w:t>
      </w:r>
    </w:p>
    <w:p w14:paraId="3DF94700" w14:textId="664E7BE6" w:rsidR="00A83553"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Pr="00DD7BD1" w:rsidRDefault="00503F70" w:rsidP="00AF4ED7">
      <w:pPr>
        <w:shd w:val="clear" w:color="auto" w:fill="FFFFFF"/>
        <w:spacing w:after="0" w:line="240" w:lineRule="auto"/>
        <w:rPr>
          <w:rFonts w:ascii="Calibri" w:hAnsi="Calibri" w:cs="Calibri"/>
          <w:shd w:val="clear" w:color="auto" w:fill="FFFFFF"/>
        </w:rPr>
      </w:pPr>
    </w:p>
    <w:p w14:paraId="609BABC7" w14:textId="43FC37E6"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Further, the new law expands the reasons for which an employee may take this type of leave.</w:t>
      </w:r>
    </w:p>
    <w:p w14:paraId="2E10CC51" w14:textId="77777777" w:rsidR="00AF4ED7" w:rsidRPr="00DD7BD1" w:rsidRDefault="00AF4ED7" w:rsidP="00AF4ED7">
      <w:pPr>
        <w:shd w:val="clear" w:color="auto" w:fill="FFFFFF"/>
        <w:spacing w:after="0" w:line="240" w:lineRule="auto"/>
        <w:rPr>
          <w:rFonts w:ascii="Calibri" w:eastAsia="Times New Roman" w:hAnsi="Calibri" w:cs="Calibri"/>
          <w:spacing w:val="3"/>
        </w:rPr>
      </w:pPr>
      <w:r w:rsidRPr="00DD7BD1">
        <w:rPr>
          <w:rFonts w:ascii="Calibri" w:hAnsi="Calibri" w:cs="Calibri"/>
          <w:shd w:val="clear" w:color="auto" w:fill="FFFFFF"/>
        </w:rPr>
        <w:t xml:space="preserve">More to </w:t>
      </w:r>
      <w:proofErr w:type="gramStart"/>
      <w:r w:rsidRPr="00DD7BD1">
        <w:rPr>
          <w:rFonts w:ascii="Calibri" w:hAnsi="Calibri" w:cs="Calibri"/>
          <w:shd w:val="clear" w:color="auto" w:fill="FFFFFF"/>
        </w:rPr>
        <w:t>comes</w:t>
      </w:r>
      <w:proofErr w:type="gramEnd"/>
      <w:r w:rsidRPr="00DD7BD1">
        <w:rPr>
          <w:rFonts w:ascii="Calibri" w:hAnsi="Calibri" w:cs="Calibri"/>
          <w:shd w:val="clear" w:color="auto" w:fill="FFFFFF"/>
        </w:rPr>
        <w:t xml:space="preserve"> as the effective date draws closer including the release of any labor notices as well as changes to the Oregon State Handbook Addendum.</w:t>
      </w:r>
    </w:p>
    <w:bookmarkEnd w:id="76"/>
    <w:p w14:paraId="22FF8916" w14:textId="77777777" w:rsidR="00AF4ED7" w:rsidRPr="00DD7BD1" w:rsidRDefault="00AF4ED7" w:rsidP="00B06DBE">
      <w:pPr>
        <w:shd w:val="clear" w:color="auto" w:fill="FFFFFF"/>
        <w:spacing w:after="0" w:line="240" w:lineRule="auto"/>
        <w:jc w:val="both"/>
        <w:rPr>
          <w:rFonts w:ascii="Calibri" w:eastAsia="Times New Roman" w:hAnsi="Calibri" w:cs="Calibri"/>
          <w:sz w:val="16"/>
          <w:szCs w:val="16"/>
        </w:rPr>
      </w:pPr>
    </w:p>
    <w:p w14:paraId="3A4C7EC3" w14:textId="77777777"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Delaware</w:t>
      </w:r>
    </w:p>
    <w:p w14:paraId="4A8E89F6" w14:textId="77777777" w:rsidR="00A60E99" w:rsidRPr="00DD7BD1" w:rsidRDefault="00A60E99" w:rsidP="00A60E99">
      <w:pPr>
        <w:spacing w:after="0" w:line="240" w:lineRule="auto"/>
        <w:jc w:val="center"/>
        <w:rPr>
          <w:rFonts w:ascii="Calibri" w:hAnsi="Calibri" w:cs="Calibri"/>
          <w:b/>
          <w:bCs/>
          <w:sz w:val="28"/>
          <w:szCs w:val="28"/>
          <w:shd w:val="clear" w:color="auto" w:fill="FFFFFF"/>
          <w:lang w:val="en"/>
        </w:rPr>
      </w:pPr>
      <w:bookmarkStart w:id="79" w:name="_Hlk213073269"/>
      <w:bookmarkStart w:id="80" w:name="_Hlk183179213"/>
      <w:r w:rsidRPr="00DD7BD1">
        <w:rPr>
          <w:rFonts w:ascii="Calibri" w:hAnsi="Calibri" w:cs="Calibri"/>
          <w:b/>
          <w:bCs/>
          <w:sz w:val="28"/>
          <w:szCs w:val="28"/>
          <w:shd w:val="clear" w:color="auto" w:fill="FFFFFF"/>
          <w:lang w:val="en"/>
        </w:rPr>
        <w:t xml:space="preserve">Paid Family &amp; Medical Leave Labor Notice – </w:t>
      </w:r>
    </w:p>
    <w:p w14:paraId="594F7802" w14:textId="77777777" w:rsidR="00A60E99" w:rsidRPr="00DD7BD1" w:rsidRDefault="00A60E99" w:rsidP="00A60E9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Distribution Deadline </w:t>
      </w:r>
      <w:r w:rsidRPr="00DD7BD1">
        <w:rPr>
          <w:rFonts w:ascii="Calibri" w:hAnsi="Calibri" w:cs="Calibri"/>
          <w:b/>
          <w:bCs/>
          <w:color w:val="C00000"/>
          <w:sz w:val="28"/>
          <w:szCs w:val="28"/>
          <w:shd w:val="clear" w:color="auto" w:fill="FFFFFF"/>
          <w:lang w:val="en"/>
        </w:rPr>
        <w:t xml:space="preserve">Dec 2, 2025 </w:t>
      </w:r>
      <w:r w:rsidRPr="00DD7BD1">
        <w:rPr>
          <w:rFonts w:ascii="Calibri" w:hAnsi="Calibri" w:cs="Calibri"/>
          <w:b/>
          <w:bCs/>
          <w:sz w:val="28"/>
          <w:szCs w:val="28"/>
          <w:shd w:val="clear" w:color="auto" w:fill="FFFFFF"/>
          <w:lang w:val="en"/>
        </w:rPr>
        <w:t xml:space="preserve">&amp; Benefits Effective </w:t>
      </w:r>
      <w:r w:rsidRPr="00DD7BD1">
        <w:rPr>
          <w:rFonts w:ascii="Calibri" w:hAnsi="Calibri" w:cs="Calibri"/>
          <w:b/>
          <w:bCs/>
          <w:color w:val="C00000"/>
          <w:sz w:val="28"/>
          <w:szCs w:val="28"/>
          <w:shd w:val="clear" w:color="auto" w:fill="FFFFFF"/>
          <w:lang w:val="en"/>
        </w:rPr>
        <w:t>Jan 1, 2026</w:t>
      </w:r>
    </w:p>
    <w:p w14:paraId="3914099C" w14:textId="320A98B3"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employees can begin filing claims through </w:t>
      </w:r>
      <w:r w:rsidRPr="00DD7BD1">
        <w:rPr>
          <w:rFonts w:ascii="Calibri" w:hAnsi="Calibri" w:cs="Calibri"/>
          <w:b/>
          <w:bCs/>
          <w:shd w:val="clear" w:color="auto" w:fill="FFFFFF"/>
        </w:rPr>
        <w:t>Delaware’s paid family and medical leave program (Paid Leave)</w:t>
      </w:r>
      <w:r w:rsidRPr="00DD7BD1">
        <w:rPr>
          <w:rFonts w:ascii="Calibri" w:hAnsi="Calibri" w:cs="Calibri"/>
          <w:shd w:val="clear" w:color="auto" w:fill="FFFFFF"/>
        </w:rPr>
        <w:t>. Employers with</w:t>
      </w:r>
      <w:r w:rsidRPr="00DD7BD1">
        <w:rPr>
          <w:rFonts w:ascii="Calibri" w:hAnsi="Calibri" w:cs="Calibri"/>
          <w:u w:val="single"/>
          <w:shd w:val="clear" w:color="auto" w:fill="FFFFFF"/>
        </w:rPr>
        <w:t xml:space="preserve"> 10 or more employees </w:t>
      </w:r>
      <w:r w:rsidRPr="00DD7BD1">
        <w:rPr>
          <w:rFonts w:ascii="Calibri" w:hAnsi="Calibri" w:cs="Calibri"/>
          <w:i/>
          <w:iCs/>
          <w:u w:val="single"/>
          <w:shd w:val="clear" w:color="auto" w:fill="FFFFFF"/>
        </w:rPr>
        <w:t>in the state </w:t>
      </w:r>
      <w:r w:rsidRPr="00DD7BD1">
        <w:rPr>
          <w:rFonts w:ascii="Calibri" w:hAnsi="Calibri" w:cs="Calibri"/>
          <w:shd w:val="clear" w:color="auto" w:fill="FFFFFF"/>
        </w:rPr>
        <w:t>are required to participate and provide employees with job-protected leave.</w:t>
      </w:r>
    </w:p>
    <w:p w14:paraId="2B22EC4E" w14:textId="7F1394F9"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By December 2, 2025, employers are required to give the </w:t>
      </w:r>
      <w:hyperlink r:id="rId690"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to all employees for a second time (this notice was </w:t>
      </w:r>
      <w:r w:rsidRPr="00DD7BD1">
        <w:rPr>
          <w:rFonts w:ascii="Calibri" w:hAnsi="Calibri" w:cs="Calibri"/>
          <w:i/>
          <w:iCs/>
          <w:shd w:val="clear" w:color="auto" w:fill="FFFFFF"/>
        </w:rPr>
        <w:t>also</w:t>
      </w:r>
      <w:r w:rsidRPr="00DD7BD1">
        <w:rPr>
          <w:rFonts w:ascii="Calibri" w:hAnsi="Calibri" w:cs="Calibri"/>
          <w:shd w:val="clear" w:color="auto" w:fill="FFFFFF"/>
        </w:rPr>
        <w:t> required in 2024). This needs to be provided to new employees upon hire, when an employee requests leave, or when an employer learns the employee might need leave.</w:t>
      </w:r>
    </w:p>
    <w:p w14:paraId="75D03B4F"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There are additional employer-required notices as well as a workplace poster that the state will provide (hopefully soon) on its </w:t>
      </w:r>
      <w:hyperlink r:id="rId691" w:tgtFrame="_blank" w:history="1">
        <w:r w:rsidRPr="00DD7BD1">
          <w:rPr>
            <w:rStyle w:val="Hyperlink"/>
            <w:rFonts w:ascii="Calibri" w:hAnsi="Calibri" w:cs="Calibri"/>
            <w:shd w:val="clear" w:color="auto" w:fill="FFFFFF"/>
          </w:rPr>
          <w:t>Paid Leave website</w:t>
        </w:r>
      </w:hyperlink>
      <w:r w:rsidRPr="00DD7BD1">
        <w:rPr>
          <w:rFonts w:ascii="Calibri" w:hAnsi="Calibri" w:cs="Calibri"/>
          <w:shd w:val="clear" w:color="auto" w:fill="FFFFFF"/>
        </w:rPr>
        <w:t>. There, you can also find FAQs, an overview of the program, and other resources for employers.</w:t>
      </w:r>
    </w:p>
    <w:p w14:paraId="508030C5"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Action Items</w:t>
      </w:r>
    </w:p>
    <w:p w14:paraId="60DBE52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Provide notices to employees, as required.</w:t>
      </w:r>
    </w:p>
    <w:p w14:paraId="6EF234F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Display the poster when issued by the Delaware Department of Labor.</w:t>
      </w:r>
    </w:p>
    <w:p w14:paraId="5CE621D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ETC is publishing an updated DE State Handbook Addendum in Dec to address Paid FML</w:t>
      </w:r>
    </w:p>
    <w:p w14:paraId="488B87EE" w14:textId="77777777" w:rsidR="00A60E99" w:rsidRPr="00DD7BD1" w:rsidRDefault="00A60E99" w:rsidP="00A60E99">
      <w:pPr>
        <w:spacing w:after="0" w:line="240" w:lineRule="auto"/>
        <w:jc w:val="center"/>
        <w:rPr>
          <w:rFonts w:ascii="Calibri" w:hAnsi="Calibri" w:cs="Calibri"/>
          <w:b/>
          <w:bCs/>
          <w:shd w:val="clear" w:color="auto" w:fill="FFFFFF"/>
          <w:lang w:val="en"/>
        </w:rPr>
      </w:pPr>
      <w:bookmarkStart w:id="81" w:name="_Hlk213073303"/>
      <w:bookmarkEnd w:id="79"/>
    </w:p>
    <w:p w14:paraId="243ADA93" w14:textId="6A7C95CB" w:rsidR="00A9583E" w:rsidRPr="00DD7BD1" w:rsidRDefault="00A9583E" w:rsidP="00A60E99">
      <w:pPr>
        <w:spacing w:after="0" w:line="240" w:lineRule="auto"/>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Enacts Pay Transparency – Eff </w:t>
      </w:r>
      <w:r w:rsidRPr="00DD7BD1">
        <w:rPr>
          <w:rFonts w:ascii="Calibri" w:hAnsi="Calibri" w:cs="Calibri"/>
          <w:b/>
          <w:bCs/>
          <w:color w:val="C00000"/>
          <w:sz w:val="28"/>
          <w:szCs w:val="28"/>
          <w:shd w:val="clear" w:color="auto" w:fill="FFFFFF"/>
          <w:lang w:val="en"/>
        </w:rPr>
        <w:t>Sept 26, 202</w:t>
      </w:r>
      <w:r w:rsidRPr="00DD7BD1">
        <w:rPr>
          <w:rFonts w:ascii="Calibri" w:hAnsi="Calibri" w:cs="Calibri"/>
          <w:b/>
          <w:bCs/>
          <w:color w:val="C00000"/>
          <w:sz w:val="28"/>
          <w:szCs w:val="28"/>
          <w:u w:val="single"/>
          <w:shd w:val="clear" w:color="auto" w:fill="FFFFFF"/>
          <w:lang w:val="en"/>
        </w:rPr>
        <w:t>7</w:t>
      </w:r>
    </w:p>
    <w:bookmarkEnd w:id="81"/>
    <w:p w14:paraId="2F1E2565" w14:textId="01E74181" w:rsidR="00A9583E" w:rsidRPr="00DD7BD1" w:rsidRDefault="00A9583E" w:rsidP="00A9583E">
      <w:pPr>
        <w:rPr>
          <w:rFonts w:ascii="Calibri" w:hAnsi="Calibri" w:cs="Calibri"/>
        </w:rPr>
      </w:pPr>
      <w:r w:rsidRPr="00DD7BD1">
        <w:rPr>
          <w:rFonts w:ascii="Calibri" w:hAnsi="Calibri" w:cs="Calibri"/>
        </w:rPr>
        <w:t xml:space="preserve">On Sept. 26, 2025, Delaware enacted a </w:t>
      </w:r>
      <w:hyperlink r:id="rId692" w:history="1">
        <w:r w:rsidRPr="00DD7BD1">
          <w:rPr>
            <w:rStyle w:val="Hyperlink"/>
            <w:rFonts w:ascii="Calibri" w:hAnsi="Calibri" w:cs="Calibri"/>
          </w:rPr>
          <w:t>law</w:t>
        </w:r>
      </w:hyperlink>
      <w:r w:rsidRPr="00DD7BD1">
        <w:rPr>
          <w:rFonts w:ascii="Calibri" w:hAnsi="Calibri" w:cs="Calibri"/>
        </w:rPr>
        <w:t xml:space="preserve"> (HB 105) requiring employers to include salary or wage ranges and benefits information in job postings. The law takes effect on </w:t>
      </w:r>
      <w:r w:rsidRPr="00DD7BD1">
        <w:rPr>
          <w:rFonts w:ascii="Calibri" w:hAnsi="Calibri" w:cs="Calibri"/>
          <w:b/>
          <w:bCs/>
        </w:rPr>
        <w:t>Sept. 26, 2027</w:t>
      </w:r>
      <w:r w:rsidRPr="00DD7BD1">
        <w:rPr>
          <w:rFonts w:ascii="Calibri" w:hAnsi="Calibri" w:cs="Calibri"/>
        </w:rPr>
        <w:t xml:space="preserve">, and applies to employers with 26 or more employees.  </w:t>
      </w:r>
    </w:p>
    <w:p w14:paraId="328D666A" w14:textId="77777777" w:rsidR="00A9583E" w:rsidRPr="00DD7BD1" w:rsidRDefault="00A9583E" w:rsidP="00A9583E">
      <w:pPr>
        <w:spacing w:after="120"/>
        <w:rPr>
          <w:rFonts w:ascii="Calibri" w:hAnsi="Calibri" w:cs="Calibri"/>
        </w:rPr>
      </w:pPr>
      <w:r w:rsidRPr="00DD7BD1">
        <w:rPr>
          <w:rFonts w:ascii="Calibri" w:hAnsi="Calibri" w:cs="Calibri"/>
        </w:rPr>
        <w:lastRenderedPageBreak/>
        <w:t xml:space="preserve">Employers must include the </w:t>
      </w:r>
      <w:r w:rsidRPr="00DD7BD1">
        <w:rPr>
          <w:rFonts w:ascii="Calibri" w:hAnsi="Calibri" w:cs="Calibri"/>
          <w:b/>
          <w:bCs/>
        </w:rPr>
        <w:t>hourly or salary compensation or compensation range</w:t>
      </w:r>
      <w:r w:rsidRPr="00DD7BD1">
        <w:rPr>
          <w:rFonts w:ascii="Calibri" w:hAnsi="Calibri" w:cs="Calibri"/>
        </w:rPr>
        <w:t xml:space="preserve"> and a </w:t>
      </w:r>
      <w:r w:rsidRPr="00DD7BD1">
        <w:rPr>
          <w:rFonts w:ascii="Calibri" w:hAnsi="Calibri" w:cs="Calibri"/>
          <w:b/>
          <w:bCs/>
        </w:rPr>
        <w:t>general description of benefits</w:t>
      </w:r>
      <w:r w:rsidRPr="00DD7BD1">
        <w:rPr>
          <w:rFonts w:ascii="Calibri" w:hAnsi="Calibri" w:cs="Calibri"/>
        </w:rPr>
        <w:t xml:space="preserve"> and </w:t>
      </w:r>
      <w:r w:rsidRPr="00DD7BD1">
        <w:rPr>
          <w:rFonts w:ascii="Calibri" w:hAnsi="Calibri" w:cs="Calibri"/>
          <w:b/>
          <w:bCs/>
        </w:rPr>
        <w:t>other compensation</w:t>
      </w:r>
      <w:r w:rsidRPr="00DD7BD1">
        <w:rPr>
          <w:rFonts w:ascii="Calibri" w:hAnsi="Calibri" w:cs="Calibri"/>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DD7BD1" w:rsidRDefault="00A9583E" w:rsidP="00A9583E">
      <w:pPr>
        <w:rPr>
          <w:rFonts w:ascii="Calibri" w:hAnsi="Calibri" w:cs="Calibri"/>
        </w:rPr>
      </w:pPr>
      <w:r w:rsidRPr="00DD7BD1">
        <w:rPr>
          <w:rFonts w:ascii="Calibri" w:hAnsi="Calibri" w:cs="Calibri"/>
        </w:rPr>
        <w:t>More to come closer to the effective date.</w:t>
      </w:r>
    </w:p>
    <w:p w14:paraId="6C2301AB" w14:textId="5414E66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Adds Housing Status as a Protected Characteristic –</w:t>
      </w:r>
      <w:r w:rsidRPr="00DD7BD1">
        <w:rPr>
          <w:rFonts w:ascii="Calibri" w:hAnsi="Calibri" w:cs="Calibri"/>
          <w:b/>
          <w:bCs/>
          <w:color w:val="C00000"/>
          <w:sz w:val="28"/>
          <w:szCs w:val="28"/>
          <w:shd w:val="clear" w:color="auto" w:fill="FFFFFF"/>
        </w:rPr>
        <w:t xml:space="preserve"> Sept 26, 2024</w:t>
      </w:r>
    </w:p>
    <w:bookmarkEnd w:id="80"/>
    <w:p w14:paraId="1603DED5"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state’s employment discrimination law, which applies to employers with four or more employees in the state, now includes </w:t>
      </w:r>
      <w:r w:rsidRPr="00DD7BD1">
        <w:rPr>
          <w:rFonts w:ascii="Calibri" w:hAnsi="Calibri" w:cs="Calibri"/>
          <w:i/>
          <w:iCs/>
          <w:shd w:val="clear" w:color="auto" w:fill="FFFFFF"/>
        </w:rPr>
        <w:t>housing status</w:t>
      </w:r>
      <w:r w:rsidRPr="00DD7BD1">
        <w:rPr>
          <w:rFonts w:ascii="Calibri" w:hAnsi="Calibri" w:cs="Calibri"/>
          <w:shd w:val="clear" w:color="auto" w:fill="FFFFFF"/>
        </w:rPr>
        <w:t> as a protected characteristic. </w:t>
      </w:r>
      <w:r w:rsidRPr="00DD7BD1">
        <w:rPr>
          <w:rFonts w:ascii="Calibri" w:hAnsi="Calibri" w:cs="Calibri"/>
          <w:i/>
          <w:iCs/>
          <w:shd w:val="clear" w:color="auto" w:fill="FFFFFF"/>
        </w:rPr>
        <w:t>Housing status</w:t>
      </w:r>
      <w:r w:rsidRPr="00DD7BD1">
        <w:rPr>
          <w:rFonts w:ascii="Calibri" w:hAnsi="Calibri" w:cs="Calibri"/>
          <w:shd w:val="clear" w:color="auto" w:fill="FFFFFF"/>
        </w:rPr>
        <w:t xml:space="preserve"> means a person or family’s overnight residence, regardless of permanence or habitability. </w:t>
      </w:r>
      <w:hyperlink r:id="rId693" w:tgtFrame="_blank" w:history="1">
        <w:r w:rsidRPr="00DD7BD1">
          <w:rPr>
            <w:rStyle w:val="Hyperlink"/>
            <w:rFonts w:ascii="Calibri" w:hAnsi="Calibri" w:cs="Calibri"/>
            <w:shd w:val="clear" w:color="auto" w:fill="FFFFFF"/>
          </w:rPr>
          <w:t>DE H 440</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enacted </w:t>
      </w:r>
      <w:r w:rsidRPr="00DD7BD1">
        <w:rPr>
          <w:rFonts w:ascii="Calibri" w:hAnsi="Calibri" w:cs="Calibri"/>
          <w:i/>
          <w:iCs/>
          <w:shd w:val="clear" w:color="auto" w:fill="FFFFFF"/>
        </w:rPr>
        <w:t>and</w:t>
      </w:r>
      <w:r w:rsidRPr="00DD7BD1">
        <w:rPr>
          <w:rFonts w:ascii="Calibri" w:hAnsi="Calibri" w:cs="Calibri"/>
          <w:shd w:val="clear" w:color="auto" w:fill="FFFFFF"/>
        </w:rPr>
        <w:t> effective on September 26, 2024.</w:t>
      </w:r>
    </w:p>
    <w:p w14:paraId="2D883F76" w14:textId="77777777" w:rsidR="00CD70B8" w:rsidRPr="00DD7BD1" w:rsidRDefault="00CD70B8" w:rsidP="00CD70B8">
      <w:pPr>
        <w:spacing w:after="0" w:line="240" w:lineRule="auto"/>
        <w:rPr>
          <w:rFonts w:ascii="Calibri" w:hAnsi="Calibri" w:cs="Calibri"/>
          <w:shd w:val="clear" w:color="auto" w:fill="FFFFFF"/>
        </w:rPr>
      </w:pPr>
    </w:p>
    <w:p w14:paraId="608B74EE" w14:textId="1A46D7AE" w:rsidR="003B29FD" w:rsidRPr="00DD7BD1" w:rsidRDefault="00CD70B8" w:rsidP="00334253">
      <w:pPr>
        <w:spacing w:after="0" w:line="240" w:lineRule="auto"/>
        <w:rPr>
          <w:rStyle w:val="Strong"/>
          <w:rFonts w:ascii="Calibri" w:hAnsi="Calibri" w:cs="Calibri"/>
          <w:b w:val="0"/>
          <w:bCs w:val="0"/>
          <w:shd w:val="clear" w:color="auto" w:fill="FFFFFF"/>
        </w:rPr>
      </w:pPr>
      <w:r w:rsidRPr="00DD7BD1">
        <w:rPr>
          <w:rFonts w:ascii="Calibri" w:hAnsi="Calibri" w:cs="Calibri"/>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DD7BD1" w:rsidRDefault="003B29FD" w:rsidP="00AF4ED7">
      <w:pPr>
        <w:spacing w:after="0" w:line="240" w:lineRule="auto"/>
        <w:jc w:val="center"/>
        <w:rPr>
          <w:rStyle w:val="Strong"/>
          <w:rFonts w:ascii="Calibri" w:eastAsia="Times New Roman" w:hAnsi="Calibri" w:cs="Calibri"/>
        </w:rPr>
      </w:pPr>
    </w:p>
    <w:p w14:paraId="23A7C20D" w14:textId="4D7A0408" w:rsidR="00AF4ED7" w:rsidRPr="00DD7BD1" w:rsidRDefault="00AF4ED7" w:rsidP="00AF4ED7">
      <w:pPr>
        <w:spacing w:after="0" w:line="240" w:lineRule="auto"/>
        <w:jc w:val="center"/>
        <w:rPr>
          <w:rFonts w:ascii="Calibri" w:hAnsi="Calibri" w:cs="Calibri"/>
          <w:b/>
          <w:bCs/>
          <w:color w:val="000000"/>
          <w:sz w:val="28"/>
          <w:szCs w:val="28"/>
          <w:shd w:val="clear" w:color="auto" w:fill="FAFAFA"/>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color w:val="000000"/>
          <w:sz w:val="28"/>
          <w:szCs w:val="28"/>
          <w:shd w:val="clear" w:color="auto" w:fill="FAFAFA"/>
        </w:rPr>
        <w:t>Family and Medical Leave Regulations Amended</w:t>
      </w:r>
    </w:p>
    <w:p w14:paraId="75CC43F0"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March 11, 2024, the following amendments to the Delaware Family and Medical Leave Act’s regulations will take effect:  </w:t>
      </w:r>
    </w:p>
    <w:p w14:paraId="38573883"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can’t be required to use more than 75% of their earned, unused paid time off (PTO) before accessing their Paid Family and Medical Leave (PFML) benefits. </w:t>
      </w:r>
    </w:p>
    <w:p w14:paraId="051FC9D8"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must be provided notice about their employer’s PTO/PFML coordination policy.</w:t>
      </w:r>
    </w:p>
    <w:p w14:paraId="2F8F0530"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may use PTO to supplement their wages (up to 100% of their average weekly wage) in an agreement with their employer. </w:t>
      </w:r>
    </w:p>
    <w:p w14:paraId="1CC6D23D"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Employers must provide a written PMFL notice, provided by the state, to existing Delaware employees at least 30 days before the start of contributions on January 1, 2025. This notice must also be provided to employees upon hire, when they submit a leave request, or when the employer "acquires knowledge" that an employee's leave may qualify for PFML. </w:t>
      </w:r>
    </w:p>
    <w:p w14:paraId="127C32CC"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DD7BD1"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Important dates are approaching for Delaware’s paid family and medical leave program (Paid Leave), which applies to employers with 10 or more employees in the state.</w:t>
            </w:r>
          </w:p>
          <w:p w14:paraId="7D2F8F7B"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The key implementation dates are as follows:</w:t>
            </w:r>
          </w:p>
          <w:p w14:paraId="24A05CCB"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1, 2024:</w:t>
            </w:r>
            <w:r w:rsidRPr="00DD7BD1">
              <w:rPr>
                <w:rFonts w:ascii="Calibri" w:hAnsi="Calibri" w:cs="Calibri"/>
              </w:rPr>
              <w:t xml:space="preserve"> Employers need to set up an account with Delaware </w:t>
            </w:r>
            <w:proofErr w:type="spellStart"/>
            <w:r w:rsidRPr="00DD7BD1">
              <w:rPr>
                <w:rFonts w:ascii="Calibri" w:hAnsi="Calibri" w:cs="Calibri"/>
              </w:rPr>
              <w:t>LaborFirst</w:t>
            </w:r>
            <w:proofErr w:type="spellEnd"/>
            <w:r w:rsidRPr="00DD7BD1">
              <w:rPr>
                <w:rFonts w:ascii="Calibri" w:hAnsi="Calibri" w:cs="Calibri"/>
              </w:rPr>
              <w:t>.</w:t>
            </w:r>
          </w:p>
          <w:p w14:paraId="37149C0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2, 2024:</w:t>
            </w:r>
            <w:r w:rsidRPr="00DD7BD1">
              <w:rPr>
                <w:rFonts w:ascii="Calibri" w:hAnsi="Calibri" w:cs="Calibri"/>
              </w:rPr>
              <w:t> Employers must provide employees with a Notice of Employee Rights. After December 2, new employees should receive a notice upon hire. This can be provided electronically.</w:t>
            </w:r>
          </w:p>
          <w:p w14:paraId="2CB1BE69"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2025:</w:t>
            </w:r>
            <w:r w:rsidRPr="00DD7BD1">
              <w:rPr>
                <w:rFonts w:ascii="Calibri" w:hAnsi="Calibri" w:cs="Calibri"/>
              </w:rPr>
              <w:t> Employers that are sharing the cost of the program with their employees must begin payroll deductions.</w:t>
            </w:r>
          </w:p>
          <w:p w14:paraId="39E29923"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April 30, 2025:</w:t>
            </w:r>
            <w:r w:rsidRPr="00DD7BD1">
              <w:rPr>
                <w:rFonts w:ascii="Calibri" w:hAnsi="Calibri" w:cs="Calibri"/>
              </w:rPr>
              <w:t> The first wage and hour report, as well as the first contribution payment, is due to the state.</w:t>
            </w:r>
          </w:p>
          <w:p w14:paraId="4519A92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2026:</w:t>
            </w:r>
            <w:r w:rsidRPr="00DD7BD1">
              <w:rPr>
                <w:rFonts w:ascii="Calibri" w:hAnsi="Calibri" w:cs="Calibri"/>
              </w:rPr>
              <w:t> Paid Leave benefits, which will provide job protection, will become available to employees.</w:t>
            </w:r>
          </w:p>
          <w:p w14:paraId="544502CE"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state has created a </w:t>
            </w:r>
            <w:hyperlink r:id="rId694" w:tgtFrame="_blank" w:history="1">
              <w:r w:rsidRPr="00DD7BD1">
                <w:rPr>
                  <w:rStyle w:val="Hyperlink"/>
                  <w:rFonts w:ascii="Calibri" w:hAnsi="Calibri" w:cs="Calibri"/>
                </w:rPr>
                <w:t>website</w:t>
              </w:r>
            </w:hyperlink>
            <w:r w:rsidRPr="00DD7BD1">
              <w:rPr>
                <w:rFonts w:ascii="Calibri" w:hAnsi="Calibri" w:cs="Calibri"/>
              </w:rPr>
              <w:t> with the Notice of Employee Rights, FAQs, an overview of the program, and other resources for employers.</w:t>
            </w:r>
          </w:p>
          <w:p w14:paraId="76897897" w14:textId="77777777" w:rsidR="00F26EA6" w:rsidRPr="00DD7BD1" w:rsidRDefault="00F26EA6" w:rsidP="00F26EA6">
            <w:pPr>
              <w:pStyle w:val="NormalWeb"/>
              <w:shd w:val="clear" w:color="auto" w:fill="FFFFFF"/>
              <w:spacing w:before="0" w:beforeAutospacing="0" w:after="0" w:afterAutospacing="0"/>
              <w:rPr>
                <w:rFonts w:ascii="Calibri" w:eastAsiaTheme="minorHAnsi" w:hAnsi="Calibri" w:cs="Calibri"/>
                <w:color w:val="0000FF"/>
                <w:u w:val="single"/>
              </w:rPr>
            </w:pPr>
            <w:r w:rsidRPr="00DD7BD1">
              <w:rPr>
                <w:rFonts w:ascii="Calibri" w:hAnsi="Calibri" w:cs="Calibri"/>
                <w:sz w:val="22"/>
                <w:szCs w:val="22"/>
              </w:rPr>
              <w:t>(Delaware 1401 </w:t>
            </w:r>
            <w:hyperlink r:id="rId695" w:tgtFrame="_blank" w:history="1">
              <w:r w:rsidRPr="00DD7BD1">
                <w:rPr>
                  <w:rStyle w:val="Hyperlink"/>
                  <w:rFonts w:ascii="Calibri" w:eastAsiaTheme="minorHAnsi" w:hAnsi="Calibri" w:cs="Calibri"/>
                  <w:sz w:val="22"/>
                  <w:szCs w:val="22"/>
                </w:rPr>
                <w:t>final rule</w:t>
              </w:r>
            </w:hyperlink>
            <w:r w:rsidRPr="00DD7BD1">
              <w:rPr>
                <w:rStyle w:val="Hyperlink"/>
                <w:rFonts w:ascii="Calibri" w:eastAsiaTheme="minorHAnsi" w:hAnsi="Calibri" w:cs="Calibri"/>
              </w:rPr>
              <w:t>)</w:t>
            </w:r>
          </w:p>
          <w:p w14:paraId="047A59E4" w14:textId="77777777" w:rsidR="00F26EA6" w:rsidRPr="00DD7BD1" w:rsidRDefault="00F26EA6" w:rsidP="00F26EA6">
            <w:pPr>
              <w:shd w:val="clear" w:color="auto" w:fill="FFFFFF"/>
              <w:spacing w:after="0" w:line="240" w:lineRule="auto"/>
              <w:rPr>
                <w:rFonts w:ascii="Calibri" w:hAnsi="Calibri" w:cs="Calibri"/>
              </w:rPr>
            </w:pPr>
          </w:p>
        </w:tc>
      </w:tr>
    </w:tbl>
    <w:p w14:paraId="515389B6" w14:textId="062514C0"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District of Columbia</w:t>
      </w:r>
    </w:p>
    <w:p w14:paraId="11E0C652" w14:textId="0B03D699" w:rsidR="00B24711" w:rsidRPr="00DD7BD1" w:rsidRDefault="00B24711" w:rsidP="00B24711">
      <w:pPr>
        <w:spacing w:after="0" w:line="240" w:lineRule="auto"/>
        <w:jc w:val="center"/>
        <w:rPr>
          <w:rFonts w:ascii="Calibri" w:hAnsi="Calibri" w:cs="Calibri"/>
          <w:b/>
          <w:bCs/>
          <w:color w:val="C00000"/>
          <w:sz w:val="28"/>
          <w:szCs w:val="28"/>
          <w:shd w:val="clear" w:color="auto" w:fill="FFFFFF"/>
        </w:rPr>
      </w:pPr>
      <w:bookmarkStart w:id="82" w:name="_Hlk205277656"/>
      <w:bookmarkStart w:id="83" w:name="_Hlk186727934"/>
      <w:r w:rsidRPr="00DD7BD1">
        <w:rPr>
          <w:rFonts w:ascii="Calibri" w:hAnsi="Calibri" w:cs="Calibri"/>
          <w:b/>
          <w:bCs/>
          <w:sz w:val="28"/>
          <w:szCs w:val="28"/>
          <w:shd w:val="clear" w:color="auto" w:fill="FFFFFF"/>
        </w:rPr>
        <w:t xml:space="preserve">Tipped Minimum Wage Increase &amp; Changed Effective Date– </w:t>
      </w:r>
      <w:r w:rsidRPr="00DD7BD1">
        <w:rPr>
          <w:rFonts w:ascii="Calibri" w:hAnsi="Calibri" w:cs="Calibri"/>
          <w:b/>
          <w:bCs/>
          <w:color w:val="C00000"/>
          <w:sz w:val="28"/>
          <w:szCs w:val="28"/>
          <w:shd w:val="clear" w:color="auto" w:fill="FFFFFF"/>
        </w:rPr>
        <w:t xml:space="preserve">Moved to Oct 1 </w:t>
      </w:r>
      <w:r w:rsidRPr="00DD7BD1">
        <w:rPr>
          <w:rFonts w:ascii="Calibri" w:hAnsi="Calibri" w:cs="Calibri"/>
          <w:b/>
          <w:bCs/>
          <w:sz w:val="28"/>
          <w:szCs w:val="28"/>
          <w:shd w:val="clear" w:color="auto" w:fill="FFFFFF"/>
        </w:rPr>
        <w:t>&amp;</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shd w:val="clear" w:color="auto" w:fill="FFFFFF"/>
        </w:rPr>
        <w:t xml:space="preserve">Tipped Min Wage </w:t>
      </w:r>
      <w:r w:rsidRPr="00DD7BD1">
        <w:rPr>
          <w:rFonts w:ascii="Calibri" w:hAnsi="Calibri" w:cs="Calibri"/>
          <w:b/>
          <w:bCs/>
          <w:color w:val="C00000"/>
          <w:sz w:val="28"/>
          <w:szCs w:val="28"/>
          <w:shd w:val="clear" w:color="auto" w:fill="FFFFFF"/>
        </w:rPr>
        <w:t>June 30, 2025</w:t>
      </w:r>
    </w:p>
    <w:bookmarkEnd w:id="82"/>
    <w:p w14:paraId="7724FD52" w14:textId="77777777" w:rsidR="00B24711" w:rsidRPr="00DD7BD1" w:rsidRDefault="00B24711" w:rsidP="00B24711">
      <w:pPr>
        <w:spacing w:after="0" w:line="240" w:lineRule="auto"/>
        <w:jc w:val="both"/>
        <w:rPr>
          <w:rFonts w:ascii="Calibri" w:hAnsi="Calibri" w:cs="Calibri"/>
          <w:sz w:val="23"/>
          <w:szCs w:val="23"/>
          <w:shd w:val="clear" w:color="auto" w:fill="FFFFFF"/>
        </w:rPr>
      </w:pPr>
      <w:r w:rsidRPr="00DD7BD1">
        <w:rPr>
          <w:rFonts w:ascii="Calibri" w:hAnsi="Calibri" w:cs="Calibri"/>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DD7BD1" w:rsidRDefault="00B24711" w:rsidP="00B24711">
      <w:pPr>
        <w:spacing w:after="0" w:line="240" w:lineRule="auto"/>
        <w:jc w:val="both"/>
        <w:rPr>
          <w:rFonts w:ascii="Calibri" w:hAnsi="Calibri" w:cs="Calibri"/>
          <w:sz w:val="23"/>
          <w:szCs w:val="23"/>
          <w:shd w:val="clear" w:color="auto" w:fill="FFFFFF"/>
          <w:lang w:val="en"/>
        </w:rPr>
      </w:pPr>
      <w:r w:rsidRPr="00DD7BD1">
        <w:rPr>
          <w:rFonts w:ascii="Calibri" w:hAnsi="Calibri" w:cs="Calibri"/>
          <w:sz w:val="23"/>
          <w:szCs w:val="23"/>
          <w:shd w:val="clear" w:color="auto" w:fill="FFFFFF"/>
        </w:rPr>
        <w:lastRenderedPageBreak/>
        <w:t xml:space="preserve">As a result, the tipped minimum wage remains at $10 per hour. The bill that made this change took immediate effect on </w:t>
      </w:r>
      <w:r w:rsidRPr="00DD7BD1">
        <w:rPr>
          <w:rFonts w:ascii="Calibri" w:hAnsi="Calibri" w:cs="Calibri"/>
          <w:color w:val="C00000"/>
          <w:sz w:val="23"/>
          <w:szCs w:val="23"/>
          <w:shd w:val="clear" w:color="auto" w:fill="FFFFFF"/>
        </w:rPr>
        <w:t>June 30, 2025.</w:t>
      </w:r>
    </w:p>
    <w:p w14:paraId="06C67D31" w14:textId="29724C86"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 </w:t>
      </w:r>
      <w:r w:rsidRPr="00DD7BD1">
        <w:rPr>
          <w:rFonts w:ascii="Calibri" w:hAnsi="Calibri" w:cs="Calibri"/>
          <w:b/>
          <w:bCs/>
          <w:color w:val="C00000"/>
          <w:sz w:val="28"/>
          <w:szCs w:val="28"/>
          <w:shd w:val="clear" w:color="auto" w:fill="FFFFFF"/>
          <w:lang w:val="en"/>
        </w:rPr>
        <w:t>– Eff July 1, 2025</w:t>
      </w:r>
    </w:p>
    <w:p w14:paraId="0C4A80A3" w14:textId="2140639E"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July 1, 2025, the District of Columbia minimum hourly wage will increase to $17.95. The minimum base wage for tipped employees will increase to $12 per hour.</w:t>
      </w:r>
    </w:p>
    <w:p w14:paraId="7C0C813A" w14:textId="3E3A660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NOTE: The D.C. Council passed emergency legislation to delay the </w:t>
      </w:r>
      <w:r w:rsidRPr="00DD7BD1">
        <w:rPr>
          <w:rFonts w:ascii="Calibri" w:hAnsi="Calibri" w:cs="Calibri"/>
          <w:i/>
          <w:iCs/>
          <w:shd w:val="clear" w:color="auto" w:fill="FFFFFF"/>
        </w:rPr>
        <w:t>tipped </w:t>
      </w:r>
      <w:r w:rsidRPr="00DD7BD1">
        <w:rPr>
          <w:rFonts w:ascii="Calibri" w:hAnsi="Calibri" w:cs="Calibri"/>
          <w:shd w:val="clear" w:color="auto" w:fill="FFFFFF"/>
        </w:rPr>
        <w:t>minimum wage increase until October 1, 2025. The bill was sent to the mayor, who is expected to sign it, but she hasn’t put pen to paper </w:t>
      </w:r>
      <w:r w:rsidRPr="00DD7BD1">
        <w:rPr>
          <w:rFonts w:ascii="Calibri" w:hAnsi="Calibri" w:cs="Calibri"/>
          <w:i/>
          <w:iCs/>
          <w:shd w:val="clear" w:color="auto" w:fill="FFFFFF"/>
        </w:rPr>
        <w:t>yet</w:t>
      </w:r>
      <w:r w:rsidRPr="00DD7BD1">
        <w:rPr>
          <w:rFonts w:ascii="Calibri" w:hAnsi="Calibri" w:cs="Calibri"/>
          <w:shd w:val="clear" w:color="auto" w:fill="FFFFFF"/>
        </w:rPr>
        <w:t>. Until she does, employers should be prepared to implement the minimum base wage of $12 per hour for tipped employees on July 1.</w:t>
      </w:r>
    </w:p>
    <w:p w14:paraId="484FAF7D" w14:textId="3A91879E" w:rsidR="00B939E8" w:rsidRPr="00DD7BD1" w:rsidRDefault="00B939E8" w:rsidP="00B939E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Universal Paid Leave Act’s Paid Family Leave Notice – Feb 1, 2025</w:t>
      </w:r>
    </w:p>
    <w:bookmarkEnd w:id="83"/>
    <w:p w14:paraId="340C2E65" w14:textId="77777777" w:rsidR="00B939E8" w:rsidRPr="00DD7BD1" w:rsidRDefault="00B939E8" w:rsidP="00B939E8">
      <w:pPr>
        <w:pStyle w:val="BodyText"/>
        <w:spacing w:after="0" w:line="240" w:lineRule="auto"/>
        <w:rPr>
          <w:rFonts w:cs="Calibri"/>
          <w:szCs w:val="22"/>
        </w:rPr>
      </w:pPr>
      <w:r w:rsidRPr="00DD7BD1">
        <w:rPr>
          <w:rFonts w:cs="Calibri"/>
          <w:color w:val="auto"/>
          <w:szCs w:val="22"/>
        </w:rPr>
        <w:t xml:space="preserve">The District of Columbia’s Office of Paid Family Leave has published the </w:t>
      </w:r>
      <w:r w:rsidRPr="00DD7BD1">
        <w:rPr>
          <w:rFonts w:cs="Calibri"/>
          <w:szCs w:val="22"/>
        </w:rPr>
        <w:t xml:space="preserve">program’s </w:t>
      </w:r>
      <w:hyperlink r:id="rId696" w:history="1">
        <w:r w:rsidRPr="00DD7BD1">
          <w:rPr>
            <w:rStyle w:val="Hyperlink"/>
            <w:rFonts w:cs="Calibri"/>
            <w:szCs w:val="22"/>
          </w:rPr>
          <w:t>2025 Notice to Employees</w:t>
        </w:r>
      </w:hyperlink>
      <w:r w:rsidRPr="00DD7BD1">
        <w:rPr>
          <w:rFonts w:cs="Calibri"/>
          <w:szCs w:val="22"/>
        </w:rPr>
        <w:t xml:space="preserve"> </w:t>
      </w:r>
      <w:r w:rsidRPr="00DD7BD1">
        <w:rPr>
          <w:rFonts w:cs="Calibri"/>
          <w:color w:val="auto"/>
          <w:szCs w:val="22"/>
        </w:rPr>
        <w:t xml:space="preserve">on its website. Employers must post the notice and provide a copy to covered employees by Feb. 1, 2025. </w:t>
      </w:r>
    </w:p>
    <w:p w14:paraId="525CA651" w14:textId="77777777" w:rsidR="00B939E8" w:rsidRPr="00DD7BD1" w:rsidRDefault="00B939E8" w:rsidP="00B939E8">
      <w:pPr>
        <w:pStyle w:val="SubHeader"/>
        <w:spacing w:line="240" w:lineRule="auto"/>
        <w:rPr>
          <w:rFonts w:cs="Calibri"/>
          <w:sz w:val="22"/>
          <w:szCs w:val="22"/>
        </w:rPr>
      </w:pPr>
    </w:p>
    <w:p w14:paraId="47655228" w14:textId="77777777" w:rsidR="00B939E8" w:rsidRPr="00DD7BD1" w:rsidRDefault="00B939E8" w:rsidP="00B939E8">
      <w:pPr>
        <w:pStyle w:val="SubHeader"/>
        <w:spacing w:line="240" w:lineRule="auto"/>
        <w:rPr>
          <w:rFonts w:cs="Calibri"/>
          <w:sz w:val="22"/>
          <w:szCs w:val="22"/>
        </w:rPr>
      </w:pPr>
      <w:r w:rsidRPr="00DD7BD1">
        <w:rPr>
          <w:rFonts w:cs="Calibri"/>
          <w:sz w:val="22"/>
          <w:szCs w:val="22"/>
        </w:rPr>
        <w:t>District of Columbia Paid Family Leave</w:t>
      </w:r>
    </w:p>
    <w:p w14:paraId="150DB57B"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district’s</w:t>
      </w:r>
      <w:r w:rsidRPr="00DD7BD1">
        <w:rPr>
          <w:rFonts w:cs="Calibri"/>
          <w:color w:val="auto"/>
          <w:szCs w:val="22"/>
        </w:rPr>
        <w:t xml:space="preserve"> </w:t>
      </w:r>
      <w:hyperlink r:id="rId697" w:history="1">
        <w:r w:rsidRPr="00DD7BD1">
          <w:rPr>
            <w:rStyle w:val="Hyperlink"/>
            <w:rFonts w:cs="Calibri"/>
            <w:szCs w:val="22"/>
          </w:rPr>
          <w:t>Universal Paid Leave Act</w:t>
        </w:r>
      </w:hyperlink>
      <w:r w:rsidRPr="00DD7BD1">
        <w:rPr>
          <w:rFonts w:cs="Calibri"/>
          <w:szCs w:val="22"/>
        </w:rPr>
        <w:t xml:space="preserve"> </w:t>
      </w:r>
      <w:r w:rsidRPr="00DD7BD1">
        <w:rPr>
          <w:rFonts w:cs="Calibri"/>
          <w:color w:val="auto"/>
          <w:szCs w:val="22"/>
        </w:rPr>
        <w:t>requires virtually all employers to</w:t>
      </w:r>
      <w:r w:rsidRPr="00DD7BD1">
        <w:rPr>
          <w:rFonts w:cs="Calibri"/>
          <w:b/>
          <w:color w:val="auto"/>
          <w:szCs w:val="22"/>
        </w:rPr>
        <w:t xml:space="preserve"> </w:t>
      </w:r>
      <w:r w:rsidRPr="00DD7BD1">
        <w:rPr>
          <w:rFonts w:cs="Calibri"/>
          <w:bCs/>
          <w:color w:val="auto"/>
          <w:szCs w:val="22"/>
        </w:rPr>
        <w:t xml:space="preserve">fund a </w:t>
      </w:r>
      <w:r w:rsidRPr="00DD7BD1">
        <w:rPr>
          <w:rFonts w:cs="Calibri"/>
          <w:color w:val="auto"/>
          <w:szCs w:val="22"/>
        </w:rPr>
        <w:t xml:space="preserve"> paid family leave benefit for employees </w:t>
      </w:r>
      <w:r w:rsidRPr="00DD7BD1">
        <w:rPr>
          <w:rFonts w:cs="Calibri"/>
          <w:color w:val="auto"/>
          <w:szCs w:val="22"/>
          <w:u w:val="single"/>
        </w:rPr>
        <w:t>through employer-paid payroll taxes</w:t>
      </w:r>
      <w:r w:rsidRPr="00DD7BD1">
        <w:rPr>
          <w:rFonts w:cs="Calibri"/>
          <w:color w:val="auto"/>
          <w:szCs w:val="22"/>
        </w:rPr>
        <w:t xml:space="preserve">. </w:t>
      </w:r>
    </w:p>
    <w:p w14:paraId="49F7E735"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 xml:space="preserve">program </w:t>
      </w:r>
      <w:r w:rsidRPr="00DD7BD1">
        <w:rPr>
          <w:rFonts w:cs="Calibri"/>
          <w:color w:val="auto"/>
          <w:szCs w:val="22"/>
        </w:rPr>
        <w:t>provides eligible employees with cash benefits for up to:</w:t>
      </w:r>
    </w:p>
    <w:p w14:paraId="466DA695"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parental bonding leave;</w:t>
      </w:r>
    </w:p>
    <w:p w14:paraId="779C8328"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 xml:space="preserve">Twelve weeks of family leave to care for ill family members; </w:t>
      </w:r>
    </w:p>
    <w:p w14:paraId="4A609E5A"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medical leave for an employee’s own serious health condition; and</w:t>
      </w:r>
    </w:p>
    <w:p w14:paraId="77A7B03E"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Two weeks of prenatal leave.</w:t>
      </w:r>
    </w:p>
    <w:p w14:paraId="77213AA6" w14:textId="77777777" w:rsidR="00B939E8" w:rsidRPr="00DD7BD1" w:rsidRDefault="00B939E8" w:rsidP="00B939E8">
      <w:pPr>
        <w:pStyle w:val="Bullet"/>
        <w:spacing w:line="240" w:lineRule="auto"/>
        <w:ind w:left="360"/>
        <w:rPr>
          <w:rFonts w:cs="Calibri"/>
          <w:color w:val="auto"/>
          <w:szCs w:val="22"/>
        </w:rPr>
      </w:pPr>
      <w:proofErr w:type="gramStart"/>
      <w:r w:rsidRPr="00DD7BD1">
        <w:rPr>
          <w:rFonts w:cs="Calibri"/>
          <w:color w:val="auto"/>
          <w:szCs w:val="22"/>
        </w:rPr>
        <w:t>Of note</w:t>
      </w:r>
      <w:proofErr w:type="gramEnd"/>
      <w:r w:rsidRPr="00DD7BD1">
        <w:rPr>
          <w:rFonts w:cs="Calibri"/>
          <w:color w:val="auto"/>
          <w:szCs w:val="22"/>
        </w:rPr>
        <w:t xml:space="preserve">, this program does not provide job-protected leave. </w:t>
      </w:r>
    </w:p>
    <w:p w14:paraId="5897882B" w14:textId="77777777" w:rsidR="00B939E8" w:rsidRPr="00DD7BD1" w:rsidRDefault="00B939E8" w:rsidP="008C6649">
      <w:pPr>
        <w:spacing w:after="0" w:line="240" w:lineRule="auto"/>
        <w:jc w:val="center"/>
        <w:rPr>
          <w:rFonts w:ascii="Calibri" w:hAnsi="Calibri" w:cs="Calibri"/>
          <w:b/>
          <w:bCs/>
          <w:shd w:val="clear" w:color="auto" w:fill="FFFFFF"/>
          <w:lang w:val="en"/>
        </w:rPr>
      </w:pPr>
    </w:p>
    <w:p w14:paraId="73DD49AC" w14:textId="43380EAB" w:rsidR="008C6649" w:rsidRPr="00DD7BD1" w:rsidRDefault="008C6649" w:rsidP="008C664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6D912249" w14:textId="134104F9" w:rsidR="008C6649" w:rsidRPr="00DD7BD1" w:rsidRDefault="008C6649" w:rsidP="008C6649">
      <w:p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On July 1, 2024, the District of Columbia minimum hourly wage will increase to $17.50. The minimum base wage for tipped employees will increase to $10 per hour.</w:t>
      </w:r>
    </w:p>
    <w:p w14:paraId="05B37C22" w14:textId="77777777" w:rsidR="008C6649" w:rsidRPr="00DD7BD1" w:rsidRDefault="008C6649" w:rsidP="008C6649">
      <w:pPr>
        <w:spacing w:after="0" w:line="240" w:lineRule="auto"/>
        <w:rPr>
          <w:rFonts w:ascii="Calibri" w:hAnsi="Calibri" w:cs="Calibri"/>
          <w:b/>
          <w:bCs/>
          <w:sz w:val="20"/>
          <w:szCs w:val="20"/>
          <w:shd w:val="clear" w:color="auto" w:fill="FFFFFF"/>
          <w:lang w:val="en"/>
        </w:rPr>
      </w:pPr>
    </w:p>
    <w:p w14:paraId="0CD6DC45" w14:textId="77777777" w:rsidR="00AF4ED7" w:rsidRPr="00DD7BD1" w:rsidRDefault="00AF4ED7" w:rsidP="00AF4ED7">
      <w:pPr>
        <w:pStyle w:val="MainTitle"/>
        <w:spacing w:after="0" w:line="240" w:lineRule="auto"/>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New District Voting Leave Regulations</w:t>
      </w:r>
    </w:p>
    <w:p w14:paraId="29CCEBA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z w:val="16"/>
          <w:szCs w:val="16"/>
          <w:highlight w:val="lightGray"/>
        </w:rPr>
      </w:pPr>
    </w:p>
    <w:p w14:paraId="222236EA" w14:textId="64E5FA2F"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Learn More:</w:t>
      </w:r>
      <w:r w:rsidRPr="00DD7BD1">
        <w:rPr>
          <w:rFonts w:ascii="Calibri" w:hAnsi="Calibri" w:cs="Calibri"/>
          <w:sz w:val="22"/>
          <w:szCs w:val="22"/>
        </w:rPr>
        <w:t xml:space="preserve"> On May 10, 2024, D.C. published final regulations affecting the District’s voting leave law that took effect immediately. The new regulations require employers to post the </w:t>
      </w:r>
      <w:hyperlink r:id="rId698" w:tgtFrame="_blank" w:history="1">
        <w:r w:rsidRPr="00DD7BD1">
          <w:rPr>
            <w:rStyle w:val="Hyperlink"/>
            <w:rFonts w:ascii="Calibri" w:hAnsi="Calibri" w:cs="Calibri"/>
            <w:color w:val="1155CC"/>
            <w:sz w:val="22"/>
            <w:szCs w:val="22"/>
          </w:rPr>
          <w:t>Time Off to Vote notice</w:t>
        </w:r>
      </w:hyperlink>
      <w:r w:rsidRPr="00DD7BD1">
        <w:rPr>
          <w:rFonts w:ascii="Calibri" w:hAnsi="Calibri" w:cs="Calibri"/>
          <w:color w:val="282828"/>
          <w:sz w:val="22"/>
          <w:szCs w:val="22"/>
        </w:rPr>
        <w:t> </w:t>
      </w:r>
      <w:r w:rsidRPr="00DD7BD1">
        <w:rPr>
          <w:rFonts w:ascii="Calibri" w:hAnsi="Calibri" w:cs="Calibri"/>
          <w:sz w:val="22"/>
          <w:szCs w:val="22"/>
        </w:rPr>
        <w:t xml:space="preserve">in a conspicuous location in the workplace </w:t>
      </w:r>
      <w:r w:rsidRPr="00DD7BD1">
        <w:rPr>
          <w:rFonts w:ascii="Calibri" w:hAnsi="Calibri" w:cs="Calibri"/>
          <w:sz w:val="22"/>
          <w:szCs w:val="22"/>
          <w:u w:val="single"/>
        </w:rPr>
        <w:t>at least 60 days before all scheduled elections</w:t>
      </w:r>
      <w:r w:rsidRPr="00DD7BD1">
        <w:rPr>
          <w:rFonts w:ascii="Calibri" w:hAnsi="Calibri" w:cs="Calibri"/>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 The regulations also clarify that employers can’t require employees to provide more than seven days’ notice to take voting leave unless an already existing policy requires more.</w:t>
      </w:r>
    </w:p>
    <w:p w14:paraId="70B4FA87" w14:textId="77777777" w:rsidR="00AF4ED7" w:rsidRPr="00DD7BD1" w:rsidRDefault="00AF4ED7" w:rsidP="00AF4ED7">
      <w:pPr>
        <w:pStyle w:val="NormalWeb"/>
        <w:shd w:val="clear" w:color="auto" w:fill="FFFFFF"/>
        <w:spacing w:before="0" w:beforeAutospacing="0" w:after="0" w:afterAutospacing="0"/>
        <w:rPr>
          <w:rStyle w:val="Strong"/>
          <w:rFonts w:ascii="Calibri" w:hAnsi="Calibri" w:cs="Calibri"/>
          <w:b w:val="0"/>
          <w:bCs w:val="0"/>
          <w:sz w:val="16"/>
          <w:szCs w:val="16"/>
        </w:rPr>
      </w:pPr>
    </w:p>
    <w:p w14:paraId="15A186AD" w14:textId="1140255C" w:rsidR="00AF4ED7" w:rsidRPr="00DD7BD1" w:rsidRDefault="00AF4ED7" w:rsidP="00AF4ED7">
      <w:pPr>
        <w:pStyle w:val="MainTitle"/>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Upcoming</w:t>
      </w:r>
      <w:r w:rsidRPr="00DD7BD1">
        <w:rPr>
          <w:rStyle w:val="Strong"/>
          <w:rFonts w:ascii="Calibri" w:hAnsi="Calibri" w:cs="Calibri"/>
          <w:sz w:val="28"/>
          <w:szCs w:val="28"/>
        </w:rPr>
        <w:t xml:space="preserve"> </w:t>
      </w:r>
      <w:r w:rsidRPr="00DD7BD1">
        <w:rPr>
          <w:rStyle w:val="Strong"/>
          <w:rFonts w:ascii="Calibri" w:eastAsia="Times New Roman" w:hAnsi="Calibri" w:cs="Calibri"/>
          <w:b/>
          <w:bCs w:val="0"/>
          <w:color w:val="auto"/>
          <w:sz w:val="28"/>
          <w:szCs w:val="28"/>
        </w:rPr>
        <w:t>DC Enacts New Wage Transparency Requirements Eff June 30, 2024</w:t>
      </w:r>
    </w:p>
    <w:p w14:paraId="70B86240"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Employer Take-away:</w:t>
      </w:r>
    </w:p>
    <w:p w14:paraId="6C9E356C"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Ensure each job posting has a good faith estimate of the position’s pay range</w:t>
      </w:r>
    </w:p>
    <w:p w14:paraId="0C7459F6"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Remove salary history questions from your job applications (or at least make them clearly optional)</w:t>
      </w:r>
    </w:p>
    <w:p w14:paraId="66ABF13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Train hiring managers on what they can and cannot ask about as well as what they must disclose</w:t>
      </w:r>
    </w:p>
    <w:p w14:paraId="6D524D7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Post the required notice</w:t>
      </w:r>
    </w:p>
    <w:p w14:paraId="09735ADA" w14:textId="77777777" w:rsidR="00AF4ED7" w:rsidRPr="00DD7BD1" w:rsidRDefault="00AF4ED7" w:rsidP="00AF4ED7">
      <w:pPr>
        <w:shd w:val="clear" w:color="auto" w:fill="FFFFFF"/>
        <w:spacing w:after="0" w:line="240" w:lineRule="auto"/>
        <w:rPr>
          <w:rFonts w:ascii="Calibri" w:eastAsia="Times New Roman" w:hAnsi="Calibri" w:cs="Calibri"/>
          <w:sz w:val="16"/>
          <w:szCs w:val="16"/>
        </w:rPr>
      </w:pPr>
    </w:p>
    <w:p w14:paraId="297117B7"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Learn More:</w:t>
      </w:r>
    </w:p>
    <w:p w14:paraId="72A79BFF" w14:textId="77777777" w:rsidR="00AF4ED7" w:rsidRPr="00DD7BD1" w:rsidRDefault="00AF4ED7" w:rsidP="00AF4ED7">
      <w:pPr>
        <w:spacing w:after="0" w:line="240" w:lineRule="auto"/>
        <w:jc w:val="both"/>
        <w:rPr>
          <w:rFonts w:ascii="Calibri" w:hAnsi="Calibri" w:cs="Calibri"/>
        </w:rPr>
      </w:pPr>
      <w:r w:rsidRPr="00DD7BD1">
        <w:rPr>
          <w:rFonts w:ascii="Calibri" w:hAnsi="Calibri" w:cs="Calibri"/>
        </w:rPr>
        <w:t xml:space="preserve">On Jan. 12, 2024, the District of Columbia (the District) enacted the </w:t>
      </w:r>
      <w:hyperlink r:id="rId699" w:history="1">
        <w:r w:rsidRPr="00DD7BD1">
          <w:rPr>
            <w:rStyle w:val="Hyperlink"/>
            <w:rFonts w:ascii="Calibri" w:hAnsi="Calibri" w:cs="Calibri"/>
          </w:rPr>
          <w:t>Wage Transparency Omnibus Amendment Act of 2023</w:t>
        </w:r>
      </w:hyperlink>
      <w:r w:rsidRPr="00DD7BD1">
        <w:rPr>
          <w:rFonts w:ascii="Calibri" w:hAnsi="Calibri" w:cs="Calibri"/>
        </w:rPr>
        <w:t xml:space="preserve">, amending the Wage Transparency Act of 2014. The amended law </w:t>
      </w:r>
      <w:r w:rsidRPr="00DD7BD1">
        <w:rPr>
          <w:rFonts w:ascii="Calibri" w:hAnsi="Calibri" w:cs="Calibri"/>
          <w:b/>
          <w:bCs/>
        </w:rPr>
        <w:t xml:space="preserve">requires pay and benefits disclosures, prohibits wage history </w:t>
      </w:r>
      <w:r w:rsidRPr="00DD7BD1">
        <w:rPr>
          <w:rFonts w:ascii="Calibri" w:hAnsi="Calibri" w:cs="Calibri"/>
          <w:b/>
          <w:bCs/>
        </w:rPr>
        <w:lastRenderedPageBreak/>
        <w:t>inquiries and expands employee protections regarding compensation discussions</w:t>
      </w:r>
      <w:r w:rsidRPr="00DD7BD1">
        <w:rPr>
          <w:rFonts w:ascii="Calibri" w:hAnsi="Calibri" w:cs="Calibri"/>
        </w:rPr>
        <w:t xml:space="preserve">. The amended law takes effect on </w:t>
      </w:r>
      <w:r w:rsidRPr="00DD7BD1">
        <w:rPr>
          <w:rFonts w:ascii="Calibri" w:hAnsi="Calibri" w:cs="Calibri"/>
          <w:b/>
          <w:bCs/>
        </w:rPr>
        <w:t>June 30, 2024</w:t>
      </w:r>
      <w:r w:rsidRPr="00DD7BD1">
        <w:rPr>
          <w:rFonts w:ascii="Calibri" w:hAnsi="Calibri" w:cs="Calibri"/>
        </w:rPr>
        <w:t xml:space="preserve">, and applies to all </w:t>
      </w:r>
      <w:proofErr w:type="gramStart"/>
      <w:r w:rsidRPr="00DD7BD1">
        <w:rPr>
          <w:rFonts w:ascii="Calibri" w:hAnsi="Calibri" w:cs="Calibri"/>
        </w:rPr>
        <w:t>nongovernmental</w:t>
      </w:r>
      <w:proofErr w:type="gramEnd"/>
      <w:r w:rsidRPr="00DD7BD1">
        <w:rPr>
          <w:rFonts w:ascii="Calibri" w:hAnsi="Calibri" w:cs="Calibri"/>
        </w:rPr>
        <w:t xml:space="preserve"> employers with at least one employee in the District.</w:t>
      </w:r>
    </w:p>
    <w:p w14:paraId="231881A5" w14:textId="77777777" w:rsidR="00AF4ED7" w:rsidRPr="00DD7BD1" w:rsidRDefault="00AF4ED7" w:rsidP="00AF4ED7">
      <w:pPr>
        <w:spacing w:after="0" w:line="240" w:lineRule="auto"/>
        <w:jc w:val="both"/>
        <w:rPr>
          <w:rFonts w:ascii="Calibri" w:hAnsi="Calibri" w:cs="Calibri"/>
          <w:sz w:val="12"/>
          <w:szCs w:val="12"/>
        </w:rPr>
      </w:pPr>
    </w:p>
    <w:p w14:paraId="7E326217"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Required Pay and Benefits Disclosures</w:t>
      </w:r>
    </w:p>
    <w:p w14:paraId="6DEA13A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Amended law </w:t>
      </w:r>
      <w:r w:rsidRPr="00DD7BD1">
        <w:rPr>
          <w:rFonts w:cs="Calibri"/>
          <w:b/>
          <w:bCs/>
          <w:color w:val="auto"/>
          <w:szCs w:val="22"/>
        </w:rPr>
        <w:t>requires employers to include in all job postings the minimum and maximum salary or hourly pay that they believe, in good faith, they would pay for the position</w:t>
      </w:r>
      <w:r w:rsidRPr="00DD7BD1">
        <w:rPr>
          <w:rFonts w:cs="Calibri"/>
          <w:color w:val="auto"/>
          <w:szCs w:val="22"/>
        </w:rPr>
        <w:t xml:space="preserve">. </w:t>
      </w:r>
    </w:p>
    <w:p w14:paraId="4801AF7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Pay ranges must be included in both external and internal postings, including those for internal promotions or transfer opportunities. </w:t>
      </w:r>
    </w:p>
    <w:p w14:paraId="03B60796"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Disclosure of health care benefits disclosed prior to each candidate’s first interview</w:t>
      </w:r>
    </w:p>
    <w:p w14:paraId="794DA94E"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Prohibition on Wage History Inquiries</w:t>
      </w:r>
    </w:p>
    <w:p w14:paraId="33650ECC"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Seeking a candidate’s wage history from a former employer.  </w:t>
      </w:r>
    </w:p>
    <w:p w14:paraId="5050FDF0"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Expanded Protections for Compensation Discussions</w:t>
      </w:r>
    </w:p>
    <w:p w14:paraId="4E2AAEF0" w14:textId="77777777" w:rsidR="00AF4ED7" w:rsidRPr="00DD7BD1" w:rsidRDefault="00AF4ED7" w:rsidP="00AF4ED7">
      <w:pPr>
        <w:pStyle w:val="BodyText"/>
        <w:spacing w:after="0" w:line="240" w:lineRule="auto"/>
        <w:ind w:left="720"/>
        <w:rPr>
          <w:rFonts w:cs="Calibri"/>
          <w:color w:val="auto"/>
          <w:szCs w:val="22"/>
        </w:rPr>
      </w:pPr>
      <w:r w:rsidRPr="00DD7BD1">
        <w:rPr>
          <w:rFonts w:cs="Calibri"/>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DD7BD1" w:rsidRDefault="00AF4ED7" w:rsidP="00AF4ED7">
      <w:pPr>
        <w:pStyle w:val="BodyText"/>
        <w:spacing w:after="0" w:line="240" w:lineRule="auto"/>
        <w:rPr>
          <w:rFonts w:cs="Calibri"/>
          <w:b/>
          <w:color w:val="auto"/>
          <w:szCs w:val="22"/>
        </w:rPr>
      </w:pPr>
      <w:r w:rsidRPr="00DD7BD1">
        <w:rPr>
          <w:rFonts w:cs="Calibri"/>
          <w:b/>
          <w:color w:val="auto"/>
          <w:szCs w:val="22"/>
        </w:rPr>
        <w:t>Notice Requirements</w:t>
      </w:r>
    </w:p>
    <w:p w14:paraId="6E3B8F8D" w14:textId="77777777" w:rsidR="00AF4ED7" w:rsidRPr="00DD7BD1" w:rsidRDefault="00AF4ED7">
      <w:pPr>
        <w:pStyle w:val="BodyText"/>
        <w:numPr>
          <w:ilvl w:val="0"/>
          <w:numId w:val="19"/>
        </w:numPr>
        <w:spacing w:after="0" w:line="240" w:lineRule="auto"/>
        <w:rPr>
          <w:rFonts w:cs="Calibri"/>
          <w:color w:val="auto"/>
        </w:rPr>
      </w:pPr>
      <w:r w:rsidRPr="00DD7BD1">
        <w:rPr>
          <w:rFonts w:cs="Calibri"/>
          <w:color w:val="000000" w:themeColor="text1"/>
        </w:rPr>
        <w:t xml:space="preserve">Post a notice of employee rights under the amended law in at least one conspicuous location where employees congregate. ETC will monitor &amp; provide released workplace notices. </w:t>
      </w:r>
      <w:r w:rsidRPr="00DD7BD1">
        <w:rPr>
          <w:rFonts w:cs="Calibri"/>
          <w:color w:val="000000" w:themeColor="text1"/>
          <w:shd w:val="clear" w:color="auto" w:fill="FFFFFF"/>
        </w:rPr>
        <w:t> D.C. has not yet made a template notice available, but employers that are eager to comply can print and post these in the workplace: </w:t>
      </w:r>
      <w:hyperlink r:id="rId700" w:tgtFrame="_blank" w:history="1">
        <w:r w:rsidRPr="00DD7BD1">
          <w:rPr>
            <w:rStyle w:val="Hyperlink"/>
            <w:rFonts w:cs="Calibri"/>
            <w:color w:val="1155CC"/>
            <w:shd w:val="clear" w:color="auto" w:fill="FFFFFF"/>
          </w:rPr>
          <w:t>pay disclosure</w:t>
        </w:r>
      </w:hyperlink>
      <w:r w:rsidRPr="00DD7BD1">
        <w:rPr>
          <w:rFonts w:cs="Calibri"/>
          <w:color w:val="282828"/>
          <w:shd w:val="clear" w:color="auto" w:fill="FFFFFF"/>
        </w:rPr>
        <w:t> </w:t>
      </w:r>
      <w:r w:rsidRPr="00DD7BD1">
        <w:rPr>
          <w:rFonts w:cs="Calibri"/>
          <w:color w:val="000000" w:themeColor="text1"/>
          <w:shd w:val="clear" w:color="auto" w:fill="FFFFFF"/>
        </w:rPr>
        <w:t>and</w:t>
      </w:r>
      <w:r w:rsidRPr="00DD7BD1">
        <w:rPr>
          <w:rFonts w:cs="Calibri"/>
          <w:color w:val="282828"/>
          <w:shd w:val="clear" w:color="auto" w:fill="FFFFFF"/>
        </w:rPr>
        <w:t> </w:t>
      </w:r>
      <w:hyperlink r:id="rId701" w:tgtFrame="_blank" w:history="1">
        <w:r w:rsidRPr="00DD7BD1">
          <w:rPr>
            <w:rStyle w:val="Hyperlink"/>
            <w:rFonts w:cs="Calibri"/>
            <w:color w:val="1155CC"/>
            <w:shd w:val="clear" w:color="auto" w:fill="FFFFFF"/>
          </w:rPr>
          <w:t>salary history</w:t>
        </w:r>
      </w:hyperlink>
      <w:r w:rsidRPr="00DD7BD1">
        <w:rPr>
          <w:rFonts w:cs="Calibri"/>
          <w:color w:val="282828"/>
          <w:shd w:val="clear" w:color="auto" w:fill="FFFFFF"/>
        </w:rPr>
        <w:t xml:space="preserve">.  </w:t>
      </w:r>
      <w:r w:rsidRPr="00DD7BD1">
        <w:rPr>
          <w:rFonts w:cs="Calibri"/>
          <w:color w:val="000000" w:themeColor="text1"/>
          <w:shd w:val="clear" w:color="auto" w:fill="FFFFFF"/>
        </w:rPr>
        <w:t>Once a workplace Notice is released, ETC will alert employers via the HR WIRE publication.</w:t>
      </w:r>
    </w:p>
    <w:p w14:paraId="7D8B596D" w14:textId="5B460A76" w:rsidR="00AF4ED7" w:rsidRPr="00DD7BD1" w:rsidRDefault="00AF4ED7" w:rsidP="00AF4ED7">
      <w:pPr>
        <w:pStyle w:val="BodyText"/>
        <w:spacing w:after="0" w:line="240" w:lineRule="auto"/>
        <w:rPr>
          <w:rFonts w:cs="Calibri"/>
          <w:color w:val="000000" w:themeColor="text1"/>
          <w:shd w:val="clear" w:color="auto" w:fill="FFFFFF"/>
        </w:rPr>
      </w:pPr>
      <w:r w:rsidRPr="00DD7BD1">
        <w:rPr>
          <w:rFonts w:cs="Calibri"/>
          <w:color w:val="auto"/>
          <w:shd w:val="clear" w:color="auto" w:fill="FFFFFF"/>
        </w:rPr>
        <w:t>(</w:t>
      </w:r>
      <w:hyperlink r:id="rId702" w:tgtFrame="_blank" w:history="1">
        <w:r w:rsidRPr="00DD7BD1">
          <w:rPr>
            <w:rStyle w:val="Hyperlink"/>
            <w:rFonts w:cs="Calibri"/>
            <w:color w:val="3052DA"/>
            <w:shd w:val="clear" w:color="auto" w:fill="FFFFFF"/>
          </w:rPr>
          <w:t>DC B 194</w:t>
        </w:r>
      </w:hyperlink>
      <w:r w:rsidRPr="00DD7BD1">
        <w:rPr>
          <w:rFonts w:cs="Calibri"/>
          <w:color w:val="282828"/>
          <w:shd w:val="clear" w:color="auto" w:fill="FFFFFF"/>
        </w:rPr>
        <w:t> </w:t>
      </w:r>
      <w:r w:rsidRPr="00DD7BD1">
        <w:rPr>
          <w:rFonts w:cs="Calibri"/>
          <w:color w:val="000000" w:themeColor="text1"/>
          <w:shd w:val="clear" w:color="auto" w:fill="FFFFFF"/>
        </w:rPr>
        <w:t>was signed by the mayor on January 1, 2024)</w:t>
      </w:r>
    </w:p>
    <w:p w14:paraId="3B5D8C1F" w14:textId="77777777" w:rsidR="001C5F42" w:rsidRPr="00DD7BD1" w:rsidRDefault="001C5F42" w:rsidP="001C5F42">
      <w:pPr>
        <w:spacing w:after="0" w:line="240" w:lineRule="auto"/>
        <w:jc w:val="both"/>
        <w:rPr>
          <w:rFonts w:ascii="Calibri" w:hAnsi="Calibri" w:cs="Calibri"/>
          <w:b/>
          <w:bCs/>
          <w:color w:val="2E74B5" w:themeColor="accent5" w:themeShade="BF"/>
          <w:sz w:val="20"/>
          <w:szCs w:val="20"/>
          <w:shd w:val="clear" w:color="auto" w:fill="FFFFFF"/>
          <w:lang w:val="en"/>
        </w:rPr>
      </w:pPr>
    </w:p>
    <w:p w14:paraId="64E462F5" w14:textId="40008B44" w:rsidR="00C55769" w:rsidRPr="00DD7BD1" w:rsidRDefault="00C55769"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Florida</w:t>
      </w:r>
    </w:p>
    <w:p w14:paraId="27956461" w14:textId="060CB5AC" w:rsidR="00A85628" w:rsidRPr="00DD7BD1" w:rsidRDefault="00A85628" w:rsidP="00A85628">
      <w:pPr>
        <w:spacing w:after="0" w:line="240" w:lineRule="auto"/>
        <w:ind w:right="-180"/>
        <w:jc w:val="center"/>
        <w:rPr>
          <w:rFonts w:ascii="Calibri" w:hAnsi="Calibri" w:cs="Calibri"/>
          <w:b/>
          <w:sz w:val="28"/>
        </w:rPr>
      </w:pPr>
      <w:bookmarkStart w:id="84" w:name="_Hlk212642589"/>
      <w:r w:rsidRPr="00DD7BD1">
        <w:rPr>
          <w:rFonts w:ascii="Calibri" w:hAnsi="Calibri" w:cs="Calibri"/>
          <w:b/>
          <w:bCs/>
          <w:sz w:val="28"/>
          <w:szCs w:val="28"/>
          <w:shd w:val="clear" w:color="auto" w:fill="FFFFFF"/>
        </w:rPr>
        <w:t>State Minimum Wage Increases –</w:t>
      </w:r>
      <w:r w:rsidRPr="00DD7BD1">
        <w:rPr>
          <w:rFonts w:ascii="Calibri" w:hAnsi="Calibri" w:cs="Calibri"/>
          <w:b/>
          <w:spacing w:val="-8"/>
          <w:sz w:val="28"/>
        </w:rPr>
        <w:t xml:space="preserve"> </w:t>
      </w:r>
      <w:r w:rsidRPr="00DD7BD1">
        <w:rPr>
          <w:rFonts w:ascii="Calibri" w:hAnsi="Calibri" w:cs="Calibri"/>
          <w:b/>
          <w:bCs/>
          <w:color w:val="C00000"/>
          <w:sz w:val="28"/>
          <w:szCs w:val="28"/>
          <w:shd w:val="clear" w:color="auto" w:fill="FFFFFF"/>
        </w:rPr>
        <w:t>Eff Sept 30, 2025</w:t>
      </w:r>
    </w:p>
    <w:bookmarkEnd w:id="84"/>
    <w:p w14:paraId="3963B9BA" w14:textId="4BF6A750" w:rsidR="00A85628" w:rsidRPr="00DD7BD1" w:rsidRDefault="00A85628" w:rsidP="00A85628">
      <w:pPr>
        <w:pStyle w:val="BodyText"/>
        <w:spacing w:after="0" w:line="240" w:lineRule="auto"/>
        <w:ind w:right="-180"/>
        <w:rPr>
          <w:rFonts w:cs="Calibri"/>
          <w:color w:val="auto"/>
          <w:spacing w:val="-2"/>
          <w:w w:val="110"/>
          <w:szCs w:val="22"/>
        </w:rPr>
      </w:pPr>
      <w:r w:rsidRPr="00DD7BD1">
        <w:rPr>
          <w:rFonts w:cs="Calibri"/>
          <w:color w:val="auto"/>
          <w:w w:val="110"/>
          <w:szCs w:val="22"/>
        </w:rPr>
        <w:t>Starting</w:t>
      </w:r>
      <w:r w:rsidRPr="00DD7BD1">
        <w:rPr>
          <w:rFonts w:cs="Calibri"/>
          <w:color w:val="auto"/>
          <w:spacing w:val="-2"/>
          <w:w w:val="110"/>
          <w:szCs w:val="22"/>
        </w:rPr>
        <w:t xml:space="preserve"> </w:t>
      </w:r>
      <w:r w:rsidRPr="00DD7BD1">
        <w:rPr>
          <w:rFonts w:cs="Calibri"/>
          <w:color w:val="auto"/>
          <w:w w:val="110"/>
          <w:szCs w:val="22"/>
        </w:rPr>
        <w:t>September</w:t>
      </w:r>
      <w:r w:rsidRPr="00DD7BD1">
        <w:rPr>
          <w:rFonts w:cs="Calibri"/>
          <w:color w:val="auto"/>
          <w:spacing w:val="-1"/>
          <w:w w:val="110"/>
          <w:szCs w:val="22"/>
        </w:rPr>
        <w:t xml:space="preserve"> </w:t>
      </w:r>
      <w:r w:rsidRPr="00DD7BD1">
        <w:rPr>
          <w:rFonts w:cs="Calibri"/>
          <w:color w:val="auto"/>
          <w:w w:val="110"/>
          <w:szCs w:val="22"/>
        </w:rPr>
        <w:t>30,</w:t>
      </w:r>
      <w:r w:rsidRPr="00DD7BD1">
        <w:rPr>
          <w:rFonts w:cs="Calibri"/>
          <w:color w:val="auto"/>
          <w:spacing w:val="-1"/>
          <w:w w:val="110"/>
          <w:szCs w:val="22"/>
        </w:rPr>
        <w:t xml:space="preserve"> </w:t>
      </w:r>
      <w:r w:rsidRPr="00DD7BD1">
        <w:rPr>
          <w:rFonts w:cs="Calibri"/>
          <w:color w:val="auto"/>
          <w:w w:val="110"/>
          <w:szCs w:val="22"/>
        </w:rPr>
        <w:t>2025,</w:t>
      </w:r>
      <w:r w:rsidRPr="00DD7BD1">
        <w:rPr>
          <w:rFonts w:cs="Calibri"/>
          <w:color w:val="auto"/>
          <w:spacing w:val="-4"/>
          <w:w w:val="110"/>
          <w:szCs w:val="22"/>
        </w:rPr>
        <w:t xml:space="preserve"> </w:t>
      </w:r>
      <w:r w:rsidRPr="00DD7BD1">
        <w:rPr>
          <w:rFonts w:cs="Calibri"/>
          <w:color w:val="auto"/>
          <w:w w:val="110"/>
          <w:szCs w:val="22"/>
        </w:rPr>
        <w:t>Florida’s 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w w:val="110"/>
          <w:szCs w:val="22"/>
        </w:rPr>
        <w:t>will</w:t>
      </w:r>
      <w:r w:rsidRPr="00DD7BD1">
        <w:rPr>
          <w:rFonts w:cs="Calibri"/>
          <w:color w:val="auto"/>
          <w:spacing w:val="-2"/>
          <w:w w:val="110"/>
          <w:szCs w:val="22"/>
        </w:rPr>
        <w:t xml:space="preserve"> </w:t>
      </w:r>
      <w:r w:rsidRPr="00DD7BD1">
        <w:rPr>
          <w:rFonts w:cs="Calibri"/>
          <w:color w:val="auto"/>
          <w:w w:val="110"/>
          <w:szCs w:val="22"/>
        </w:rPr>
        <w:t>increase</w:t>
      </w:r>
      <w:r w:rsidRPr="00DD7BD1">
        <w:rPr>
          <w:rFonts w:cs="Calibri"/>
          <w:color w:val="auto"/>
          <w:spacing w:val="-1"/>
          <w:w w:val="110"/>
          <w:szCs w:val="22"/>
        </w:rPr>
        <w:t xml:space="preserve"> </w:t>
      </w:r>
      <w:r w:rsidRPr="00DD7BD1">
        <w:rPr>
          <w:rFonts w:cs="Calibri"/>
          <w:color w:val="auto"/>
          <w:w w:val="110"/>
          <w:szCs w:val="22"/>
        </w:rPr>
        <w:t>to $14</w:t>
      </w:r>
      <w:r w:rsidRPr="00DD7BD1">
        <w:rPr>
          <w:rFonts w:cs="Calibri"/>
          <w:color w:val="auto"/>
          <w:spacing w:val="-1"/>
          <w:w w:val="110"/>
          <w:szCs w:val="22"/>
        </w:rPr>
        <w:t xml:space="preserve"> </w:t>
      </w:r>
      <w:r w:rsidRPr="00DD7BD1">
        <w:rPr>
          <w:rFonts w:cs="Calibri"/>
          <w:color w:val="auto"/>
          <w:w w:val="110"/>
          <w:szCs w:val="22"/>
        </w:rPr>
        <w:t>per</w:t>
      </w:r>
      <w:r w:rsidRPr="00DD7BD1">
        <w:rPr>
          <w:rFonts w:cs="Calibri"/>
          <w:color w:val="auto"/>
          <w:spacing w:val="-3"/>
          <w:w w:val="110"/>
          <w:szCs w:val="22"/>
        </w:rPr>
        <w:t xml:space="preserve"> </w:t>
      </w:r>
      <w:r w:rsidRPr="00DD7BD1">
        <w:rPr>
          <w:rFonts w:cs="Calibri"/>
          <w:color w:val="auto"/>
          <w:w w:val="110"/>
          <w:szCs w:val="22"/>
        </w:rPr>
        <w:t>hour.</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minimum</w:t>
      </w:r>
      <w:r w:rsidRPr="00DD7BD1">
        <w:rPr>
          <w:rFonts w:cs="Calibri"/>
          <w:color w:val="auto"/>
          <w:spacing w:val="-1"/>
          <w:w w:val="110"/>
          <w:szCs w:val="22"/>
        </w:rPr>
        <w:t xml:space="preserve"> </w:t>
      </w:r>
      <w:r w:rsidRPr="00DD7BD1">
        <w:rPr>
          <w:rFonts w:cs="Calibri"/>
          <w:color w:val="auto"/>
          <w:w w:val="110"/>
          <w:szCs w:val="22"/>
        </w:rPr>
        <w:t>base</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spacing w:val="-5"/>
          <w:w w:val="110"/>
          <w:szCs w:val="22"/>
        </w:rPr>
        <w:t>for</w:t>
      </w:r>
      <w:r w:rsidRPr="00DD7BD1">
        <w:rPr>
          <w:rFonts w:cs="Calibri"/>
          <w:color w:val="auto"/>
          <w:szCs w:val="22"/>
        </w:rPr>
        <w:t xml:space="preserve"> </w:t>
      </w:r>
      <w:r w:rsidRPr="00DD7BD1">
        <w:rPr>
          <w:rFonts w:cs="Calibri"/>
          <w:color w:val="auto"/>
          <w:spacing w:val="-2"/>
          <w:w w:val="110"/>
          <w:szCs w:val="22"/>
        </w:rPr>
        <w:t>tipped</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4"/>
          <w:w w:val="110"/>
          <w:szCs w:val="22"/>
        </w:rPr>
        <w:t xml:space="preserve"> </w:t>
      </w:r>
      <w:r w:rsidRPr="00DD7BD1">
        <w:rPr>
          <w:rFonts w:cs="Calibri"/>
          <w:color w:val="auto"/>
          <w:spacing w:val="-2"/>
          <w:w w:val="110"/>
          <w:szCs w:val="22"/>
        </w:rPr>
        <w:t>will</w:t>
      </w:r>
      <w:r w:rsidRPr="00DD7BD1">
        <w:rPr>
          <w:rFonts w:cs="Calibri"/>
          <w:color w:val="auto"/>
          <w:spacing w:val="-8"/>
          <w:w w:val="110"/>
          <w:szCs w:val="22"/>
        </w:rPr>
        <w:t xml:space="preserve"> </w:t>
      </w:r>
      <w:r w:rsidRPr="00DD7BD1">
        <w:rPr>
          <w:rFonts w:cs="Calibri"/>
          <w:color w:val="auto"/>
          <w:spacing w:val="-2"/>
          <w:w w:val="110"/>
          <w:szCs w:val="22"/>
        </w:rPr>
        <w:t>increase</w:t>
      </w:r>
      <w:r w:rsidRPr="00DD7BD1">
        <w:rPr>
          <w:rFonts w:cs="Calibri"/>
          <w:color w:val="auto"/>
          <w:spacing w:val="-4"/>
          <w:w w:val="110"/>
          <w:szCs w:val="22"/>
        </w:rPr>
        <w:t xml:space="preserve"> </w:t>
      </w:r>
      <w:r w:rsidRPr="00DD7BD1">
        <w:rPr>
          <w:rFonts w:cs="Calibri"/>
          <w:color w:val="auto"/>
          <w:spacing w:val="-2"/>
          <w:w w:val="110"/>
          <w:szCs w:val="22"/>
        </w:rPr>
        <w:t>to</w:t>
      </w:r>
      <w:r w:rsidRPr="00DD7BD1">
        <w:rPr>
          <w:rFonts w:cs="Calibri"/>
          <w:color w:val="auto"/>
          <w:spacing w:val="-5"/>
          <w:w w:val="110"/>
          <w:szCs w:val="22"/>
        </w:rPr>
        <w:t xml:space="preserve"> </w:t>
      </w:r>
      <w:r w:rsidRPr="00DD7BD1">
        <w:rPr>
          <w:rFonts w:cs="Calibri"/>
          <w:color w:val="auto"/>
          <w:spacing w:val="-2"/>
          <w:w w:val="110"/>
          <w:szCs w:val="22"/>
        </w:rPr>
        <w:t>$10.98</w:t>
      </w:r>
      <w:r w:rsidRPr="00DD7BD1">
        <w:rPr>
          <w:rFonts w:cs="Calibri"/>
          <w:color w:val="auto"/>
          <w:spacing w:val="-7"/>
          <w:w w:val="110"/>
          <w:szCs w:val="22"/>
        </w:rPr>
        <w:t xml:space="preserve"> </w:t>
      </w:r>
      <w:r w:rsidRPr="00DD7BD1">
        <w:rPr>
          <w:rFonts w:cs="Calibri"/>
          <w:color w:val="auto"/>
          <w:spacing w:val="-2"/>
          <w:w w:val="110"/>
          <w:szCs w:val="22"/>
        </w:rPr>
        <w:t>per</w:t>
      </w:r>
      <w:r w:rsidRPr="00DD7BD1">
        <w:rPr>
          <w:rFonts w:cs="Calibri"/>
          <w:color w:val="auto"/>
          <w:spacing w:val="-9"/>
          <w:w w:val="110"/>
          <w:szCs w:val="22"/>
        </w:rPr>
        <w:t xml:space="preserve"> </w:t>
      </w:r>
      <w:r w:rsidRPr="00DD7BD1">
        <w:rPr>
          <w:rFonts w:cs="Calibri"/>
          <w:color w:val="auto"/>
          <w:spacing w:val="-2"/>
          <w:w w:val="110"/>
          <w:szCs w:val="22"/>
        </w:rPr>
        <w:t>hour.</w:t>
      </w:r>
    </w:p>
    <w:p w14:paraId="79C7EE45" w14:textId="77777777" w:rsidR="00A85628" w:rsidRPr="00DD7BD1" w:rsidRDefault="00A85628" w:rsidP="00A85628">
      <w:pPr>
        <w:pStyle w:val="BodyText"/>
        <w:spacing w:after="0" w:line="240" w:lineRule="auto"/>
        <w:ind w:right="-180"/>
        <w:rPr>
          <w:rFonts w:cs="Calibri"/>
          <w:color w:val="auto"/>
          <w:szCs w:val="22"/>
        </w:rPr>
      </w:pPr>
    </w:p>
    <w:p w14:paraId="61B94AF7" w14:textId="79F939FB" w:rsidR="00C55769" w:rsidRPr="00DD7BD1" w:rsidRDefault="00A85628" w:rsidP="00C5576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State’s</w:t>
      </w:r>
      <w:r w:rsidR="00C55769" w:rsidRPr="00DD7BD1">
        <w:rPr>
          <w:rFonts w:ascii="Calibri" w:hAnsi="Calibri" w:cs="Calibri"/>
          <w:b/>
          <w:bCs/>
          <w:sz w:val="28"/>
          <w:szCs w:val="28"/>
          <w:shd w:val="clear" w:color="auto" w:fill="FFFFFF"/>
          <w:lang w:val="en"/>
        </w:rPr>
        <w:t xml:space="preserve"> Non-Compete Bill Becomes Law</w:t>
      </w:r>
    </w:p>
    <w:p w14:paraId="1C7DD24E"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Governor Ron DeSantis has allowed Florida’s expansive noncompete bill to become law without his signature. The Florida Contracts Honoring Opportunity, Investment, Confidentiality, and Economic Growth (CHOICE) Act significantly expands the enforceability of noncompete agreements in Florida and became effective immediately. </w:t>
      </w:r>
    </w:p>
    <w:p w14:paraId="21F9B562"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03B0292D"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law addresses both garden leave agreements and noncompete agreements. </w:t>
      </w:r>
      <w:proofErr w:type="gramStart"/>
      <w:r w:rsidRPr="00DD7BD1">
        <w:rPr>
          <w:rFonts w:ascii="Calibri" w:hAnsi="Calibri" w:cs="Calibri"/>
          <w:shd w:val="clear" w:color="auto" w:fill="FFFFFF"/>
        </w:rPr>
        <w:t>With regard to</w:t>
      </w:r>
      <w:proofErr w:type="gramEnd"/>
      <w:r w:rsidRPr="00DD7BD1">
        <w:rPr>
          <w:rFonts w:ascii="Calibri" w:hAnsi="Calibri" w:cs="Calibri"/>
          <w:shd w:val="clear" w:color="auto" w:fill="FFFFFF"/>
        </w:rPr>
        <w:t xml:space="preserve">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5F63C524"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w:t>
      </w:r>
      <w:r w:rsidRPr="00DD7BD1">
        <w:rPr>
          <w:rFonts w:ascii="Calibri" w:hAnsi="Calibri" w:cs="Calibri"/>
          <w:shd w:val="clear" w:color="auto" w:fill="FFFFFF"/>
        </w:rPr>
        <w:lastRenderedPageBreak/>
        <w:t>agreement; or the subsequent employer is not engaged in, or preparing to engage in, a similar business as the covered employer within the restricted geographic area.</w:t>
      </w:r>
    </w:p>
    <w:p w14:paraId="118EDDC8"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30DF041E" w14:textId="77777777" w:rsidR="00C55769" w:rsidRPr="00DD7BD1" w:rsidRDefault="00C55769" w:rsidP="00C55769">
      <w:pPr>
        <w:spacing w:after="0" w:line="240" w:lineRule="auto"/>
        <w:jc w:val="both"/>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p>
    <w:p w14:paraId="76ADD128" w14:textId="77777777" w:rsidR="00C55769" w:rsidRPr="00DD7BD1" w:rsidRDefault="00C55769" w:rsidP="00C55769">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DD7BD1" w:rsidRDefault="00C55769" w:rsidP="001C5F42">
      <w:pPr>
        <w:spacing w:after="0" w:line="240" w:lineRule="auto"/>
        <w:jc w:val="both"/>
        <w:rPr>
          <w:rFonts w:ascii="Calibri" w:hAnsi="Calibri" w:cs="Calibri"/>
          <w:b/>
          <w:bCs/>
          <w:color w:val="2E74B5" w:themeColor="accent5" w:themeShade="BF"/>
          <w:sz w:val="16"/>
          <w:szCs w:val="16"/>
          <w:shd w:val="clear" w:color="auto" w:fill="FFFFFF"/>
          <w:lang w:val="en"/>
        </w:rPr>
      </w:pPr>
    </w:p>
    <w:p w14:paraId="0D56EE66" w14:textId="2B011DE3"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Georgia</w:t>
      </w:r>
    </w:p>
    <w:p w14:paraId="26F4A5CC" w14:textId="77777777" w:rsidR="00375F54" w:rsidRPr="0080114F" w:rsidRDefault="00375F54" w:rsidP="00375F54">
      <w:pPr>
        <w:rPr>
          <w:sz w:val="26"/>
          <w:szCs w:val="26"/>
        </w:rPr>
      </w:pPr>
      <w:r w:rsidRPr="009E5C5C">
        <w:rPr>
          <w:b/>
          <w:bCs/>
          <w:caps/>
          <w:noProof/>
          <w:color w:val="0070C0"/>
          <w:sz w:val="28"/>
          <w:szCs w:val="28"/>
        </w:rPr>
        <w:t>New!</w:t>
      </w:r>
      <w:r w:rsidRPr="009E5C5C">
        <w:rPr>
          <w:sz w:val="26"/>
          <w:szCs w:val="26"/>
        </w:rPr>
        <w:t xml:space="preserve"> </w:t>
      </w:r>
      <w:r w:rsidRPr="009E5C5C">
        <w:rPr>
          <w:b/>
          <w:bCs/>
          <w:caps/>
          <w:noProof/>
          <w:color w:val="0E425C"/>
          <w:sz w:val="28"/>
          <w:szCs w:val="28"/>
        </w:rPr>
        <w:t>Updated Rules on UI Separation Notices &amp; Postings</w:t>
      </w:r>
      <w:r w:rsidRPr="009E5C5C">
        <w:rPr>
          <w:sz w:val="26"/>
          <w:szCs w:val="26"/>
        </w:rPr>
        <w:t xml:space="preserve">  </w:t>
      </w:r>
      <w:r w:rsidRPr="009E5C5C">
        <w:rPr>
          <w:b/>
          <w:bCs/>
          <w:caps/>
          <w:noProof/>
          <w:color w:val="0070C0"/>
          <w:sz w:val="28"/>
          <w:szCs w:val="28"/>
        </w:rPr>
        <w:t>Aug 9, 2026</w:t>
      </w:r>
    </w:p>
    <w:p w14:paraId="12895443" w14:textId="77777777" w:rsidR="00375F54" w:rsidRPr="0080114F" w:rsidRDefault="00375F54" w:rsidP="00375F54">
      <w:pPr>
        <w:rPr>
          <w:sz w:val="26"/>
          <w:szCs w:val="26"/>
        </w:rPr>
      </w:pPr>
      <w:r>
        <w:rPr>
          <w:sz w:val="26"/>
          <w:szCs w:val="26"/>
        </w:rPr>
        <w:t xml:space="preserve">Effective </w:t>
      </w:r>
      <w:r w:rsidRPr="0080114F">
        <w:rPr>
          <w:sz w:val="26"/>
          <w:szCs w:val="26"/>
        </w:rPr>
        <w:t>August 9, the state’s unemployment insurance (UI) rules address</w:t>
      </w:r>
      <w:r>
        <w:rPr>
          <w:sz w:val="26"/>
          <w:szCs w:val="26"/>
        </w:rPr>
        <w:t>ing</w:t>
      </w:r>
      <w:r w:rsidRPr="0080114F">
        <w:rPr>
          <w:sz w:val="26"/>
          <w:szCs w:val="26"/>
        </w:rPr>
        <w:t xml:space="preserve"> the electronic delivery of separation notices and the electronic posting of required notices for remote employees</w:t>
      </w:r>
      <w:r>
        <w:rPr>
          <w:sz w:val="26"/>
          <w:szCs w:val="26"/>
        </w:rPr>
        <w:t xml:space="preserve"> were updated</w:t>
      </w:r>
      <w:r w:rsidRPr="0080114F">
        <w:rPr>
          <w:sz w:val="26"/>
          <w:szCs w:val="26"/>
        </w:rPr>
        <w:t>. The rules apply to employers of all sizes that are required to make UI contributions.</w:t>
      </w:r>
    </w:p>
    <w:p w14:paraId="397236F4" w14:textId="77777777" w:rsidR="00375F54" w:rsidRPr="0080114F" w:rsidRDefault="00375F54" w:rsidP="00375F54">
      <w:pPr>
        <w:rPr>
          <w:sz w:val="26"/>
          <w:szCs w:val="26"/>
        </w:rPr>
      </w:pPr>
      <w:r w:rsidRPr="0080114F">
        <w:rPr>
          <w:b/>
          <w:bCs/>
          <w:sz w:val="26"/>
          <w:szCs w:val="26"/>
        </w:rPr>
        <w:t>Separation Notices</w:t>
      </w:r>
      <w:r w:rsidRPr="0080114F">
        <w:rPr>
          <w:sz w:val="26"/>
          <w:szCs w:val="26"/>
        </w:rPr>
        <w:br/>
        <w:t xml:space="preserve">Employers that choose to provide separation notices to employees electronically will be subject to new delivery-related requirements. Specifically, employers will </w:t>
      </w:r>
      <w:proofErr w:type="gramStart"/>
      <w:r w:rsidRPr="0080114F">
        <w:rPr>
          <w:sz w:val="26"/>
          <w:szCs w:val="26"/>
        </w:rPr>
        <w:t>need to</w:t>
      </w:r>
      <w:proofErr w:type="gramEnd"/>
      <w:r w:rsidRPr="0080114F">
        <w:rPr>
          <w:sz w:val="26"/>
          <w:szCs w:val="26"/>
        </w:rPr>
        <w:t>:</w:t>
      </w:r>
    </w:p>
    <w:p w14:paraId="6DB2F359" w14:textId="77777777" w:rsidR="00375F54" w:rsidRPr="0080114F" w:rsidRDefault="00375F54" w:rsidP="00375F54">
      <w:pPr>
        <w:numPr>
          <w:ilvl w:val="0"/>
          <w:numId w:val="404"/>
        </w:numPr>
        <w:spacing w:after="100" w:line="276" w:lineRule="auto"/>
        <w:rPr>
          <w:sz w:val="26"/>
          <w:szCs w:val="26"/>
        </w:rPr>
      </w:pPr>
      <w:r w:rsidRPr="0080114F">
        <w:rPr>
          <w:sz w:val="26"/>
          <w:szCs w:val="26"/>
        </w:rPr>
        <w:t>Send the completed notice by email, employee portal, or another electronic system used for employee communication</w:t>
      </w:r>
    </w:p>
    <w:p w14:paraId="052E8CD4" w14:textId="77777777" w:rsidR="00375F54" w:rsidRPr="0080114F" w:rsidRDefault="00375F54" w:rsidP="00375F54">
      <w:pPr>
        <w:numPr>
          <w:ilvl w:val="0"/>
          <w:numId w:val="404"/>
        </w:numPr>
        <w:spacing w:after="100" w:line="276" w:lineRule="auto"/>
        <w:rPr>
          <w:sz w:val="26"/>
          <w:szCs w:val="26"/>
        </w:rPr>
      </w:pPr>
      <w:r w:rsidRPr="0080114F">
        <w:rPr>
          <w:sz w:val="26"/>
          <w:szCs w:val="26"/>
        </w:rPr>
        <w:t>Use a delivery method that creates a record that the employer can access later</w:t>
      </w:r>
    </w:p>
    <w:p w14:paraId="65DD5F47" w14:textId="77777777" w:rsidR="00375F54" w:rsidRPr="0080114F" w:rsidRDefault="00375F54" w:rsidP="00375F54">
      <w:pPr>
        <w:numPr>
          <w:ilvl w:val="0"/>
          <w:numId w:val="404"/>
        </w:numPr>
        <w:spacing w:after="100" w:line="276" w:lineRule="auto"/>
        <w:rPr>
          <w:sz w:val="26"/>
          <w:szCs w:val="26"/>
        </w:rPr>
      </w:pPr>
      <w:r w:rsidRPr="0080114F">
        <w:rPr>
          <w:sz w:val="26"/>
          <w:szCs w:val="26"/>
        </w:rPr>
        <w:t>Sign the notice using a compliant electronic signature</w:t>
      </w:r>
    </w:p>
    <w:p w14:paraId="789D24D2" w14:textId="77777777" w:rsidR="00375F54" w:rsidRPr="0080114F" w:rsidRDefault="00375F54" w:rsidP="00375F54">
      <w:pPr>
        <w:numPr>
          <w:ilvl w:val="0"/>
          <w:numId w:val="404"/>
        </w:numPr>
        <w:spacing w:after="100" w:line="276" w:lineRule="auto"/>
        <w:rPr>
          <w:sz w:val="26"/>
          <w:szCs w:val="26"/>
        </w:rPr>
      </w:pPr>
      <w:r w:rsidRPr="0080114F">
        <w:rPr>
          <w:sz w:val="26"/>
          <w:szCs w:val="26"/>
        </w:rPr>
        <w:t>Retain proof of delivery, such as a transmission log, system record, or read receipt, for at least four years</w:t>
      </w:r>
    </w:p>
    <w:p w14:paraId="3F9A7A0F" w14:textId="77777777" w:rsidR="00375F54" w:rsidRPr="0080114F" w:rsidRDefault="00375F54" w:rsidP="00375F54">
      <w:pPr>
        <w:rPr>
          <w:sz w:val="26"/>
          <w:szCs w:val="26"/>
        </w:rPr>
      </w:pPr>
      <w:r w:rsidRPr="0080114F">
        <w:rPr>
          <w:sz w:val="26"/>
          <w:szCs w:val="26"/>
        </w:rPr>
        <w:t>Employers may still deliver separation Notices by hand copy.</w:t>
      </w:r>
    </w:p>
    <w:p w14:paraId="24496F56" w14:textId="77777777" w:rsidR="00375F54" w:rsidRPr="0080114F" w:rsidRDefault="00375F54" w:rsidP="00375F54">
      <w:pPr>
        <w:rPr>
          <w:sz w:val="26"/>
          <w:szCs w:val="26"/>
        </w:rPr>
      </w:pPr>
      <w:r w:rsidRPr="0080114F">
        <w:rPr>
          <w:b/>
          <w:bCs/>
          <w:sz w:val="26"/>
          <w:szCs w:val="26"/>
        </w:rPr>
        <w:t>Electronic Posting</w:t>
      </w:r>
      <w:r w:rsidRPr="0080114F">
        <w:rPr>
          <w:sz w:val="26"/>
          <w:szCs w:val="26"/>
        </w:rPr>
        <w:br/>
        <w:t xml:space="preserve">The updated rules will allow employers to satisfy the UI posting requirement electronically when they have no physical worksite and all Georgia employees work remotely, or for remote employees who don’t regularly report to a worksite. Employers will need to keep records of the electronic postings, such as a screenshot of the posting location, </w:t>
      </w:r>
      <w:proofErr w:type="gramStart"/>
      <w:r w:rsidRPr="0080114F">
        <w:rPr>
          <w:sz w:val="26"/>
          <w:szCs w:val="26"/>
        </w:rPr>
        <w:t>system delivery</w:t>
      </w:r>
      <w:proofErr w:type="gramEnd"/>
      <w:r w:rsidRPr="0080114F">
        <w:rPr>
          <w:sz w:val="26"/>
          <w:szCs w:val="26"/>
        </w:rPr>
        <w:t xml:space="preserve"> log, employee’s receipt confirmation, or a dated notice telling employees where to find the current or updated posting. The law doesn’t say how long those records need to be retained.</w:t>
      </w:r>
    </w:p>
    <w:p w14:paraId="30410093" w14:textId="77777777" w:rsidR="00375F54" w:rsidRPr="0080114F" w:rsidRDefault="00375F54" w:rsidP="00375F54">
      <w:pPr>
        <w:rPr>
          <w:sz w:val="26"/>
          <w:szCs w:val="26"/>
        </w:rPr>
      </w:pPr>
      <w:r w:rsidRPr="0080114F">
        <w:rPr>
          <w:sz w:val="26"/>
          <w:szCs w:val="26"/>
        </w:rPr>
        <w:t>Employers that rely on electronic posting to satisfy the posting requirement should review the complete access, delivery, and recordkeeping requirements. </w:t>
      </w:r>
    </w:p>
    <w:p w14:paraId="3B181BF0" w14:textId="77777777" w:rsidR="00375F54" w:rsidRDefault="00375F54" w:rsidP="00784E6F">
      <w:pPr>
        <w:jc w:val="center"/>
        <w:rPr>
          <w:rFonts w:ascii="Calibri" w:hAnsi="Calibri" w:cs="Calibri"/>
          <w:b/>
          <w:bCs/>
          <w:sz w:val="28"/>
          <w:szCs w:val="28"/>
          <w:shd w:val="clear" w:color="auto" w:fill="FFFFFF"/>
          <w:lang w:val="en"/>
        </w:rPr>
      </w:pPr>
    </w:p>
    <w:p w14:paraId="27CB7A32" w14:textId="2247E490"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Eliminates Subminimum Wage – </w:t>
      </w:r>
      <w:r w:rsidRPr="00DD7BD1">
        <w:rPr>
          <w:rFonts w:ascii="Calibri" w:hAnsi="Calibri" w:cs="Calibri"/>
          <w:b/>
          <w:bCs/>
          <w:color w:val="C00000"/>
          <w:sz w:val="28"/>
          <w:szCs w:val="28"/>
          <w:shd w:val="clear" w:color="auto" w:fill="FFFFFF"/>
          <w:lang w:val="en"/>
        </w:rPr>
        <w:t>Eff July 1, 2025</w:t>
      </w:r>
    </w:p>
    <w:p w14:paraId="710E5FCC" w14:textId="4879AA93"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July 1, 2025, Georgia will begin phasing out the subminimum wage for employees with disabilities.  </w:t>
      </w:r>
    </w:p>
    <w:p w14:paraId="2F4FDA7D" w14:textId="7E919DB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lastRenderedPageBreak/>
        <w:t>Employers with a valid U.S. Department of Labor (DOL) certificate that allows this practice and was issued </w:t>
      </w:r>
      <w:r w:rsidRPr="00DD7BD1">
        <w:rPr>
          <w:rFonts w:ascii="Calibri" w:hAnsi="Calibri" w:cs="Calibri"/>
          <w:i/>
          <w:iCs/>
          <w:shd w:val="clear" w:color="auto" w:fill="FFFFFF"/>
        </w:rPr>
        <w:t>on or before July 1, 2025</w:t>
      </w:r>
      <w:r w:rsidRPr="00DD7BD1">
        <w:rPr>
          <w:rFonts w:ascii="Calibri" w:hAnsi="Calibri" w:cs="Calibri"/>
          <w:shd w:val="clear" w:color="auto" w:fill="FFFFFF"/>
        </w:rPr>
        <w:t>, can continue to pay employees with disabilities less than the minimum wage for a limited time, but they’ll need to increase wages as follows: </w:t>
      </w:r>
    </w:p>
    <w:p w14:paraId="257DB8A4" w14:textId="77777777"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2026, they must pay at least half of the federal minimum wage </w:t>
      </w:r>
    </w:p>
    <w:p w14:paraId="0ACD9573" w14:textId="4AD83298"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2027, they must pay at least the federal minimum wage </w:t>
      </w:r>
    </w:p>
    <w:p w14:paraId="6DB3DA52" w14:textId="6319C43D"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in Georgia that did not get a valid DOL certificate by July 1, 2025, won’t be able to pay employees with disabilities less than the federal minimum</w:t>
      </w:r>
    </w:p>
    <w:p w14:paraId="0ED5521D" w14:textId="16484F90" w:rsidR="001C5F42" w:rsidRDefault="001C5F42" w:rsidP="00A942A1">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Hawaii</w:t>
      </w:r>
    </w:p>
    <w:p w14:paraId="19EB314D" w14:textId="77777777" w:rsidR="00A942A1" w:rsidRPr="00DD7BD1" w:rsidRDefault="00A942A1" w:rsidP="00A942A1">
      <w:pPr>
        <w:spacing w:after="0" w:line="240" w:lineRule="auto"/>
        <w:jc w:val="both"/>
        <w:rPr>
          <w:rFonts w:ascii="Calibri" w:hAnsi="Calibri" w:cs="Calibri"/>
          <w:b/>
          <w:bCs/>
          <w:color w:val="2E74B5" w:themeColor="accent5" w:themeShade="BF"/>
          <w:sz w:val="28"/>
          <w:szCs w:val="28"/>
          <w:shd w:val="clear" w:color="auto" w:fill="FFFFFF"/>
          <w:lang w:val="en"/>
        </w:rPr>
      </w:pPr>
    </w:p>
    <w:p w14:paraId="6ECF1FF3" w14:textId="77777777" w:rsidR="00A942A1" w:rsidRPr="001578A1" w:rsidRDefault="00A942A1" w:rsidP="00A942A1">
      <w:pPr>
        <w:spacing w:after="0" w:line="240" w:lineRule="auto"/>
        <w:rPr>
          <w:b/>
          <w:bCs/>
          <w:caps/>
          <w:noProof/>
          <w:color w:val="0E425C"/>
          <w:sz w:val="28"/>
          <w:szCs w:val="28"/>
          <w:u w:val="single"/>
        </w:rPr>
      </w:pPr>
      <w:r w:rsidRPr="001578A1">
        <w:rPr>
          <w:b/>
          <w:bCs/>
          <w:caps/>
          <w:color w:val="0070C0"/>
          <w:sz w:val="26"/>
          <w:szCs w:val="26"/>
        </w:rPr>
        <w:t xml:space="preserve">New! </w:t>
      </w:r>
      <w:r w:rsidRPr="001578A1">
        <w:rPr>
          <w:b/>
          <w:bCs/>
          <w:caps/>
          <w:noProof/>
          <w:color w:val="0E425C"/>
          <w:sz w:val="28"/>
          <w:szCs w:val="28"/>
        </w:rPr>
        <w:t xml:space="preserve">Family Leave to Cover MIlitary Exigencies Effective </w:t>
      </w:r>
      <w:r w:rsidRPr="001578A1">
        <w:rPr>
          <w:b/>
          <w:bCs/>
          <w:caps/>
          <w:color w:val="0070C0"/>
          <w:sz w:val="26"/>
          <w:szCs w:val="26"/>
        </w:rPr>
        <w:t>JUly 1, 2026</w:t>
      </w:r>
    </w:p>
    <w:p w14:paraId="1B09AA56" w14:textId="77777777" w:rsidR="00A942A1" w:rsidRPr="003633E8" w:rsidRDefault="00A942A1" w:rsidP="00A942A1">
      <w:pPr>
        <w:spacing w:after="0" w:line="240" w:lineRule="auto"/>
      </w:pPr>
      <w:r w:rsidRPr="003633E8">
        <w:t>Hawaii has</w:t>
      </w:r>
      <w:r>
        <w:t xml:space="preserve"> </w:t>
      </w:r>
      <w:hyperlink r:id="rId703" w:history="1">
        <w:r w:rsidRPr="00630C7A">
          <w:rPr>
            <w:rStyle w:val="Hyperlink"/>
          </w:rPr>
          <w:t>amended</w:t>
        </w:r>
      </w:hyperlink>
      <w:r>
        <w:t xml:space="preserve"> </w:t>
      </w:r>
      <w:r w:rsidRPr="003633E8">
        <w:t xml:space="preserve">the </w:t>
      </w:r>
      <w:hyperlink r:id="rId704" w:history="1">
        <w:r w:rsidRPr="00311402">
          <w:rPr>
            <w:rStyle w:val="Hyperlink"/>
          </w:rPr>
          <w:t>Hawaii Family Leave Law</w:t>
        </w:r>
      </w:hyperlink>
      <w:r>
        <w:t xml:space="preserve"> </w:t>
      </w:r>
      <w:r w:rsidRPr="003633E8">
        <w:t>(</w:t>
      </w:r>
      <w:hyperlink r:id="rId705" w:tgtFrame="_blank" w:history="1">
        <w:r w:rsidRPr="00727697">
          <w:rPr>
            <w:rStyle w:val="Hyperlink"/>
          </w:rPr>
          <w:t>HI S 3082</w:t>
        </w:r>
      </w:hyperlink>
      <w:r w:rsidRPr="003633E8">
        <w:t>) to add military exigencies as a permitted reason for leave.</w:t>
      </w:r>
    </w:p>
    <w:p w14:paraId="5CD85EDC" w14:textId="77777777" w:rsidR="00A942A1" w:rsidRPr="003633E8" w:rsidRDefault="00A942A1" w:rsidP="00A942A1">
      <w:pPr>
        <w:spacing w:after="0" w:line="240" w:lineRule="auto"/>
      </w:pPr>
      <w:r w:rsidRPr="003633E8">
        <w:rPr>
          <w:bCs/>
        </w:rPr>
        <w:t>The Hawaii Family Leave Law requires</w:t>
      </w:r>
      <w:r w:rsidRPr="003633E8">
        <w:rPr>
          <w:b/>
        </w:rPr>
        <w:t xml:space="preserve"> </w:t>
      </w:r>
      <w:r w:rsidRPr="003633E8">
        <w:rPr>
          <w:bCs/>
        </w:rPr>
        <w:t>e</w:t>
      </w:r>
      <w:r w:rsidRPr="003633E8">
        <w:t>mployer</w:t>
      </w:r>
      <w:r w:rsidRPr="003633E8">
        <w:rPr>
          <w:bCs/>
        </w:rPr>
        <w:t>s</w:t>
      </w:r>
      <w:r w:rsidRPr="003633E8">
        <w:t xml:space="preserve"> with 100 or more employees </w:t>
      </w:r>
      <w:r w:rsidRPr="003633E8">
        <w:rPr>
          <w:bCs/>
        </w:rPr>
        <w:t>to</w:t>
      </w:r>
      <w:r w:rsidRPr="003633E8">
        <w:rPr>
          <w:b/>
        </w:rPr>
        <w:t xml:space="preserve"> </w:t>
      </w:r>
      <w:r w:rsidRPr="003633E8">
        <w:t>provide eligible employee</w:t>
      </w:r>
      <w:r w:rsidRPr="003633E8">
        <w:rPr>
          <w:bCs/>
        </w:rPr>
        <w:t>s</w:t>
      </w:r>
      <w:r w:rsidRPr="003633E8">
        <w:t xml:space="preserve"> with up to four weeks of unpaid, job-protected leave per year for the birth or adoption of a child or </w:t>
      </w:r>
      <w:r w:rsidRPr="003633E8">
        <w:rPr>
          <w:bCs/>
        </w:rPr>
        <w:t>to care for specific family members</w:t>
      </w:r>
      <w:r w:rsidRPr="003633E8">
        <w:rPr>
          <w:b/>
        </w:rPr>
        <w:t xml:space="preserve"> </w:t>
      </w:r>
      <w:r w:rsidRPr="003633E8">
        <w:t>with a serious health condition. To be eligible, an employee must be employed for at least 6 consecutive months.</w:t>
      </w:r>
    </w:p>
    <w:p w14:paraId="73BC11E8" w14:textId="77777777" w:rsidR="00A942A1" w:rsidRPr="003633E8" w:rsidRDefault="00A942A1" w:rsidP="00A942A1">
      <w:pPr>
        <w:spacing w:after="0" w:line="240" w:lineRule="auto"/>
      </w:pPr>
      <w:r w:rsidRPr="003633E8">
        <w:t>The amendment adds to the law’s reasons for leave a qualifying exigency related to active-duty service by an employee’s child, spouse, reciprocal beneficiary, sibling, grandchild or parent in the United States armed forces. The amendment adopts the definition of qualifying exigency contained in the</w:t>
      </w:r>
      <w:r>
        <w:t xml:space="preserve"> </w:t>
      </w:r>
      <w:hyperlink r:id="rId706" w:history="1">
        <w:r w:rsidRPr="004F675A">
          <w:rPr>
            <w:rStyle w:val="Hyperlink"/>
          </w:rPr>
          <w:t>regulations</w:t>
        </w:r>
      </w:hyperlink>
      <w:r>
        <w:t xml:space="preserve"> </w:t>
      </w:r>
      <w:r w:rsidRPr="003633E8">
        <w:t>for the federal Family and Medical Leave Act (FMLA).</w:t>
      </w:r>
    </w:p>
    <w:p w14:paraId="1107F861" w14:textId="77777777" w:rsidR="00A942A1" w:rsidRPr="003633E8" w:rsidRDefault="00A942A1" w:rsidP="00A942A1">
      <w:pPr>
        <w:spacing w:after="0" w:line="240" w:lineRule="auto"/>
      </w:pPr>
      <w:r w:rsidRPr="003633E8">
        <w:t xml:space="preserve">Employers should note that the amendment to the Hawaii Family Leave Law allows military exigency leave related to the service of more family members than the FMLA, which covers only active duty of the employee’s spouse, son, daughter or parent. </w:t>
      </w:r>
    </w:p>
    <w:p w14:paraId="79D067E4" w14:textId="77777777" w:rsidR="00A942A1" w:rsidRPr="003633E8" w:rsidRDefault="00A942A1" w:rsidP="00A942A1">
      <w:pPr>
        <w:spacing w:after="0" w:line="240" w:lineRule="auto"/>
      </w:pPr>
      <w:r w:rsidRPr="003633E8">
        <w:t>The amendment also alters the law’s certification requirements, allowing employers to require a copy of official military orders as documentation of the need for leave for a military exigency.</w:t>
      </w:r>
    </w:p>
    <w:p w14:paraId="5E8E4C40" w14:textId="77777777" w:rsidR="00A942A1" w:rsidRPr="00A942A1" w:rsidRDefault="00A942A1" w:rsidP="00A942A1">
      <w:pPr>
        <w:spacing w:after="0" w:line="240" w:lineRule="auto"/>
        <w:jc w:val="center"/>
        <w:rPr>
          <w:rFonts w:ascii="Calibri" w:hAnsi="Calibri" w:cs="Calibri"/>
          <w:b/>
          <w:bCs/>
          <w:shd w:val="clear" w:color="auto" w:fill="FFFFFF"/>
          <w:lang w:val="en"/>
        </w:rPr>
      </w:pPr>
    </w:p>
    <w:p w14:paraId="52C3A064" w14:textId="5A432FD1" w:rsidR="000E6A4D" w:rsidRPr="00DD7BD1" w:rsidRDefault="000E6A4D" w:rsidP="00A942A1">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Minimum Wage Increases – </w:t>
      </w:r>
      <w:r w:rsidRPr="00DD7BD1">
        <w:rPr>
          <w:rFonts w:ascii="Calibri" w:hAnsi="Calibri" w:cs="Calibri"/>
          <w:b/>
          <w:bCs/>
          <w:color w:val="C00000"/>
          <w:sz w:val="28"/>
          <w:szCs w:val="28"/>
          <w:shd w:val="clear" w:color="auto" w:fill="FFFFFF"/>
          <w:lang w:val="en"/>
        </w:rPr>
        <w:t>Jan 1, 2026</w:t>
      </w:r>
    </w:p>
    <w:p w14:paraId="05FE999E" w14:textId="7EA2673B" w:rsidR="008C12F1" w:rsidRPr="00DD7BD1" w:rsidRDefault="000E6A4D" w:rsidP="000E6A4D">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Hawaii’s minimum wage will increase to $16 per hour. The minimum base wage for tipped employees will increase to $14.75 per hour. Note that employers can </w:t>
      </w:r>
      <w:r w:rsidRPr="00DD7BD1">
        <w:rPr>
          <w:rFonts w:ascii="Calibri" w:hAnsi="Calibri" w:cs="Calibri"/>
          <w:i/>
          <w:iCs/>
          <w:shd w:val="clear" w:color="auto" w:fill="FFFFFF"/>
        </w:rPr>
        <w:t>only </w:t>
      </w:r>
      <w:r w:rsidRPr="00DD7BD1">
        <w:rPr>
          <w:rFonts w:ascii="Calibri" w:hAnsi="Calibri" w:cs="Calibri"/>
          <w:shd w:val="clear" w:color="auto" w:fill="FFFFFF"/>
        </w:rPr>
        <w:t>pay the base wage if the employee earns at least $23 per hour, including their tips.</w:t>
      </w:r>
    </w:p>
    <w:p w14:paraId="162CFD1B" w14:textId="302E945E"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Captive Audience Ban – July 2, 2024</w:t>
      </w:r>
    </w:p>
    <w:p w14:paraId="56F6BBEA" w14:textId="5299A5B9" w:rsidR="000F6584" w:rsidRPr="00DD7BD1" w:rsidRDefault="000F6584" w:rsidP="000F6584">
      <w:pPr>
        <w:spacing w:after="0" w:line="240" w:lineRule="auto"/>
        <w:rPr>
          <w:rFonts w:ascii="Calibri" w:hAnsi="Calibri" w:cs="Calibri"/>
        </w:rPr>
      </w:pPr>
      <w:r w:rsidRPr="00DD7BD1">
        <w:rPr>
          <w:rFonts w:ascii="Calibri" w:hAnsi="Calibri" w:cs="Calibri"/>
        </w:rPr>
        <w:t xml:space="preserve">Hawaii enacted a </w:t>
      </w:r>
      <w:hyperlink r:id="rId707" w:history="1">
        <w:r w:rsidRPr="00DD7BD1">
          <w:rPr>
            <w:rStyle w:val="Hyperlink"/>
            <w:rFonts w:ascii="Calibri" w:hAnsi="Calibri" w:cs="Calibri"/>
          </w:rPr>
          <w:t>captive audience ban</w:t>
        </w:r>
      </w:hyperlink>
      <w:r w:rsidRPr="00DD7BD1">
        <w:rPr>
          <w:rFonts w:ascii="Calibri" w:hAnsi="Calibri" w:cs="Calibri"/>
        </w:rPr>
        <w:t xml:space="preserve">, protecting workers from retaliation for refusing to attend meetings or listen to their employer’s speech on political matters. The new law, </w:t>
      </w:r>
      <w:hyperlink r:id="rId708" w:tgtFrame="_blank" w:history="1">
        <w:r w:rsidRPr="00DD7BD1">
          <w:rPr>
            <w:rStyle w:val="Hyperlink"/>
            <w:rFonts w:ascii="Calibri" w:hAnsi="Calibri" w:cs="Calibri"/>
            <w:shd w:val="clear" w:color="auto" w:fill="FFFFFF"/>
          </w:rPr>
          <w:t>HI S 2715</w:t>
        </w:r>
      </w:hyperlink>
      <w:r w:rsidRPr="00DD7BD1">
        <w:rPr>
          <w:rStyle w:val="Hyperlink"/>
          <w:rFonts w:ascii="Calibri" w:hAnsi="Calibri" w:cs="Calibri"/>
          <w:shd w:val="clear" w:color="auto" w:fill="FFFFFF"/>
        </w:rPr>
        <w:t>,</w:t>
      </w:r>
      <w:r w:rsidRPr="00DD7BD1">
        <w:rPr>
          <w:rFonts w:ascii="Calibri" w:hAnsi="Calibri" w:cs="Calibri"/>
        </w:rPr>
        <w:t xml:space="preserve"> became effective on July 2, 2024.</w:t>
      </w:r>
      <w:r w:rsidRPr="00DD7BD1">
        <w:rPr>
          <w:rFonts w:ascii="Calibri" w:hAnsi="Calibri" w:cs="Calibri"/>
          <w:shd w:val="clear" w:color="auto" w:fill="FFFFFF"/>
        </w:rPr>
        <w:t> </w:t>
      </w:r>
    </w:p>
    <w:p w14:paraId="5293E84F" w14:textId="77777777" w:rsidR="000F6584" w:rsidRPr="00DD7BD1" w:rsidRDefault="000F6584" w:rsidP="000F6584">
      <w:pPr>
        <w:spacing w:after="0" w:line="240" w:lineRule="auto"/>
        <w:rPr>
          <w:rFonts w:ascii="Calibri" w:hAnsi="Calibri" w:cs="Calibri"/>
        </w:rPr>
      </w:pPr>
      <w:r w:rsidRPr="00DD7BD1">
        <w:rPr>
          <w:rFonts w:ascii="Calibri" w:hAnsi="Calibri" w:cs="Calibri"/>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DD7BD1" w:rsidRDefault="000F6584" w:rsidP="000F6584">
      <w:pPr>
        <w:spacing w:after="0" w:line="240" w:lineRule="auto"/>
        <w:rPr>
          <w:rFonts w:ascii="Calibri" w:hAnsi="Calibri" w:cs="Calibri"/>
        </w:rPr>
      </w:pPr>
    </w:p>
    <w:p w14:paraId="3CBCA227" w14:textId="77777777" w:rsidR="000F6584" w:rsidRPr="00DD7BD1" w:rsidRDefault="000F6584" w:rsidP="000F6584">
      <w:pPr>
        <w:spacing w:after="0" w:line="240" w:lineRule="auto"/>
        <w:rPr>
          <w:rFonts w:ascii="Calibri" w:hAnsi="Calibri" w:cs="Calibri"/>
        </w:rPr>
      </w:pPr>
      <w:r w:rsidRPr="00DD7BD1">
        <w:rPr>
          <w:rFonts w:ascii="Calibri" w:hAnsi="Calibri" w:cs="Calibri"/>
        </w:rPr>
        <w:t>The new law prohibits employers from discharging, disciplining, or otherwise penalizing or threatening any adverse employment action against an employee because they decline to:</w:t>
      </w:r>
    </w:p>
    <w:p w14:paraId="2BA57BF9" w14:textId="77777777" w:rsidR="000F6584" w:rsidRPr="00DD7BD1" w:rsidRDefault="000F6584" w:rsidP="000F6584">
      <w:pPr>
        <w:pStyle w:val="Bullet"/>
        <w:spacing w:line="240" w:lineRule="auto"/>
        <w:ind w:left="576" w:hanging="288"/>
        <w:rPr>
          <w:rFonts w:cs="Calibri"/>
          <w:color w:val="auto"/>
        </w:rPr>
      </w:pPr>
      <w:r w:rsidRPr="00DD7BD1">
        <w:rPr>
          <w:rFonts w:cs="Calibri"/>
          <w:color w:val="auto"/>
        </w:rPr>
        <w:t>Attend or participate in an employer-sponsored meeting, or any portion of a meeting, that communicates the employer’s opinions about political matters; or</w:t>
      </w:r>
    </w:p>
    <w:p w14:paraId="0691D614" w14:textId="5C66C052" w:rsidR="000F6584" w:rsidRPr="00DD7BD1" w:rsidRDefault="00486FF8" w:rsidP="000F6584">
      <w:pPr>
        <w:pStyle w:val="Bullet"/>
        <w:spacing w:line="240" w:lineRule="auto"/>
        <w:ind w:left="576" w:hanging="288"/>
        <w:rPr>
          <w:rFonts w:cs="Calibri"/>
          <w:color w:val="auto"/>
        </w:rPr>
      </w:pPr>
      <w:proofErr w:type="spellStart"/>
      <w:r>
        <w:rPr>
          <w:rFonts w:cs="Calibri"/>
          <w:color w:val="auto"/>
        </w:rPr>
        <w:t>jerset</w:t>
      </w:r>
      <w:r w:rsidR="000F6584" w:rsidRPr="00DD7BD1">
        <w:rPr>
          <w:rFonts w:cs="Calibri"/>
          <w:color w:val="auto"/>
        </w:rPr>
        <w:t>Receive</w:t>
      </w:r>
      <w:proofErr w:type="spellEnd"/>
      <w:r w:rsidR="000F6584" w:rsidRPr="00DD7BD1">
        <w:rPr>
          <w:rFonts w:cs="Calibri"/>
          <w:color w:val="auto"/>
        </w:rPr>
        <w:t xml:space="preserve"> or listen to a communication from the employer that communicates the employer’s opinions about political matters. </w:t>
      </w:r>
    </w:p>
    <w:p w14:paraId="23CE6FD8" w14:textId="77777777" w:rsidR="000F6584" w:rsidRPr="00DD7BD1" w:rsidRDefault="000F6584" w:rsidP="000F6584">
      <w:pPr>
        <w:pStyle w:val="Bullet"/>
        <w:numPr>
          <w:ilvl w:val="0"/>
          <w:numId w:val="0"/>
        </w:numPr>
        <w:spacing w:line="240" w:lineRule="auto"/>
        <w:rPr>
          <w:rFonts w:cs="Calibri"/>
          <w:color w:val="auto"/>
        </w:rPr>
      </w:pPr>
      <w:r w:rsidRPr="00DD7BD1">
        <w:rPr>
          <w:rFonts w:cs="Calibri"/>
          <w:color w:val="auto"/>
        </w:rPr>
        <w:t xml:space="preserve">Under the new law, “political matters” means anything related to an attempt to influence a future vote made by individuals in an audience. </w:t>
      </w:r>
    </w:p>
    <w:p w14:paraId="7C046212" w14:textId="39ABA076" w:rsidR="007555BC" w:rsidRPr="00DD7BD1" w:rsidRDefault="000F6584" w:rsidP="00503F70">
      <w:pPr>
        <w:spacing w:after="0" w:line="240" w:lineRule="auto"/>
        <w:rPr>
          <w:rFonts w:ascii="Calibri" w:hAnsi="Calibri" w:cs="Calibri"/>
        </w:rPr>
      </w:pPr>
      <w:r w:rsidRPr="00DD7BD1">
        <w:rPr>
          <w:rFonts w:ascii="Calibri" w:hAnsi="Calibri" w:cs="Calibri"/>
        </w:rPr>
        <w:t xml:space="preserve">The new law does </w:t>
      </w:r>
      <w:r w:rsidRPr="00DD7BD1">
        <w:rPr>
          <w:rFonts w:ascii="Calibri" w:hAnsi="Calibri" w:cs="Calibri"/>
          <w:b/>
          <w:bCs/>
        </w:rPr>
        <w:t>not</w:t>
      </w:r>
      <w:r w:rsidRPr="00DD7BD1">
        <w:rPr>
          <w:rFonts w:ascii="Calibri" w:hAnsi="Calibri" w:cs="Calibri"/>
        </w:rPr>
        <w:t xml:space="preserve"> prohibit an employer from conducting meetings or engaging in communications involving political matters </w:t>
      </w:r>
      <w:proofErr w:type="gramStart"/>
      <w:r w:rsidRPr="00DD7BD1">
        <w:rPr>
          <w:rFonts w:ascii="Calibri" w:hAnsi="Calibri" w:cs="Calibri"/>
        </w:rPr>
        <w:t>as long as</w:t>
      </w:r>
      <w:proofErr w:type="gramEnd"/>
      <w:r w:rsidRPr="00DD7BD1">
        <w:rPr>
          <w:rFonts w:ascii="Calibri" w:hAnsi="Calibri" w:cs="Calibri"/>
        </w:rPr>
        <w:t xml:space="preserve"> attendance by the employee is entirely voluntary. </w:t>
      </w:r>
    </w:p>
    <w:p w14:paraId="24F611E7" w14:textId="77777777" w:rsidR="003B29FD" w:rsidRPr="00DD7BD1" w:rsidRDefault="003B29FD"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759D5855" w14:textId="305298FC" w:rsidR="0036492C" w:rsidRPr="00DD7BD1" w:rsidRDefault="00022BF0" w:rsidP="0036492C">
      <w:pPr>
        <w:tabs>
          <w:tab w:val="left" w:pos="1650"/>
        </w:tabs>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Illinois</w:t>
      </w:r>
      <w:bookmarkStart w:id="85" w:name="_Hlk186728023"/>
    </w:p>
    <w:p w14:paraId="543B100A" w14:textId="2FF96234" w:rsidR="00AE1E15" w:rsidRDefault="00AE1E15" w:rsidP="00AE1E15">
      <w:pPr>
        <w:rPr>
          <w:b/>
          <w:bCs/>
          <w:caps/>
          <w:color w:val="0070C0"/>
          <w:sz w:val="28"/>
          <w:szCs w:val="28"/>
        </w:rPr>
      </w:pPr>
      <w:bookmarkStart w:id="86" w:name="_Hlk213073419"/>
      <w:bookmarkStart w:id="87" w:name="_Hlk205277861"/>
      <w:r w:rsidRPr="009E5C5C">
        <w:rPr>
          <w:b/>
          <w:bCs/>
          <w:caps/>
          <w:noProof/>
          <w:color w:val="0E425C"/>
          <w:sz w:val="28"/>
          <w:szCs w:val="28"/>
        </w:rPr>
        <w:t>State Bans Disparate Impact Discrimination Effective</w:t>
      </w:r>
      <w:r w:rsidRPr="009E5C5C">
        <w:rPr>
          <w:b/>
          <w:bCs/>
          <w:caps/>
          <w:color w:val="0070C0"/>
          <w:sz w:val="28"/>
          <w:szCs w:val="28"/>
        </w:rPr>
        <w:t xml:space="preserve"> January 1, 2027</w:t>
      </w:r>
    </w:p>
    <w:p w14:paraId="78E33A07" w14:textId="77777777" w:rsidR="00AE1E15" w:rsidRPr="00440814" w:rsidRDefault="00AE1E15" w:rsidP="00AE1E15">
      <w:pPr>
        <w:rPr>
          <w:sz w:val="26"/>
          <w:szCs w:val="26"/>
        </w:rPr>
      </w:pPr>
      <w:r w:rsidRPr="00440814">
        <w:rPr>
          <w:sz w:val="26"/>
          <w:szCs w:val="26"/>
        </w:rPr>
        <w:lastRenderedPageBreak/>
        <w:t xml:space="preserve">Illinois has passed the </w:t>
      </w:r>
      <w:hyperlink r:id="rId709" w:history="1">
        <w:r w:rsidRPr="00440814">
          <w:rPr>
            <w:rStyle w:val="Hyperlink"/>
            <w:sz w:val="26"/>
            <w:szCs w:val="26"/>
          </w:rPr>
          <w:t>Civil Rights Safeguard Act (Act)</w:t>
        </w:r>
      </w:hyperlink>
      <w:r w:rsidRPr="00440814">
        <w:rPr>
          <w:sz w:val="26"/>
          <w:szCs w:val="26"/>
        </w:rPr>
        <w:t>.</w:t>
      </w:r>
      <w:r>
        <w:t xml:space="preserve"> </w:t>
      </w:r>
      <w:r w:rsidRPr="00440814">
        <w:rPr>
          <w:sz w:val="26"/>
          <w:szCs w:val="26"/>
        </w:rPr>
        <w:t>The Act amends the Illinois Human Rights Act (IHRA) to prohibit policies and practices that have a disparate impact on protected groups (i.e., policies that are facially neutral, but result in discriminatory effects).</w:t>
      </w:r>
    </w:p>
    <w:p w14:paraId="40361C0C" w14:textId="77777777" w:rsidR="00AE1E15" w:rsidRDefault="00AE1E15" w:rsidP="00AE1E15">
      <w:pPr>
        <w:rPr>
          <w:sz w:val="26"/>
          <w:szCs w:val="26"/>
        </w:rPr>
      </w:pPr>
      <w:r w:rsidRPr="00440814">
        <w:rPr>
          <w:sz w:val="26"/>
          <w:szCs w:val="26"/>
        </w:rPr>
        <w:t xml:space="preserve">The IHRA prohibits employers with one or more employees in 20 or more calendar weeks during the current or preceding calendar year from discriminating against individuals because of their protected trait (including but not limited to race, color, religion, national origin, ancestry, age, sex, marital status, disability, citizenship status, arrest or conviction record, work authorization status and family responsibilities). </w:t>
      </w:r>
    </w:p>
    <w:p w14:paraId="76DEDBC9" w14:textId="0D392D5A" w:rsidR="00AE1E15" w:rsidRDefault="00AE1E15" w:rsidP="00AE1E15">
      <w:pPr>
        <w:rPr>
          <w:sz w:val="26"/>
          <w:szCs w:val="26"/>
        </w:rPr>
      </w:pPr>
      <w:r w:rsidRPr="009E5C5C">
        <w:rPr>
          <w:b/>
          <w:bCs/>
          <w:caps/>
          <w:noProof/>
          <w:color w:val="0E425C"/>
          <w:sz w:val="28"/>
          <w:szCs w:val="28"/>
        </w:rPr>
        <w:t xml:space="preserve">Paid Jury Leave Effective </w:t>
      </w:r>
      <w:r w:rsidRPr="009E5C5C">
        <w:rPr>
          <w:b/>
          <w:bCs/>
          <w:caps/>
          <w:color w:val="0070C0"/>
          <w:sz w:val="28"/>
          <w:szCs w:val="28"/>
        </w:rPr>
        <w:t>January 1, 2027</w:t>
      </w:r>
    </w:p>
    <w:p w14:paraId="5EA2AFA5" w14:textId="77777777" w:rsidR="00AE1E15" w:rsidRPr="00F27163" w:rsidRDefault="00AE1E15" w:rsidP="00AE1E15">
      <w:r w:rsidRPr="00F27163">
        <w:t>With the passing of</w:t>
      </w:r>
      <w:r>
        <w:t xml:space="preserve"> </w:t>
      </w:r>
      <w:hyperlink r:id="rId710" w:history="1">
        <w:r w:rsidRPr="00636C25">
          <w:rPr>
            <w:rStyle w:val="Hyperlink"/>
          </w:rPr>
          <w:t>HB4844</w:t>
        </w:r>
      </w:hyperlink>
      <w:r w:rsidRPr="00F27163">
        <w:t>, employers with at least 26 employees will be required to compensate employees at their regular rate of pay while they are on leave for jury service at the start of 2027.</w:t>
      </w:r>
    </w:p>
    <w:p w14:paraId="22393013" w14:textId="77777777" w:rsidR="00AE1E15" w:rsidRPr="00F27163" w:rsidRDefault="00AE1E15" w:rsidP="00AE1E15">
      <w:r w:rsidRPr="00F27163">
        <w:t>The regulations do not stipulate whether the employee count is applicable to employees in Illinois or enterprise-wide; until further guidance is issued, employers should consider using a conservative total headcount approach when assessing applicability of the recent enactment.</w:t>
      </w:r>
    </w:p>
    <w:p w14:paraId="0F4D889F" w14:textId="36352A68" w:rsidR="00AE1E15" w:rsidRDefault="00AE1E15" w:rsidP="00A942A1">
      <w:r w:rsidRPr="00F27163">
        <w:t>Employers with more than 25 employees should prepare to comply with the new regulations which could mean revising policies and practices as well as ensuring an additional payroll pay code for jury duty is set up to be applicable to Illinois employees.</w:t>
      </w:r>
    </w:p>
    <w:p w14:paraId="53AD072E" w14:textId="77777777" w:rsidR="00AE1E15" w:rsidRPr="00AE1E15" w:rsidRDefault="00AE1E15" w:rsidP="00A942A1"/>
    <w:p w14:paraId="08B35952" w14:textId="2B239666" w:rsidR="00A942A1" w:rsidRPr="001578A1" w:rsidRDefault="00A942A1" w:rsidP="00A942A1">
      <w:pPr>
        <w:rPr>
          <w:b/>
          <w:bCs/>
          <w:caps/>
          <w:noProof/>
          <w:color w:val="0E425C"/>
          <w:sz w:val="26"/>
          <w:szCs w:val="26"/>
        </w:rPr>
      </w:pPr>
      <w:r w:rsidRPr="001578A1">
        <w:rPr>
          <w:b/>
          <w:bCs/>
          <w:caps/>
          <w:noProof/>
          <w:color w:val="0E425C"/>
          <w:sz w:val="26"/>
          <w:szCs w:val="26"/>
        </w:rPr>
        <w:t>UPDATE: Temporary Withdrawal of Proposed Rules on Use of AI in Employment Decision Making</w:t>
      </w:r>
    </w:p>
    <w:p w14:paraId="63764C58" w14:textId="77777777" w:rsidR="00A942A1" w:rsidRPr="005F62AD" w:rsidRDefault="00A942A1" w:rsidP="00A942A1">
      <w:r>
        <w:t>T</w:t>
      </w:r>
      <w:r w:rsidRPr="005F62AD">
        <w:t>he Illinois Department of Human Rights recently announced that it is temporarily withdrawing the proposed rules it released, which implemented the AI notice requirements applicable to employers who use artificial intelligence for employment processes</w:t>
      </w:r>
      <w:r>
        <w:t xml:space="preserve"> (under </w:t>
      </w:r>
      <w:r w:rsidRPr="005F62AD">
        <w:t>HB 3773</w:t>
      </w:r>
      <w:r>
        <w:t>)</w:t>
      </w:r>
      <w:r w:rsidRPr="005F62AD">
        <w:t>. The public hearing originally scheduled for June 10, 2026, has been canceled. Although the proposed rules have been withdrawn, the underlying statutory obligations under HB 3773 remain in effect, while the contours of compliant notice in Illinois remain unclear. Despite the withdrawn status, the proposed rules provide helpful context regarding what may be required from Illinois employers.</w:t>
      </w:r>
      <w:r>
        <w:t xml:space="preserve"> Additionally, t</w:t>
      </w:r>
      <w:r w:rsidRPr="005F62AD">
        <w:t>he temporary postponement of IDHR’s proposed rulemaking provides employers with additional time but should not be treated as an invitation to pause compliance planning.</w:t>
      </w:r>
    </w:p>
    <w:p w14:paraId="4C5BB697" w14:textId="77777777" w:rsidR="00A942A1" w:rsidRDefault="00A942A1" w:rsidP="00A942A1">
      <w:pPr>
        <w:rPr>
          <w:b/>
          <w:bCs/>
          <w:caps/>
          <w:noProof/>
          <w:color w:val="0E425C"/>
          <w:sz w:val="26"/>
          <w:szCs w:val="26"/>
        </w:rPr>
      </w:pPr>
      <w:r w:rsidRPr="00674308">
        <w:rPr>
          <w:b/>
          <w:bCs/>
          <w:caps/>
          <w:noProof/>
          <w:color w:val="0E425C"/>
          <w:sz w:val="26"/>
          <w:szCs w:val="26"/>
        </w:rPr>
        <w:t>Reminder</w:t>
      </w:r>
      <w:r>
        <w:rPr>
          <w:b/>
          <w:bCs/>
          <w:caps/>
          <w:noProof/>
          <w:color w:val="0E425C"/>
          <w:sz w:val="26"/>
          <w:szCs w:val="26"/>
        </w:rPr>
        <w:t>S</w:t>
      </w:r>
      <w:r w:rsidRPr="00674308">
        <w:rPr>
          <w:b/>
          <w:bCs/>
          <w:caps/>
          <w:noProof/>
          <w:color w:val="0E425C"/>
          <w:sz w:val="26"/>
          <w:szCs w:val="26"/>
        </w:rPr>
        <w:t xml:space="preserve">: </w:t>
      </w:r>
    </w:p>
    <w:p w14:paraId="7578AAE6" w14:textId="77777777" w:rsidR="00A942A1" w:rsidRDefault="00A942A1">
      <w:pPr>
        <w:pStyle w:val="ListParagraph"/>
        <w:numPr>
          <w:ilvl w:val="0"/>
          <w:numId w:val="370"/>
        </w:numPr>
        <w:spacing w:after="100" w:line="276" w:lineRule="auto"/>
        <w:rPr>
          <w:caps/>
          <w:color w:val="0070C0"/>
        </w:rPr>
      </w:pPr>
      <w:r w:rsidRPr="0095799A">
        <w:rPr>
          <w:caps/>
          <w:noProof/>
          <w:color w:val="0E425C"/>
        </w:rPr>
        <w:t>Local Minimum Wage increases Effective</w:t>
      </w:r>
      <w:r>
        <w:rPr>
          <w:caps/>
          <w:color w:val="0070C0"/>
        </w:rPr>
        <w:t xml:space="preserve"> July 1, 2026</w:t>
      </w:r>
    </w:p>
    <w:p w14:paraId="314136E9" w14:textId="77777777" w:rsidR="00A942A1" w:rsidRPr="0095799A" w:rsidRDefault="00A942A1">
      <w:pPr>
        <w:pStyle w:val="ListParagraph"/>
        <w:numPr>
          <w:ilvl w:val="1"/>
          <w:numId w:val="370"/>
        </w:numPr>
        <w:spacing w:after="100" w:line="276" w:lineRule="auto"/>
      </w:pPr>
      <w:r w:rsidRPr="0095799A">
        <w:t>Chicago</w:t>
      </w:r>
    </w:p>
    <w:p w14:paraId="2DE45E24" w14:textId="77777777" w:rsidR="00A942A1" w:rsidRPr="0095799A" w:rsidRDefault="00A942A1">
      <w:pPr>
        <w:pStyle w:val="ListParagraph"/>
        <w:numPr>
          <w:ilvl w:val="1"/>
          <w:numId w:val="370"/>
        </w:numPr>
        <w:spacing w:after="100" w:line="276" w:lineRule="auto"/>
      </w:pPr>
      <w:r w:rsidRPr="0095799A">
        <w:t>Cook County</w:t>
      </w:r>
    </w:p>
    <w:p w14:paraId="2CFC4839" w14:textId="77777777" w:rsidR="00A942A1" w:rsidRPr="0055141A" w:rsidRDefault="00A942A1">
      <w:pPr>
        <w:pStyle w:val="ListParagraph"/>
        <w:numPr>
          <w:ilvl w:val="0"/>
          <w:numId w:val="370"/>
        </w:numPr>
        <w:spacing w:after="100" w:line="276" w:lineRule="auto"/>
        <w:rPr>
          <w:caps/>
          <w:color w:val="0070C0"/>
        </w:rPr>
      </w:pPr>
      <w:r w:rsidRPr="0055141A">
        <w:rPr>
          <w:caps/>
          <w:noProof/>
          <w:color w:val="0E425C"/>
          <w:u w:val="single"/>
        </w:rPr>
        <w:t>Chicago</w:t>
      </w:r>
      <w:r w:rsidRPr="0055141A">
        <w:rPr>
          <w:caps/>
          <w:noProof/>
          <w:color w:val="0E425C"/>
        </w:rPr>
        <w:t xml:space="preserve"> Refines Paid Leave Rules Effective </w:t>
      </w:r>
      <w:r w:rsidRPr="0055141A">
        <w:rPr>
          <w:caps/>
          <w:color w:val="0070C0"/>
        </w:rPr>
        <w:t>June 1, 2026</w:t>
      </w:r>
    </w:p>
    <w:p w14:paraId="656B6E93" w14:textId="77777777" w:rsidR="00A942A1" w:rsidRDefault="00A942A1">
      <w:pPr>
        <w:pStyle w:val="ListParagraph"/>
        <w:numPr>
          <w:ilvl w:val="0"/>
          <w:numId w:val="370"/>
        </w:numPr>
        <w:spacing w:after="100" w:line="276" w:lineRule="auto"/>
        <w:rPr>
          <w:caps/>
          <w:color w:val="0070C0"/>
        </w:rPr>
      </w:pPr>
      <w:r w:rsidRPr="0055141A">
        <w:rPr>
          <w:caps/>
          <w:noProof/>
          <w:color w:val="0E425C"/>
          <w:u w:val="single"/>
        </w:rPr>
        <w:t>Chicago</w:t>
      </w:r>
      <w:r w:rsidRPr="0055141A">
        <w:rPr>
          <w:caps/>
          <w:noProof/>
          <w:color w:val="0E425C"/>
        </w:rPr>
        <w:t xml:space="preserve"> Amends Fair Workweek Rules Effective </w:t>
      </w:r>
      <w:r w:rsidRPr="0055141A">
        <w:rPr>
          <w:caps/>
          <w:color w:val="0070C0"/>
        </w:rPr>
        <w:t>June 1, 2026</w:t>
      </w:r>
    </w:p>
    <w:p w14:paraId="657DDC42" w14:textId="77777777" w:rsidR="00A942A1" w:rsidRPr="003B104F" w:rsidRDefault="00A942A1">
      <w:pPr>
        <w:pStyle w:val="ListParagraph"/>
        <w:numPr>
          <w:ilvl w:val="1"/>
          <w:numId w:val="370"/>
        </w:numPr>
        <w:spacing w:after="100" w:line="276" w:lineRule="auto"/>
      </w:pPr>
      <w:r w:rsidRPr="003B104F">
        <w:t>The threshold for coverage under the Fair Workweek Ordinance will increase to            $64,945.55/year (if salaried) or $33.85/hour (if paid hourly). </w:t>
      </w:r>
    </w:p>
    <w:p w14:paraId="2877CE88" w14:textId="77777777" w:rsidR="00A942A1" w:rsidRDefault="00A942A1">
      <w:pPr>
        <w:pStyle w:val="ListParagraph"/>
        <w:numPr>
          <w:ilvl w:val="0"/>
          <w:numId w:val="370"/>
        </w:numPr>
        <w:spacing w:after="100" w:line="276" w:lineRule="auto"/>
        <w:rPr>
          <w:caps/>
          <w:color w:val="0070C0"/>
        </w:rPr>
      </w:pPr>
      <w:r w:rsidRPr="0055141A">
        <w:rPr>
          <w:caps/>
          <w:noProof/>
          <w:color w:val="0E425C"/>
        </w:rPr>
        <w:t>State’s Neonatal Intensive Care Leave Effective</w:t>
      </w:r>
      <w:r w:rsidRPr="0055141A">
        <w:rPr>
          <w:caps/>
          <w:color w:val="0070C0"/>
        </w:rPr>
        <w:t xml:space="preserve"> June 1, 2026</w:t>
      </w:r>
    </w:p>
    <w:p w14:paraId="1907FA99" w14:textId="3832340F" w:rsidR="00A942A1" w:rsidRPr="00A942A1" w:rsidRDefault="00A942A1">
      <w:pPr>
        <w:pStyle w:val="ListParagraph"/>
        <w:numPr>
          <w:ilvl w:val="1"/>
          <w:numId w:val="370"/>
        </w:numPr>
        <w:spacing w:after="100" w:line="276" w:lineRule="auto"/>
      </w:pPr>
      <w:r w:rsidRPr="00D73E9C">
        <w:t xml:space="preserve">Il State Handbook Addenda updated to </w:t>
      </w:r>
      <w:proofErr w:type="spellStart"/>
      <w:r w:rsidRPr="00D73E9C">
        <w:t>reflecT</w:t>
      </w:r>
      <w:proofErr w:type="spellEnd"/>
      <w:r w:rsidRPr="00D73E9C">
        <w:t xml:space="preserve"> new Leave and p</w:t>
      </w:r>
      <w:r>
        <w:t>u</w:t>
      </w:r>
      <w:r w:rsidRPr="00D73E9C">
        <w:t xml:space="preserve">blished </w:t>
      </w:r>
      <w:r>
        <w:t xml:space="preserve">Dec </w:t>
      </w:r>
      <w:r w:rsidRPr="00D73E9C">
        <w:t>2025</w:t>
      </w:r>
    </w:p>
    <w:p w14:paraId="4747F0F6" w14:textId="29541074" w:rsidR="00C6528C" w:rsidRDefault="00C6528C" w:rsidP="00C6528C">
      <w:pPr>
        <w:rPr>
          <w:b/>
          <w:bCs/>
          <w:caps/>
          <w:color w:val="0070C0"/>
          <w:sz w:val="26"/>
          <w:szCs w:val="26"/>
        </w:rPr>
      </w:pPr>
      <w:r w:rsidRPr="004B7BC8">
        <w:rPr>
          <w:b/>
          <w:bCs/>
          <w:caps/>
          <w:color w:val="0070C0"/>
          <w:sz w:val="26"/>
          <w:szCs w:val="26"/>
        </w:rPr>
        <w:t xml:space="preserve">New! </w:t>
      </w:r>
      <w:r w:rsidRPr="00652DB1">
        <w:rPr>
          <w:b/>
          <w:bCs/>
          <w:caps/>
          <w:noProof/>
          <w:color w:val="0E425C"/>
          <w:sz w:val="26"/>
          <w:szCs w:val="26"/>
          <w:u w:val="single"/>
        </w:rPr>
        <w:t>Chicago</w:t>
      </w:r>
      <w:r w:rsidRPr="004B7BC8">
        <w:rPr>
          <w:b/>
          <w:bCs/>
          <w:caps/>
          <w:noProof/>
          <w:color w:val="0E425C"/>
          <w:sz w:val="26"/>
          <w:szCs w:val="26"/>
        </w:rPr>
        <w:t xml:space="preserve"> Refines Paid Leave Rules Effective </w:t>
      </w:r>
      <w:r w:rsidRPr="004B7BC8">
        <w:rPr>
          <w:b/>
          <w:bCs/>
          <w:caps/>
          <w:color w:val="0070C0"/>
          <w:sz w:val="26"/>
          <w:szCs w:val="26"/>
        </w:rPr>
        <w:t>June 1, 2026</w:t>
      </w:r>
    </w:p>
    <w:p w14:paraId="2DF3DB38" w14:textId="77777777" w:rsidR="00C6528C" w:rsidRDefault="00C6528C" w:rsidP="00C6528C">
      <w:pPr>
        <w:rPr>
          <w:rFonts w:eastAsia="Times New Roman"/>
        </w:rPr>
      </w:pPr>
      <w:r w:rsidRPr="006A70D0">
        <w:rPr>
          <w:rFonts w:eastAsia="Times New Roman"/>
        </w:rPr>
        <w:lastRenderedPageBreak/>
        <w:t>The City of Chicago has finalized </w:t>
      </w:r>
      <w:hyperlink r:id="rId711" w:tgtFrame="_blank" w:history="1">
        <w:r w:rsidRPr="006646FE">
          <w:rPr>
            <w:rStyle w:val="Hyperlink"/>
          </w:rPr>
          <w:t>revised rules</w:t>
        </w:r>
      </w:hyperlink>
      <w:r w:rsidRPr="006A70D0">
        <w:rPr>
          <w:rFonts w:eastAsia="Times New Roman"/>
        </w:rPr>
        <w:t xml:space="preserve"> implementing its Paid Leave and Paid Sick and Safe Leave </w:t>
      </w:r>
      <w:hyperlink r:id="rId712" w:history="1">
        <w:r w:rsidRPr="004B7BC8">
          <w:rPr>
            <w:rStyle w:val="Hyperlink"/>
            <w:rFonts w:eastAsia="Times New Roman"/>
          </w:rPr>
          <w:t>Ordinance</w:t>
        </w:r>
      </w:hyperlink>
      <w:r w:rsidRPr="006A70D0">
        <w:rPr>
          <w:rFonts w:eastAsia="Times New Roman"/>
        </w:rPr>
        <w:t>, with an effective date of June 1, 2026. Although the rules do not fundamentally alter the ordinance’s structure, they provide important clarifications regarding employer liability and employee use of leave.</w:t>
      </w:r>
    </w:p>
    <w:p w14:paraId="7F2DC29D" w14:textId="77777777" w:rsidR="00C6528C" w:rsidRPr="00CA7C66" w:rsidRDefault="00C6528C">
      <w:pPr>
        <w:numPr>
          <w:ilvl w:val="0"/>
          <w:numId w:val="349"/>
        </w:numPr>
        <w:spacing w:after="100" w:line="276" w:lineRule="auto"/>
        <w:rPr>
          <w:rFonts w:eastAsia="Times New Roman"/>
        </w:rPr>
      </w:pPr>
      <w:r w:rsidRPr="006A70D0">
        <w:rPr>
          <w:rFonts w:eastAsia="Times New Roman"/>
        </w:rPr>
        <w:t>The rules primarily clarify existing requirements and expectations, including permissible use in childcare disruption scenarios, and employer authority to address patterned misuse, while introducing explicit standards for joint</w:t>
      </w:r>
      <w:r w:rsidRPr="006A70D0">
        <w:rPr>
          <w:rFonts w:eastAsia="Times New Roman"/>
        </w:rPr>
        <w:noBreakHyphen/>
        <w:t>employer and successor liability and reaffirming that compliant combined PTO policies remain permissible.</w:t>
      </w:r>
    </w:p>
    <w:p w14:paraId="199007FC" w14:textId="77777777" w:rsidR="00C6528C" w:rsidRDefault="00C6528C">
      <w:pPr>
        <w:pStyle w:val="ListParagraph"/>
        <w:numPr>
          <w:ilvl w:val="0"/>
          <w:numId w:val="350"/>
        </w:numPr>
        <w:spacing w:after="100" w:line="276" w:lineRule="auto"/>
        <w:rPr>
          <w:rFonts w:eastAsia="Times New Roman"/>
        </w:rPr>
      </w:pPr>
      <w:r>
        <w:rPr>
          <w:rFonts w:eastAsia="Times New Roman"/>
        </w:rPr>
        <w:t>T</w:t>
      </w:r>
      <w:r w:rsidRPr="006A70D0">
        <w:rPr>
          <w:rFonts w:eastAsia="Times New Roman"/>
        </w:rPr>
        <w:t xml:space="preserve">he revisions </w:t>
      </w:r>
      <w:r>
        <w:rPr>
          <w:rFonts w:eastAsia="Times New Roman"/>
        </w:rPr>
        <w:t xml:space="preserve">also </w:t>
      </w:r>
      <w:r w:rsidRPr="006A70D0">
        <w:rPr>
          <w:rFonts w:eastAsia="Times New Roman"/>
        </w:rPr>
        <w:t>introduce explicit compliance expectations, particularly for organizations utilizing staffing arrangements, operating multiple worksites, or maintaining unified PTO policies.</w:t>
      </w:r>
    </w:p>
    <w:p w14:paraId="458F0745" w14:textId="77777777" w:rsidR="00C6528C" w:rsidRDefault="00C6528C">
      <w:pPr>
        <w:pStyle w:val="ListParagraph"/>
        <w:numPr>
          <w:ilvl w:val="0"/>
          <w:numId w:val="350"/>
        </w:numPr>
        <w:spacing w:after="100" w:line="276" w:lineRule="auto"/>
        <w:rPr>
          <w:rFonts w:eastAsia="Times New Roman"/>
        </w:rPr>
      </w:pPr>
      <w:r w:rsidRPr="006A70D0">
        <w:rPr>
          <w:rFonts w:eastAsia="Times New Roman"/>
        </w:rPr>
        <w:t>The ordinance allows use of paid sick and safe leave (“paid sick leave”) when an employee needs to care for a family member whose school, class, or “place of care” has been “closed.” The rules clarify that a “place of care” can include informal childcare arrangements, such as babysitters, family members, or friends who provide care while the employee is working, and that a “closure” can include situations in which the childcare provider is unexpectedly unavailable.</w:t>
      </w:r>
    </w:p>
    <w:p w14:paraId="1B16A8CD" w14:textId="77777777" w:rsidR="00C6528C" w:rsidRDefault="00C6528C" w:rsidP="00C6528C">
      <w:pPr>
        <w:rPr>
          <w:rFonts w:eastAsia="Times New Roman"/>
        </w:rPr>
      </w:pPr>
      <w:r>
        <w:rPr>
          <w:rFonts w:eastAsia="Times New Roman"/>
        </w:rPr>
        <w:t xml:space="preserve">Again, the </w:t>
      </w:r>
      <w:r w:rsidRPr="006A70D0">
        <w:rPr>
          <w:rFonts w:eastAsia="Times New Roman"/>
        </w:rPr>
        <w:t>revised rules largely reinforce existing compliance frameworks but provide additional clarity in areas that have historically created uncertainty for Chicago employers.</w:t>
      </w:r>
      <w:r>
        <w:rPr>
          <w:rFonts w:eastAsia="Times New Roman"/>
        </w:rPr>
        <w:t xml:space="preserve"> Additional details can be found in the hyperlinked “revised rules” located in the opening sentence and is issued by the City of Chicago.</w:t>
      </w:r>
    </w:p>
    <w:p w14:paraId="4F5685EE" w14:textId="77777777" w:rsidR="00C6528C" w:rsidRDefault="00C6528C" w:rsidP="00C6528C">
      <w:pPr>
        <w:rPr>
          <w:b/>
          <w:bCs/>
          <w:caps/>
          <w:color w:val="0070C0"/>
          <w:sz w:val="26"/>
          <w:szCs w:val="26"/>
        </w:rPr>
      </w:pPr>
      <w:r w:rsidRPr="004B7BC8">
        <w:rPr>
          <w:b/>
          <w:bCs/>
          <w:caps/>
          <w:color w:val="0070C0"/>
          <w:sz w:val="26"/>
          <w:szCs w:val="26"/>
        </w:rPr>
        <w:t xml:space="preserve">New! </w:t>
      </w:r>
      <w:r w:rsidRPr="00652DB1">
        <w:rPr>
          <w:b/>
          <w:bCs/>
          <w:caps/>
          <w:noProof/>
          <w:color w:val="0E425C"/>
          <w:sz w:val="26"/>
          <w:szCs w:val="26"/>
          <w:u w:val="single"/>
        </w:rPr>
        <w:t>Chicago</w:t>
      </w:r>
      <w:r>
        <w:rPr>
          <w:b/>
          <w:bCs/>
          <w:caps/>
          <w:noProof/>
          <w:color w:val="0E425C"/>
          <w:sz w:val="26"/>
          <w:szCs w:val="26"/>
        </w:rPr>
        <w:t xml:space="preserve"> Amends Fair Workweek Rules</w:t>
      </w:r>
      <w:r w:rsidRPr="004B7BC8">
        <w:rPr>
          <w:b/>
          <w:bCs/>
          <w:caps/>
          <w:noProof/>
          <w:color w:val="0E425C"/>
          <w:sz w:val="26"/>
          <w:szCs w:val="26"/>
        </w:rPr>
        <w:t xml:space="preserve"> Effective </w:t>
      </w:r>
      <w:r w:rsidRPr="004B7BC8">
        <w:rPr>
          <w:b/>
          <w:bCs/>
          <w:caps/>
          <w:color w:val="0070C0"/>
          <w:sz w:val="26"/>
          <w:szCs w:val="26"/>
        </w:rPr>
        <w:t>June 1, 2026</w:t>
      </w:r>
    </w:p>
    <w:p w14:paraId="455CE3E9" w14:textId="77777777" w:rsidR="00C6528C" w:rsidRPr="006646FE" w:rsidRDefault="00C6528C" w:rsidP="00C6528C">
      <w:pPr>
        <w:rPr>
          <w:rFonts w:eastAsia="Times New Roman"/>
        </w:rPr>
      </w:pPr>
      <w:r w:rsidRPr="006646FE">
        <w:rPr>
          <w:rFonts w:eastAsia="Times New Roman"/>
        </w:rPr>
        <w:t>On May 18, 2026, the Chicago Commissioner of Business Affairs and Consumer Protection published extensive amendments to the rules implementing the Chicago Fair Workweek Ordinance (Chapter 6-110). The </w:t>
      </w:r>
      <w:hyperlink r:id="rId713" w:tgtFrame="_blank" w:history="1">
        <w:r w:rsidRPr="006646FE">
          <w:rPr>
            <w:rStyle w:val="Hyperlink"/>
          </w:rPr>
          <w:t>new rules</w:t>
        </w:r>
      </w:hyperlink>
      <w:r w:rsidRPr="006646FE">
        <w:rPr>
          <w:rStyle w:val="Hyperlink"/>
        </w:rPr>
        <w:t> </w:t>
      </w:r>
      <w:r w:rsidRPr="006646FE">
        <w:rPr>
          <w:rFonts w:eastAsia="Times New Roman"/>
        </w:rPr>
        <w:t>become effective June 1, 2026. Employers in covered industries must review and update their policies to ensure compliance.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16"/>
        <w:gridCol w:w="9074"/>
      </w:tblGrid>
      <w:tr w:rsidR="00C6528C" w:rsidRPr="006646FE" w14:paraId="2539A5A5"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7A0436E" w14:textId="77777777" w:rsidR="00C6528C" w:rsidRPr="006646FE" w:rsidRDefault="00C6528C" w:rsidP="00DE2847">
            <w:pPr>
              <w:rPr>
                <w:rFonts w:eastAsia="Times New Roman"/>
                <w:b/>
                <w:bCs/>
              </w:rPr>
            </w:pPr>
            <w:r w:rsidRPr="006646FE">
              <w:rPr>
                <w:rFonts w:eastAsia="Times New Roman"/>
                <w:b/>
                <w:bCs/>
              </w:rPr>
              <w:t>Change Area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A478802" w14:textId="77777777" w:rsidR="00C6528C" w:rsidRPr="006646FE" w:rsidRDefault="00C6528C" w:rsidP="00DE2847">
            <w:pPr>
              <w:rPr>
                <w:rFonts w:eastAsia="Times New Roman"/>
                <w:b/>
                <w:bCs/>
              </w:rPr>
            </w:pPr>
            <w:r w:rsidRPr="006646FE">
              <w:rPr>
                <w:rFonts w:eastAsia="Times New Roman"/>
                <w:b/>
                <w:bCs/>
              </w:rPr>
              <w:t>Summary of Amendment</w:t>
            </w:r>
          </w:p>
        </w:tc>
      </w:tr>
      <w:tr w:rsidR="00C6528C" w:rsidRPr="006646FE" w14:paraId="3B4834C7"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F947A97" w14:textId="77777777" w:rsidR="00C6528C" w:rsidRPr="006646FE" w:rsidRDefault="00C6528C" w:rsidP="00DE2847">
            <w:pPr>
              <w:rPr>
                <w:rFonts w:eastAsia="Times New Roman"/>
              </w:rPr>
            </w:pPr>
            <w:r w:rsidRPr="006646FE">
              <w:rPr>
                <w:rFonts w:eastAsia="Times New Roman"/>
              </w:rPr>
              <w:t>Expanded Definitions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6E2FCFEA" w14:textId="77777777" w:rsidR="00C6528C" w:rsidRPr="006646FE" w:rsidRDefault="00C6528C" w:rsidP="00DE2847">
            <w:pPr>
              <w:rPr>
                <w:rFonts w:eastAsia="Times New Roman"/>
              </w:rPr>
            </w:pPr>
            <w:r w:rsidRPr="006646FE">
              <w:rPr>
                <w:rFonts w:eastAsia="Times New Roman"/>
              </w:rPr>
              <w:t>Adds and clarifies terms, including “Leave of Absence,” “On-Call Shift,” “Salary,” and “Week.”</w:t>
            </w:r>
          </w:p>
        </w:tc>
      </w:tr>
      <w:tr w:rsidR="00C6528C" w:rsidRPr="006646FE" w14:paraId="7B40A0C6"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C1D7801" w14:textId="77777777" w:rsidR="00C6528C" w:rsidRPr="006646FE" w:rsidRDefault="00C6528C" w:rsidP="00DE2847">
            <w:pPr>
              <w:rPr>
                <w:rFonts w:eastAsia="Times New Roman"/>
              </w:rPr>
            </w:pPr>
            <w:r w:rsidRPr="006646FE">
              <w:rPr>
                <w:rFonts w:eastAsia="Times New Roman"/>
              </w:rPr>
              <w:t>Employer Size Calculations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191A3AA" w14:textId="77777777" w:rsidR="00C6528C" w:rsidRPr="006646FE" w:rsidRDefault="00C6528C" w:rsidP="00DE2847">
            <w:pPr>
              <w:rPr>
                <w:rFonts w:eastAsia="Times New Roman"/>
              </w:rPr>
            </w:pPr>
            <w:r w:rsidRPr="006646FE">
              <w:rPr>
                <w:rFonts w:eastAsia="Times New Roman"/>
              </w:rPr>
              <w:t>Employee counts are based on global headcount; fractional numbers are rounded down.</w:t>
            </w:r>
          </w:p>
        </w:tc>
      </w:tr>
      <w:tr w:rsidR="00C6528C" w:rsidRPr="006646FE" w14:paraId="51587E71"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964BB0C" w14:textId="77777777" w:rsidR="00C6528C" w:rsidRPr="006646FE" w:rsidRDefault="00C6528C" w:rsidP="00DE2847">
            <w:pPr>
              <w:rPr>
                <w:rFonts w:eastAsia="Times New Roman"/>
              </w:rPr>
            </w:pPr>
            <w:r w:rsidRPr="006646FE">
              <w:rPr>
                <w:rFonts w:eastAsia="Times New Roman"/>
              </w:rPr>
              <w:t>Initial Work Schedule Estimates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868A396" w14:textId="77777777" w:rsidR="00C6528C" w:rsidRPr="006646FE" w:rsidRDefault="00C6528C" w:rsidP="00DE2847">
            <w:pPr>
              <w:rPr>
                <w:rFonts w:eastAsia="Times New Roman"/>
              </w:rPr>
            </w:pPr>
            <w:r w:rsidRPr="006646FE">
              <w:rPr>
                <w:rFonts w:eastAsia="Times New Roman"/>
              </w:rPr>
              <w:t>On-call shifts must be included; estimates must be provided at hire with supporting data and clear examples.</w:t>
            </w:r>
          </w:p>
        </w:tc>
      </w:tr>
      <w:tr w:rsidR="00C6528C" w:rsidRPr="006646FE" w14:paraId="358B796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AF7A3CB" w14:textId="77777777" w:rsidR="00C6528C" w:rsidRPr="006646FE" w:rsidRDefault="00C6528C" w:rsidP="00DE2847">
            <w:pPr>
              <w:rPr>
                <w:rFonts w:eastAsia="Times New Roman"/>
              </w:rPr>
            </w:pPr>
            <w:r w:rsidRPr="006646FE">
              <w:rPr>
                <w:rFonts w:eastAsia="Times New Roman"/>
              </w:rPr>
              <w:t>Advance Notice of Schedule</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9538E6C" w14:textId="77777777" w:rsidR="00C6528C" w:rsidRPr="006646FE" w:rsidRDefault="00C6528C" w:rsidP="00DE2847">
            <w:pPr>
              <w:rPr>
                <w:rFonts w:eastAsia="Times New Roman"/>
              </w:rPr>
            </w:pPr>
            <w:r w:rsidRPr="006646FE">
              <w:rPr>
                <w:rFonts w:eastAsia="Times New Roman"/>
              </w:rPr>
              <w:t>Schedules must be time-stamped and posted at least 14 days in advance, listing all Covered Employees at the location.</w:t>
            </w:r>
          </w:p>
        </w:tc>
      </w:tr>
      <w:tr w:rsidR="00C6528C" w:rsidRPr="006646FE" w14:paraId="7BE598FA"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2BC8EA0" w14:textId="77777777" w:rsidR="00C6528C" w:rsidRPr="006646FE" w:rsidRDefault="00C6528C" w:rsidP="00DE2847">
            <w:pPr>
              <w:rPr>
                <w:rFonts w:eastAsia="Times New Roman"/>
              </w:rPr>
            </w:pPr>
            <w:r w:rsidRPr="006646FE">
              <w:rPr>
                <w:rFonts w:eastAsia="Times New Roman"/>
              </w:rPr>
              <w:t>Predictability Pay</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6B86ACA" w14:textId="77777777" w:rsidR="00C6528C" w:rsidRPr="006646FE" w:rsidRDefault="00C6528C" w:rsidP="00DE2847">
            <w:pPr>
              <w:rPr>
                <w:rFonts w:eastAsia="Times New Roman"/>
              </w:rPr>
            </w:pPr>
            <w:r w:rsidRPr="006646FE">
              <w:rPr>
                <w:rFonts w:eastAsia="Times New Roman"/>
              </w:rPr>
              <w:t>Owed for any employer-imposed schedule change over 15 minutes; an exception requires written, time-stamped employee consent.</w:t>
            </w:r>
          </w:p>
        </w:tc>
      </w:tr>
      <w:tr w:rsidR="00C6528C" w:rsidRPr="006646FE" w14:paraId="4ACE7369"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322AA79B" w14:textId="77777777" w:rsidR="00C6528C" w:rsidRPr="006646FE" w:rsidRDefault="00C6528C" w:rsidP="00DE2847">
            <w:pPr>
              <w:rPr>
                <w:rFonts w:eastAsia="Times New Roman"/>
              </w:rPr>
            </w:pPr>
            <w:r w:rsidRPr="006646FE">
              <w:rPr>
                <w:rFonts w:eastAsia="Times New Roman"/>
              </w:rPr>
              <w:t>Voluntary Schedule Changes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96CB7A8" w14:textId="77777777" w:rsidR="00C6528C" w:rsidRPr="006646FE" w:rsidRDefault="00C6528C" w:rsidP="00DE2847">
            <w:pPr>
              <w:rPr>
                <w:rFonts w:eastAsia="Times New Roman"/>
              </w:rPr>
            </w:pPr>
            <w:r w:rsidRPr="006646FE">
              <w:rPr>
                <w:rFonts w:eastAsia="Times New Roman"/>
              </w:rPr>
              <w:t>Predictability Pay not required for employee-initiated changes (including all forms of leave).</w:t>
            </w:r>
          </w:p>
        </w:tc>
      </w:tr>
      <w:tr w:rsidR="00C6528C" w:rsidRPr="006646FE" w14:paraId="23F085D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6D2E52A4" w14:textId="77777777" w:rsidR="00C6528C" w:rsidRPr="006646FE" w:rsidRDefault="00C6528C" w:rsidP="00DE2847">
            <w:pPr>
              <w:rPr>
                <w:rFonts w:eastAsia="Times New Roman"/>
              </w:rPr>
            </w:pPr>
            <w:r w:rsidRPr="006646FE">
              <w:rPr>
                <w:rFonts w:eastAsia="Times New Roman"/>
              </w:rPr>
              <w:t>Offer of Additional Hours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5255311" w14:textId="77777777" w:rsidR="00C6528C" w:rsidRPr="006646FE" w:rsidRDefault="00C6528C" w:rsidP="00DE2847">
            <w:pPr>
              <w:rPr>
                <w:rFonts w:eastAsia="Times New Roman"/>
              </w:rPr>
            </w:pPr>
            <w:r w:rsidRPr="006646FE">
              <w:rPr>
                <w:rFonts w:eastAsia="Times New Roman"/>
              </w:rPr>
              <w:t>Covered Employees must get priority for extra hours; good faith assessment of qualifications is required.</w:t>
            </w:r>
          </w:p>
        </w:tc>
      </w:tr>
      <w:tr w:rsidR="00C6528C" w:rsidRPr="006646FE" w14:paraId="25B90937"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D4AB08A" w14:textId="77777777" w:rsidR="00C6528C" w:rsidRPr="006646FE" w:rsidRDefault="00C6528C" w:rsidP="00DE2847">
            <w:pPr>
              <w:rPr>
                <w:rFonts w:eastAsia="Times New Roman"/>
              </w:rPr>
            </w:pPr>
            <w:r w:rsidRPr="006646FE">
              <w:rPr>
                <w:rFonts w:eastAsia="Times New Roman"/>
              </w:rPr>
              <w:t>Right to Rest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5638384" w14:textId="77777777" w:rsidR="00C6528C" w:rsidRPr="006646FE" w:rsidRDefault="00C6528C" w:rsidP="00DE2847">
            <w:pPr>
              <w:rPr>
                <w:rFonts w:eastAsia="Times New Roman"/>
              </w:rPr>
            </w:pPr>
            <w:r w:rsidRPr="006646FE">
              <w:rPr>
                <w:rFonts w:eastAsia="Times New Roman"/>
              </w:rPr>
              <w:t>Covered Employees may consent in writing to shifts with less than 10 hours’ rest and must be paid at least 1.25x their regular rate.</w:t>
            </w:r>
          </w:p>
        </w:tc>
      </w:tr>
      <w:tr w:rsidR="00C6528C" w:rsidRPr="006646FE" w14:paraId="6C2FFECE"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6A3478A" w14:textId="77777777" w:rsidR="00C6528C" w:rsidRPr="006646FE" w:rsidRDefault="00C6528C" w:rsidP="00DE2847">
            <w:pPr>
              <w:rPr>
                <w:rFonts w:eastAsia="Times New Roman"/>
              </w:rPr>
            </w:pPr>
            <w:r w:rsidRPr="006646FE">
              <w:rPr>
                <w:rFonts w:eastAsia="Times New Roman"/>
              </w:rPr>
              <w:lastRenderedPageBreak/>
              <w:t>Required Postings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00FC5AB2" w14:textId="77777777" w:rsidR="00C6528C" w:rsidRPr="006646FE" w:rsidRDefault="00C6528C" w:rsidP="00DE2847">
            <w:pPr>
              <w:rPr>
                <w:rFonts w:eastAsia="Times New Roman"/>
              </w:rPr>
            </w:pPr>
            <w:r w:rsidRPr="006646FE">
              <w:rPr>
                <w:rFonts w:eastAsia="Times New Roman"/>
              </w:rPr>
              <w:t>Specifies required posting locations, including bulletin boards, breakrooms, monitors, and swipe-in stations.</w:t>
            </w:r>
          </w:p>
        </w:tc>
      </w:tr>
      <w:tr w:rsidR="00C6528C" w:rsidRPr="006646FE" w14:paraId="53C78E1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084F221F" w14:textId="77777777" w:rsidR="00C6528C" w:rsidRPr="006646FE" w:rsidRDefault="00C6528C" w:rsidP="00DE2847">
            <w:pPr>
              <w:rPr>
                <w:rFonts w:eastAsia="Times New Roman"/>
              </w:rPr>
            </w:pPr>
            <w:r w:rsidRPr="006646FE">
              <w:rPr>
                <w:rFonts w:eastAsia="Times New Roman"/>
              </w:rPr>
              <w:t>Record Retention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EDCB2E3" w14:textId="77777777" w:rsidR="00C6528C" w:rsidRPr="006646FE" w:rsidRDefault="00C6528C" w:rsidP="00DE2847">
            <w:pPr>
              <w:rPr>
                <w:rFonts w:eastAsia="Times New Roman"/>
              </w:rPr>
            </w:pPr>
            <w:r w:rsidRPr="006646FE">
              <w:rPr>
                <w:rFonts w:eastAsia="Times New Roman"/>
              </w:rPr>
              <w:t>Employers must retain records of compliance, especially for Right to Rest and schedule changes.</w:t>
            </w:r>
          </w:p>
        </w:tc>
      </w:tr>
      <w:tr w:rsidR="00C6528C" w:rsidRPr="006646FE" w14:paraId="59CDF4BC"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9A2400D" w14:textId="77777777" w:rsidR="00C6528C" w:rsidRPr="006646FE" w:rsidRDefault="00C6528C" w:rsidP="00DE2847">
            <w:pPr>
              <w:rPr>
                <w:rFonts w:eastAsia="Times New Roman"/>
              </w:rPr>
            </w:pPr>
            <w:r w:rsidRPr="006646FE">
              <w:rPr>
                <w:rFonts w:eastAsia="Times New Roman"/>
              </w:rPr>
              <w:t>Severability</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08001B2" w14:textId="77777777" w:rsidR="00C6528C" w:rsidRPr="006646FE" w:rsidRDefault="00C6528C" w:rsidP="00DE2847">
            <w:pPr>
              <w:rPr>
                <w:rFonts w:eastAsia="Times New Roman"/>
              </w:rPr>
            </w:pPr>
            <w:r w:rsidRPr="006646FE">
              <w:rPr>
                <w:rFonts w:eastAsia="Times New Roman"/>
              </w:rPr>
              <w:t>New rule: Each rule stands alone; invalidation of one does not affect the others.</w:t>
            </w:r>
          </w:p>
        </w:tc>
      </w:tr>
      <w:tr w:rsidR="00C6528C" w:rsidRPr="006646FE" w14:paraId="76D283C1"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D32BFCA" w14:textId="77777777" w:rsidR="00C6528C" w:rsidRPr="006646FE" w:rsidRDefault="00C6528C" w:rsidP="00DE2847">
            <w:pPr>
              <w:rPr>
                <w:rFonts w:eastAsia="Times New Roman"/>
              </w:rPr>
            </w:pPr>
            <w:r w:rsidRPr="006646FE">
              <w:rPr>
                <w:rFonts w:eastAsia="Times New Roman"/>
              </w:rPr>
              <w:t>Complaints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EF48D03" w14:textId="77777777" w:rsidR="00C6528C" w:rsidRPr="006646FE" w:rsidRDefault="00C6528C" w:rsidP="00DE2847">
            <w:pPr>
              <w:rPr>
                <w:rFonts w:eastAsia="Times New Roman"/>
              </w:rPr>
            </w:pPr>
            <w:r w:rsidRPr="006646FE">
              <w:rPr>
                <w:rFonts w:eastAsia="Times New Roman"/>
              </w:rPr>
              <w:t>Removes the section on complaints from the rules.</w:t>
            </w:r>
          </w:p>
        </w:tc>
      </w:tr>
    </w:tbl>
    <w:p w14:paraId="051570E3" w14:textId="77777777" w:rsidR="00C6528C" w:rsidRPr="00ED74A0" w:rsidRDefault="00C6528C" w:rsidP="00C6528C">
      <w:pPr>
        <w:rPr>
          <w:b/>
          <w:bCs/>
          <w:caps/>
          <w:noProof/>
          <w:color w:val="0E425C"/>
          <w:sz w:val="12"/>
          <w:szCs w:val="12"/>
        </w:rPr>
      </w:pPr>
    </w:p>
    <w:p w14:paraId="22986BFD" w14:textId="77777777" w:rsidR="00C6528C" w:rsidRDefault="00C6528C" w:rsidP="00C6528C">
      <w:pPr>
        <w:spacing w:line="240" w:lineRule="auto"/>
        <w:rPr>
          <w:rFonts w:eastAsia="Times New Roman"/>
          <w:b/>
          <w:bCs/>
        </w:rPr>
      </w:pPr>
      <w:r w:rsidRPr="006646FE">
        <w:rPr>
          <w:rFonts w:eastAsia="Times New Roman"/>
          <w:b/>
          <w:bCs/>
        </w:rPr>
        <w:t>Background</w:t>
      </w:r>
    </w:p>
    <w:p w14:paraId="4C73933D" w14:textId="77777777" w:rsidR="00C6528C" w:rsidRPr="006646FE" w:rsidRDefault="00C6528C" w:rsidP="00C6528C">
      <w:pPr>
        <w:spacing w:line="240" w:lineRule="auto"/>
        <w:rPr>
          <w:rFonts w:eastAsia="Times New Roman"/>
        </w:rPr>
      </w:pPr>
      <w:r w:rsidRPr="006646FE">
        <w:rPr>
          <w:rFonts w:eastAsia="Times New Roman"/>
        </w:rPr>
        <w:t>The Chicago Fair Workweek Ordinance was enacted in June 2019 and became effective July 1, 2020. The Ordinance aims to reduce scheduling volatility and provide predictability for employees in seven industries:</w:t>
      </w:r>
    </w:p>
    <w:p w14:paraId="08E46C32" w14:textId="77777777" w:rsidR="00C6528C" w:rsidRPr="006646FE" w:rsidRDefault="00C6528C">
      <w:pPr>
        <w:numPr>
          <w:ilvl w:val="0"/>
          <w:numId w:val="351"/>
        </w:numPr>
        <w:spacing w:after="100" w:line="240" w:lineRule="auto"/>
        <w:rPr>
          <w:rFonts w:eastAsia="Times New Roman"/>
        </w:rPr>
      </w:pPr>
      <w:r w:rsidRPr="006646FE">
        <w:rPr>
          <w:rFonts w:eastAsia="Times New Roman"/>
        </w:rPr>
        <w:t>Building services</w:t>
      </w:r>
    </w:p>
    <w:p w14:paraId="3E177642" w14:textId="77777777" w:rsidR="00C6528C" w:rsidRPr="006646FE" w:rsidRDefault="00C6528C">
      <w:pPr>
        <w:numPr>
          <w:ilvl w:val="0"/>
          <w:numId w:val="351"/>
        </w:numPr>
        <w:spacing w:after="100" w:line="240" w:lineRule="auto"/>
        <w:rPr>
          <w:rFonts w:eastAsia="Times New Roman"/>
        </w:rPr>
      </w:pPr>
      <w:r w:rsidRPr="006646FE">
        <w:rPr>
          <w:rFonts w:eastAsia="Times New Roman"/>
        </w:rPr>
        <w:t>Hotels</w:t>
      </w:r>
    </w:p>
    <w:p w14:paraId="25208F61" w14:textId="77777777" w:rsidR="00C6528C" w:rsidRPr="006646FE" w:rsidRDefault="00C6528C">
      <w:pPr>
        <w:numPr>
          <w:ilvl w:val="0"/>
          <w:numId w:val="351"/>
        </w:numPr>
        <w:spacing w:after="100" w:line="240" w:lineRule="auto"/>
        <w:rPr>
          <w:rFonts w:eastAsia="Times New Roman"/>
        </w:rPr>
      </w:pPr>
      <w:r w:rsidRPr="006646FE">
        <w:rPr>
          <w:rFonts w:eastAsia="Times New Roman"/>
        </w:rPr>
        <w:t>Manufacturing</w:t>
      </w:r>
    </w:p>
    <w:p w14:paraId="6D294810" w14:textId="77777777" w:rsidR="00C6528C" w:rsidRPr="006646FE" w:rsidRDefault="00C6528C">
      <w:pPr>
        <w:numPr>
          <w:ilvl w:val="0"/>
          <w:numId w:val="351"/>
        </w:numPr>
        <w:spacing w:after="100" w:line="240" w:lineRule="auto"/>
        <w:rPr>
          <w:rFonts w:eastAsia="Times New Roman"/>
        </w:rPr>
      </w:pPr>
      <w:r w:rsidRPr="006646FE">
        <w:rPr>
          <w:rFonts w:eastAsia="Times New Roman"/>
        </w:rPr>
        <w:t>Restaurants (30+ locations worldwide, 250+ employees)</w:t>
      </w:r>
    </w:p>
    <w:p w14:paraId="63BE871F" w14:textId="77777777" w:rsidR="00C6528C" w:rsidRPr="006646FE" w:rsidRDefault="00C6528C">
      <w:pPr>
        <w:numPr>
          <w:ilvl w:val="0"/>
          <w:numId w:val="351"/>
        </w:numPr>
        <w:spacing w:after="100" w:line="240" w:lineRule="auto"/>
        <w:rPr>
          <w:rFonts w:eastAsia="Times New Roman"/>
        </w:rPr>
      </w:pPr>
      <w:r w:rsidRPr="006646FE">
        <w:rPr>
          <w:rFonts w:eastAsia="Times New Roman"/>
        </w:rPr>
        <w:t>Retail</w:t>
      </w:r>
    </w:p>
    <w:p w14:paraId="1F528D1A" w14:textId="77777777" w:rsidR="00C6528C" w:rsidRPr="006646FE" w:rsidRDefault="00C6528C">
      <w:pPr>
        <w:numPr>
          <w:ilvl w:val="0"/>
          <w:numId w:val="351"/>
        </w:numPr>
        <w:spacing w:after="100" w:line="240" w:lineRule="auto"/>
        <w:rPr>
          <w:rFonts w:eastAsia="Times New Roman"/>
        </w:rPr>
      </w:pPr>
      <w:r w:rsidRPr="006646FE">
        <w:rPr>
          <w:rFonts w:eastAsia="Times New Roman"/>
        </w:rPr>
        <w:t>Healthcare</w:t>
      </w:r>
    </w:p>
    <w:p w14:paraId="3CFBD3F2" w14:textId="77777777" w:rsidR="00C6528C" w:rsidRPr="006646FE" w:rsidRDefault="00C6528C">
      <w:pPr>
        <w:numPr>
          <w:ilvl w:val="0"/>
          <w:numId w:val="351"/>
        </w:numPr>
        <w:spacing w:after="100" w:line="240" w:lineRule="auto"/>
        <w:rPr>
          <w:rFonts w:eastAsia="Times New Roman"/>
        </w:rPr>
      </w:pPr>
      <w:r w:rsidRPr="006646FE">
        <w:rPr>
          <w:rFonts w:eastAsia="Times New Roman"/>
        </w:rPr>
        <w:t>Warehouse services</w:t>
      </w:r>
    </w:p>
    <w:p w14:paraId="23FEB8EB" w14:textId="77777777" w:rsidR="00C6528C" w:rsidRPr="006646FE" w:rsidRDefault="00C6528C" w:rsidP="00C6528C">
      <w:pPr>
        <w:spacing w:line="240" w:lineRule="auto"/>
        <w:rPr>
          <w:rFonts w:eastAsia="Times New Roman"/>
          <w:b/>
          <w:bCs/>
        </w:rPr>
      </w:pPr>
      <w:r w:rsidRPr="006646FE">
        <w:rPr>
          <w:rFonts w:eastAsia="Times New Roman"/>
          <w:b/>
          <w:bCs/>
        </w:rPr>
        <w:t>Coverage Requirements</w:t>
      </w:r>
    </w:p>
    <w:p w14:paraId="7E08C637" w14:textId="77777777" w:rsidR="00C6528C" w:rsidRPr="006646FE" w:rsidRDefault="00C6528C">
      <w:pPr>
        <w:numPr>
          <w:ilvl w:val="0"/>
          <w:numId w:val="352"/>
        </w:numPr>
        <w:spacing w:after="100" w:line="240" w:lineRule="auto"/>
        <w:rPr>
          <w:rFonts w:eastAsia="Times New Roman"/>
        </w:rPr>
      </w:pPr>
      <w:r w:rsidRPr="006646FE">
        <w:rPr>
          <w:rFonts w:eastAsia="Times New Roman"/>
        </w:rPr>
        <w:t>Employer must have at least 100 employees globally (250 for nonprofits and restaurants)</w:t>
      </w:r>
    </w:p>
    <w:p w14:paraId="31A92AAF" w14:textId="77777777" w:rsidR="00C6528C" w:rsidRPr="006646FE" w:rsidRDefault="00C6528C">
      <w:pPr>
        <w:numPr>
          <w:ilvl w:val="0"/>
          <w:numId w:val="352"/>
        </w:numPr>
        <w:spacing w:after="100" w:line="240" w:lineRule="auto"/>
        <w:rPr>
          <w:rFonts w:eastAsia="Times New Roman"/>
        </w:rPr>
      </w:pPr>
      <w:r w:rsidRPr="006646FE">
        <w:rPr>
          <w:rFonts w:eastAsia="Times New Roman"/>
        </w:rPr>
        <w:t xml:space="preserve">Employee must earn $32.50/hour or less (subject to annual </w:t>
      </w:r>
      <w:proofErr w:type="gramStart"/>
      <w:r w:rsidRPr="006646FE">
        <w:rPr>
          <w:rFonts w:eastAsia="Times New Roman"/>
        </w:rPr>
        <w:t>inflation adjustment</w:t>
      </w:r>
      <w:proofErr w:type="gramEnd"/>
      <w:r w:rsidRPr="006646FE">
        <w:rPr>
          <w:rFonts w:eastAsia="Times New Roman"/>
        </w:rPr>
        <w:t>).</w:t>
      </w:r>
    </w:p>
    <w:p w14:paraId="41D75B68" w14:textId="77777777" w:rsidR="00C6528C" w:rsidRPr="006646FE" w:rsidRDefault="00C6528C">
      <w:pPr>
        <w:numPr>
          <w:ilvl w:val="0"/>
          <w:numId w:val="352"/>
        </w:numPr>
        <w:spacing w:after="100" w:line="240" w:lineRule="auto"/>
        <w:rPr>
          <w:rFonts w:eastAsia="Times New Roman"/>
        </w:rPr>
      </w:pPr>
      <w:r w:rsidRPr="006646FE">
        <w:rPr>
          <w:rFonts w:eastAsia="Times New Roman"/>
        </w:rPr>
        <w:t>Employee must work at least two hours in Chicago over a two-week period.</w:t>
      </w:r>
    </w:p>
    <w:p w14:paraId="7DDA8AD5" w14:textId="77777777" w:rsidR="00C6528C" w:rsidRPr="006646FE" w:rsidRDefault="00C6528C" w:rsidP="00C6528C">
      <w:pPr>
        <w:spacing w:line="240" w:lineRule="auto"/>
        <w:rPr>
          <w:rFonts w:eastAsia="Times New Roman"/>
          <w:b/>
          <w:bCs/>
        </w:rPr>
      </w:pPr>
      <w:r>
        <w:rPr>
          <w:rFonts w:eastAsia="Times New Roman"/>
          <w:b/>
          <w:bCs/>
        </w:rPr>
        <w:t>Revised</w:t>
      </w:r>
      <w:r w:rsidRPr="006646FE">
        <w:rPr>
          <w:rFonts w:eastAsia="Times New Roman"/>
          <w:b/>
          <w:bCs/>
        </w:rPr>
        <w:t xml:space="preserve"> Ordinance </w:t>
      </w:r>
    </w:p>
    <w:p w14:paraId="440CF65B" w14:textId="77777777" w:rsidR="00C6528C" w:rsidRPr="006646FE" w:rsidRDefault="00C6528C">
      <w:pPr>
        <w:numPr>
          <w:ilvl w:val="0"/>
          <w:numId w:val="353"/>
        </w:numPr>
        <w:spacing w:after="100" w:line="240" w:lineRule="auto"/>
        <w:rPr>
          <w:rFonts w:eastAsia="Times New Roman"/>
        </w:rPr>
      </w:pPr>
      <w:r w:rsidRPr="006646FE">
        <w:rPr>
          <w:rFonts w:eastAsia="Times New Roman"/>
        </w:rPr>
        <w:t>14 days’ advance notice of work schedules for most shifts</w:t>
      </w:r>
    </w:p>
    <w:p w14:paraId="4053C6F8" w14:textId="77777777" w:rsidR="00C6528C" w:rsidRPr="006646FE" w:rsidRDefault="00C6528C">
      <w:pPr>
        <w:numPr>
          <w:ilvl w:val="0"/>
          <w:numId w:val="353"/>
        </w:numPr>
        <w:spacing w:after="100" w:line="240" w:lineRule="auto"/>
        <w:rPr>
          <w:rFonts w:eastAsia="Times New Roman"/>
        </w:rPr>
      </w:pPr>
      <w:r w:rsidRPr="006646FE">
        <w:rPr>
          <w:rFonts w:eastAsia="Times New Roman"/>
        </w:rPr>
        <w:t>The right to decline previously unscheduled hours</w:t>
      </w:r>
    </w:p>
    <w:p w14:paraId="6904DDA0" w14:textId="77777777" w:rsidR="00C6528C" w:rsidRPr="006646FE" w:rsidRDefault="00C6528C">
      <w:pPr>
        <w:numPr>
          <w:ilvl w:val="0"/>
          <w:numId w:val="353"/>
        </w:numPr>
        <w:spacing w:after="100" w:line="240" w:lineRule="auto"/>
        <w:rPr>
          <w:rFonts w:eastAsia="Times New Roman"/>
        </w:rPr>
      </w:pPr>
      <w:r w:rsidRPr="006646FE">
        <w:rPr>
          <w:rFonts w:eastAsia="Times New Roman"/>
        </w:rPr>
        <w:t>Predictability Pay for short-notice employer-imposed schedule changes</w:t>
      </w:r>
    </w:p>
    <w:p w14:paraId="7AB7328A" w14:textId="77777777" w:rsidR="00C6528C" w:rsidRPr="006646FE" w:rsidRDefault="00C6528C">
      <w:pPr>
        <w:numPr>
          <w:ilvl w:val="0"/>
          <w:numId w:val="353"/>
        </w:numPr>
        <w:spacing w:after="100" w:line="240" w:lineRule="auto"/>
        <w:rPr>
          <w:rFonts w:eastAsia="Times New Roman"/>
        </w:rPr>
      </w:pPr>
      <w:r w:rsidRPr="006646FE">
        <w:rPr>
          <w:rFonts w:eastAsia="Times New Roman"/>
        </w:rPr>
        <w:t>The right to rest by declining shifts less than 10 hours after a prior shift</w:t>
      </w:r>
    </w:p>
    <w:p w14:paraId="611ADC28" w14:textId="77777777" w:rsidR="00C6528C" w:rsidRPr="006646FE" w:rsidRDefault="00C6528C" w:rsidP="00C6528C">
      <w:pPr>
        <w:rPr>
          <w:rFonts w:eastAsia="Times New Roman"/>
          <w:b/>
          <w:bCs/>
        </w:rPr>
      </w:pPr>
      <w:r w:rsidRPr="006646FE">
        <w:rPr>
          <w:rFonts w:eastAsia="Times New Roman"/>
          <w:b/>
          <w:bCs/>
          <w:highlight w:val="lightGray"/>
        </w:rPr>
        <w:t>Employer Takeaway:</w:t>
      </w:r>
      <w:r>
        <w:rPr>
          <w:rFonts w:eastAsia="Times New Roman"/>
          <w:b/>
          <w:bCs/>
        </w:rPr>
        <w:t xml:space="preserve">  </w:t>
      </w:r>
      <w:r w:rsidRPr="006646FE">
        <w:rPr>
          <w:rFonts w:eastAsia="Times New Roman"/>
        </w:rPr>
        <w:t xml:space="preserve">Applicable employers are </w:t>
      </w:r>
      <w:r>
        <w:rPr>
          <w:rFonts w:eastAsia="Times New Roman"/>
        </w:rPr>
        <w:t xml:space="preserve">advised </w:t>
      </w:r>
      <w:proofErr w:type="spellStart"/>
      <w:r>
        <w:rPr>
          <w:rFonts w:eastAsia="Times New Roman"/>
        </w:rPr>
        <w:t>t</w:t>
      </w:r>
      <w:proofErr w:type="spellEnd"/>
      <w:r>
        <w:rPr>
          <w:rFonts w:eastAsia="Times New Roman"/>
        </w:rPr>
        <w:t xml:space="preserve"> review to the New Rules issued by the City of Chicago and hyperlinked at the start of the article to ensure compliance with the rules followed by the reviewing of current scheduling and pay practices.</w:t>
      </w:r>
      <w:r w:rsidRPr="006646FE">
        <w:rPr>
          <w:rFonts w:eastAsia="Times New Roman"/>
        </w:rPr>
        <w:t xml:space="preserve"> </w:t>
      </w:r>
    </w:p>
    <w:p w14:paraId="5E7CC677" w14:textId="77777777" w:rsidR="00C6528C" w:rsidRDefault="00C6528C" w:rsidP="00C6528C">
      <w:pPr>
        <w:rPr>
          <w:sz w:val="28"/>
          <w:szCs w:val="28"/>
          <w:shd w:val="clear" w:color="auto" w:fill="FFFFFF"/>
        </w:rPr>
      </w:pPr>
      <w:r w:rsidRPr="00275D0A">
        <w:rPr>
          <w:b/>
          <w:bCs/>
          <w:caps/>
          <w:noProof/>
          <w:color w:val="0E425C"/>
          <w:sz w:val="26"/>
          <w:szCs w:val="26"/>
        </w:rPr>
        <w:t>Reminder: State’s Neonatal Intensive Care Leave Effective</w:t>
      </w:r>
      <w:r w:rsidRPr="00275D0A">
        <w:rPr>
          <w:b/>
          <w:bCs/>
          <w:caps/>
          <w:color w:val="0070C0"/>
          <w:sz w:val="26"/>
          <w:szCs w:val="26"/>
        </w:rPr>
        <w:t xml:space="preserve"> June 1, 2026</w:t>
      </w:r>
    </w:p>
    <w:p w14:paraId="73D6BE8F" w14:textId="77777777" w:rsidR="00C6528C" w:rsidRPr="00275D0A" w:rsidRDefault="00C6528C" w:rsidP="00C6528C">
      <w:pPr>
        <w:pStyle w:val="BodyText"/>
        <w:spacing w:after="0"/>
        <w:ind w:right="-274"/>
        <w:rPr>
          <w:color w:val="auto"/>
        </w:rPr>
      </w:pPr>
      <w:r w:rsidRPr="00275D0A">
        <w:rPr>
          <w:color w:val="auto"/>
        </w:rPr>
        <w:t>Effective June 1, 2026, employers with at least 16 employees are required to provide unpaid leave to employees to use while their child is a patient in a neonatal intensive care unit.</w:t>
      </w:r>
    </w:p>
    <w:p w14:paraId="10597368" w14:textId="77777777" w:rsidR="00C6528C" w:rsidRDefault="00C6528C" w:rsidP="00C6528C">
      <w:pPr>
        <w:pStyle w:val="BodyText"/>
        <w:spacing w:after="0"/>
        <w:ind w:right="-274"/>
        <w:rPr>
          <w:color w:val="auto"/>
        </w:rPr>
      </w:pPr>
      <w:r w:rsidRPr="00275D0A">
        <w:rPr>
          <w:color w:val="auto"/>
        </w:rPr>
        <w:t>Under the</w:t>
      </w:r>
      <w:r w:rsidRPr="009057E3">
        <w:rPr>
          <w:rStyle w:val="Hyperlink"/>
        </w:rPr>
        <w:t xml:space="preserve"> </w:t>
      </w:r>
      <w:hyperlink r:id="rId714">
        <w:r w:rsidRPr="009057E3">
          <w:rPr>
            <w:rStyle w:val="Hyperlink"/>
          </w:rPr>
          <w:t>Family Neonatal Intensive Care Leave Act,</w:t>
        </w:r>
      </w:hyperlink>
      <w:r w:rsidRPr="00DD7BD1">
        <w:rPr>
          <w:spacing w:val="-15"/>
          <w:w w:val="110"/>
          <w:szCs w:val="22"/>
        </w:rPr>
        <w:t xml:space="preserve"> </w:t>
      </w:r>
      <w:r w:rsidRPr="00275D0A">
        <w:rPr>
          <w:color w:val="auto"/>
        </w:rPr>
        <w:t>employees of employers with 16 to 50 employees may use up to 10 days of leave, while employees of employers with at least 51 employees may use up to 20 days of leave.</w:t>
      </w:r>
    </w:p>
    <w:p w14:paraId="52AD0F35" w14:textId="77777777" w:rsidR="00C6528C" w:rsidRPr="005E4403" w:rsidRDefault="00C6528C" w:rsidP="00C6528C">
      <w:pPr>
        <w:pStyle w:val="BodyText"/>
        <w:spacing w:after="0"/>
        <w:ind w:right="-274"/>
        <w:rPr>
          <w:color w:val="auto"/>
          <w:sz w:val="12"/>
          <w:szCs w:val="12"/>
        </w:rPr>
      </w:pPr>
    </w:p>
    <w:p w14:paraId="542D4775" w14:textId="77777777" w:rsidR="00C6528C" w:rsidRPr="00275D0A" w:rsidRDefault="00C6528C" w:rsidP="00C6528C">
      <w:pPr>
        <w:pStyle w:val="BodyText"/>
        <w:spacing w:after="0"/>
        <w:ind w:right="-274"/>
        <w:rPr>
          <w:color w:val="auto"/>
        </w:rPr>
      </w:pPr>
      <w:r w:rsidRPr="00275D0A">
        <w:rPr>
          <w:color w:val="auto"/>
        </w:rPr>
        <w:t xml:space="preserve">This leave may be taken continuously or intermittently, though employers may require that leave be taken in at least two-hour increments. The bill requires employers to maintain an employee’s health insurance benefits while he or she is on leave and to reinstate the employee to his or her former position or a substantially equivalent position once the leave ends. Employers are prohibited from taking any adverse action against an employee exercising his or her right to neonatal intensive care leave. Employers </w:t>
      </w:r>
      <w:r w:rsidRPr="00275D0A">
        <w:rPr>
          <w:color w:val="auto"/>
        </w:rPr>
        <w:lastRenderedPageBreak/>
        <w:t>who violate the Act are subject to a civil penalty up to $5,000 per employee affected. ETC has released the updated State Handbook Addendum inclusive of Leave provisions.</w:t>
      </w:r>
    </w:p>
    <w:p w14:paraId="3566E40F" w14:textId="2BEA0B68" w:rsidR="00C6528C" w:rsidRPr="00562C0A" w:rsidRDefault="00C6528C" w:rsidP="00562C0A">
      <w:pPr>
        <w:spacing w:line="278" w:lineRule="auto"/>
      </w:pPr>
      <w:r w:rsidRPr="003D429A">
        <w:rPr>
          <w:b/>
          <w:bCs/>
        </w:rPr>
        <w:t>Intersection with FMLA</w:t>
      </w:r>
      <w:r w:rsidRPr="003D429A">
        <w:br/>
        <w:t>This leave is in addition to that provided under the federal Family and Medical Leave Act (FMLA) and does not run concurrently with it.</w:t>
      </w:r>
    </w:p>
    <w:p w14:paraId="48BD4AE9" w14:textId="4A18D317" w:rsidR="009C7E0F" w:rsidRDefault="009C7E0F" w:rsidP="00D8177D">
      <w:pPr>
        <w:jc w:val="center"/>
        <w:rPr>
          <w:b/>
          <w:bCs/>
          <w:caps/>
          <w:color w:val="0070C0"/>
          <w:sz w:val="26"/>
          <w:szCs w:val="26"/>
        </w:rPr>
      </w:pPr>
      <w:r w:rsidRPr="00D542D4">
        <w:rPr>
          <w:b/>
          <w:bCs/>
          <w:caps/>
          <w:noProof/>
          <w:color w:val="0070C0"/>
          <w:sz w:val="26"/>
          <w:szCs w:val="26"/>
        </w:rPr>
        <w:t>Reminder:</w:t>
      </w:r>
      <w:r w:rsidRPr="00D542D4">
        <w:rPr>
          <w:b/>
          <w:bCs/>
          <w:caps/>
          <w:noProof/>
          <w:color w:val="0E425C"/>
          <w:sz w:val="26"/>
          <w:szCs w:val="26"/>
        </w:rPr>
        <w:t xml:space="preserve"> Annual Pay Certification Reporting Deadline</w:t>
      </w:r>
      <w:r w:rsidRPr="0043631A">
        <w:rPr>
          <w:rFonts w:ascii="Roboto" w:hAnsi="Roboto"/>
          <w:b/>
          <w:bCs/>
          <w:color w:val="C00000"/>
          <w:shd w:val="clear" w:color="auto" w:fill="FFFFFF"/>
          <w:lang w:val="en"/>
        </w:rPr>
        <w:t xml:space="preserve"> </w:t>
      </w:r>
      <w:r w:rsidRPr="00D542D4">
        <w:rPr>
          <w:b/>
          <w:bCs/>
          <w:caps/>
          <w:color w:val="0070C0"/>
          <w:sz w:val="26"/>
          <w:szCs w:val="26"/>
        </w:rPr>
        <w:t>April 24, 2026</w:t>
      </w:r>
    </w:p>
    <w:p w14:paraId="20EF98A0" w14:textId="77777777" w:rsidR="009C7E0F" w:rsidRPr="002F6B18" w:rsidRDefault="009C7E0F" w:rsidP="009C7E0F">
      <w:pPr>
        <w:rPr>
          <w:b/>
          <w:bCs/>
          <w:shd w:val="clear" w:color="auto" w:fill="FFFFFF"/>
          <w:lang w:val="en"/>
        </w:rPr>
      </w:pPr>
      <w:r w:rsidRPr="002F6B18">
        <w:rPr>
          <w:shd w:val="clear" w:color="auto" w:fill="FFFFFF"/>
        </w:rPr>
        <w:t xml:space="preserve">Illinois law requires private businesses with 100 or more employees </w:t>
      </w:r>
      <w:r w:rsidRPr="002F6B18">
        <w:rPr>
          <w:u w:val="single"/>
          <w:shd w:val="clear" w:color="auto" w:fill="FFFFFF"/>
        </w:rPr>
        <w:t xml:space="preserve">in the State of Illinois </w:t>
      </w:r>
      <w:r w:rsidRPr="002F6B18">
        <w:rPr>
          <w:shd w:val="clear" w:color="auto" w:fill="FFFFFF"/>
        </w:rPr>
        <w:t xml:space="preserve">to </w:t>
      </w:r>
      <w:proofErr w:type="gramStart"/>
      <w:r w:rsidRPr="002F6B18">
        <w:rPr>
          <w:shd w:val="clear" w:color="auto" w:fill="FFFFFF"/>
        </w:rPr>
        <w:t>submit an application</w:t>
      </w:r>
      <w:proofErr w:type="gramEnd"/>
      <w:r w:rsidRPr="002F6B18">
        <w:rPr>
          <w:shd w:val="clear" w:color="auto" w:fill="FFFFFF"/>
        </w:rPr>
        <w:t xml:space="preserve"> to obtain an Equal Pay Registration Certificate (EPRC) by providing certain pay, demographic, and other data to the Illinois Department of Labor (IDOL) by March 24, 2024, and to recertify every two years after the first submission. </w:t>
      </w:r>
    </w:p>
    <w:p w14:paraId="22BEECA5" w14:textId="77777777" w:rsidR="009C7E0F" w:rsidRPr="002F6B18" w:rsidRDefault="009C7E0F" w:rsidP="009C7E0F">
      <w:pPr>
        <w:rPr>
          <w:shd w:val="clear" w:color="auto" w:fill="FFFFFF"/>
        </w:rPr>
      </w:pPr>
      <w:r w:rsidRPr="002F6B18">
        <w:rPr>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11894A77" w14:textId="77777777" w:rsidR="009C7E0F" w:rsidRPr="002F6B18" w:rsidRDefault="009C7E0F">
      <w:pPr>
        <w:pStyle w:val="ListParagraph"/>
        <w:numPr>
          <w:ilvl w:val="0"/>
          <w:numId w:val="332"/>
        </w:numPr>
        <w:spacing w:after="100" w:line="276" w:lineRule="auto"/>
        <w:rPr>
          <w:shd w:val="clear" w:color="auto" w:fill="FFFFFF"/>
        </w:rPr>
      </w:pPr>
      <w:r w:rsidRPr="002F6B18">
        <w:rPr>
          <w:shd w:val="clear" w:color="auto" w:fill="FFFFFF"/>
        </w:rPr>
        <w:t>E</w:t>
      </w:r>
      <w:r w:rsidRPr="002F6B18">
        <w:rPr>
          <w:shd w:val="clear" w:color="auto" w:fill="FFFFFF"/>
          <w:lang w:val="en"/>
        </w:rPr>
        <w:t xml:space="preserve">qual Pay Registration Certificate (EPRC) </w:t>
      </w:r>
      <w:hyperlink r:id="rId715" w:history="1">
        <w:r w:rsidRPr="002F6B18">
          <w:rPr>
            <w:rStyle w:val="Hyperlink"/>
            <w:shd w:val="clear" w:color="auto" w:fill="FFFFFF"/>
            <w:lang w:val="en"/>
          </w:rPr>
          <w:t>FAQs</w:t>
        </w:r>
      </w:hyperlink>
      <w:r w:rsidRPr="002F6B18">
        <w:rPr>
          <w:shd w:val="clear" w:color="auto" w:fill="FFFFFF"/>
          <w:lang w:val="en"/>
        </w:rPr>
        <w:t xml:space="preserve"> </w:t>
      </w:r>
    </w:p>
    <w:p w14:paraId="5AFA6682" w14:textId="77777777" w:rsidR="009C7E0F" w:rsidRPr="002F6B18" w:rsidRDefault="009C7E0F">
      <w:pPr>
        <w:pStyle w:val="ListParagraph"/>
        <w:numPr>
          <w:ilvl w:val="0"/>
          <w:numId w:val="332"/>
        </w:numPr>
        <w:spacing w:after="100" w:line="276" w:lineRule="auto"/>
        <w:rPr>
          <w:shd w:val="clear" w:color="auto" w:fill="FFFFFF"/>
        </w:rPr>
      </w:pPr>
      <w:r w:rsidRPr="002F6B18">
        <w:rPr>
          <w:rStyle w:val="Hyperlink"/>
          <w:i/>
          <w:iCs/>
        </w:rPr>
        <w:t>https://labor.illinois.gov/laws-rules/conmed/eprc.html</w:t>
      </w:r>
    </w:p>
    <w:p w14:paraId="51D73947" w14:textId="77777777" w:rsidR="009C7E0F" w:rsidRDefault="009C7E0F" w:rsidP="005C0763">
      <w:pPr>
        <w:spacing w:after="0" w:line="240" w:lineRule="auto"/>
        <w:ind w:left="1080"/>
        <w:rPr>
          <w:rFonts w:ascii="Calibri" w:hAnsi="Calibri" w:cs="Calibri"/>
          <w:b/>
          <w:bCs/>
          <w:color w:val="C00000"/>
          <w:sz w:val="28"/>
          <w:szCs w:val="28"/>
          <w:shd w:val="clear" w:color="auto" w:fill="FFFFFF"/>
          <w:lang w:val="en"/>
        </w:rPr>
      </w:pPr>
    </w:p>
    <w:p w14:paraId="52CA105D" w14:textId="4F718A66" w:rsidR="005C0763" w:rsidRPr="00DD7BD1" w:rsidRDefault="005C0763" w:rsidP="005C0763">
      <w:pPr>
        <w:spacing w:after="0" w:line="240" w:lineRule="auto"/>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New/Reminder:</w:t>
      </w:r>
      <w:r w:rsidRPr="00DD7BD1">
        <w:rPr>
          <w:rFonts w:ascii="Calibri" w:hAnsi="Calibri" w:cs="Calibri"/>
          <w:b/>
          <w:bCs/>
          <w:sz w:val="28"/>
          <w:szCs w:val="28"/>
          <w:shd w:val="clear" w:color="auto" w:fill="FFFFFF"/>
          <w:lang w:val="en"/>
        </w:rPr>
        <w:t xml:space="preserve"> Annual Pay Certification Reporting – </w:t>
      </w:r>
      <w:r w:rsidRPr="00DD7BD1">
        <w:rPr>
          <w:rFonts w:ascii="Calibri" w:hAnsi="Calibri" w:cs="Calibri"/>
          <w:b/>
          <w:bCs/>
          <w:color w:val="C00000"/>
          <w:sz w:val="28"/>
          <w:szCs w:val="28"/>
          <w:shd w:val="clear" w:color="auto" w:fill="FFFFFF"/>
          <w:lang w:val="en"/>
        </w:rPr>
        <w:t>Deadline April 24, 2026</w:t>
      </w:r>
    </w:p>
    <w:p w14:paraId="0E06AB76" w14:textId="2312946E"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 xml:space="preserve">Illinois law requires private businesses with 100 or more employees </w:t>
      </w:r>
      <w:r w:rsidRPr="00DD7BD1">
        <w:rPr>
          <w:rFonts w:ascii="Calibri" w:hAnsi="Calibri" w:cs="Calibri"/>
          <w:u w:val="single"/>
          <w:shd w:val="clear" w:color="auto" w:fill="FFFFFF"/>
        </w:rPr>
        <w:t xml:space="preserve">in the State of Illinois </w:t>
      </w:r>
      <w:r w:rsidRPr="00DD7BD1">
        <w:rPr>
          <w:rFonts w:ascii="Calibri" w:hAnsi="Calibri" w:cs="Calibri"/>
          <w:shd w:val="clear" w:color="auto" w:fill="FFFFFF"/>
        </w:rPr>
        <w:t xml:space="preserve">to </w:t>
      </w:r>
      <w:proofErr w:type="gramStart"/>
      <w:r w:rsidRPr="00DD7BD1">
        <w:rPr>
          <w:rFonts w:ascii="Calibri" w:hAnsi="Calibri" w:cs="Calibri"/>
          <w:shd w:val="clear" w:color="auto" w:fill="FFFFFF"/>
        </w:rPr>
        <w:t>submit an application</w:t>
      </w:r>
      <w:proofErr w:type="gramEnd"/>
      <w:r w:rsidRPr="00DD7BD1">
        <w:rPr>
          <w:rFonts w:ascii="Calibri" w:hAnsi="Calibri" w:cs="Calibri"/>
          <w:shd w:val="clear" w:color="auto" w:fill="FFFFFF"/>
        </w:rPr>
        <w:t xml:space="preserve"> to obtain an Equal Pay Registration Certificate (EPRC) by providing certain pay, demographic, and other data to the Illinois Department of Labor (IDOL) by March 24, 2024, and to recertify every two years after the first submission. </w:t>
      </w:r>
    </w:p>
    <w:p w14:paraId="7DAEED2E" w14:textId="4BBEF774"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3ACDEA35" w14:textId="77777777" w:rsidR="005C0763" w:rsidRPr="00DD7BD1" w:rsidRDefault="005C0763" w:rsidP="005C0763">
      <w:pPr>
        <w:spacing w:after="0" w:line="240" w:lineRule="auto"/>
        <w:ind w:left="450"/>
        <w:rPr>
          <w:rFonts w:ascii="Calibri" w:hAnsi="Calibri" w:cs="Calibri"/>
          <w:shd w:val="clear" w:color="auto" w:fill="FFFFFF"/>
          <w:lang w:val="en"/>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t xml:space="preserve">Equal Pay Registration Certificate (EPRC) – </w:t>
      </w:r>
      <w:hyperlink r:id="rId716" w:history="1">
        <w:r w:rsidRPr="00DD7BD1">
          <w:rPr>
            <w:rStyle w:val="Hyperlink"/>
            <w:rFonts w:ascii="Calibri" w:hAnsi="Calibri" w:cs="Calibri"/>
            <w:shd w:val="clear" w:color="auto" w:fill="FFFFFF"/>
            <w:lang w:val="en"/>
          </w:rPr>
          <w:t>FAQS</w:t>
        </w:r>
      </w:hyperlink>
    </w:p>
    <w:p w14:paraId="089ECDB2" w14:textId="625319F1" w:rsidR="005C0763" w:rsidRPr="00DD7BD1" w:rsidRDefault="005C0763" w:rsidP="005C0763">
      <w:pPr>
        <w:spacing w:after="0" w:line="240" w:lineRule="auto"/>
        <w:ind w:left="450"/>
        <w:rPr>
          <w:rStyle w:val="Hyperlink"/>
          <w:rFonts w:ascii="Calibri" w:hAnsi="Calibri" w:cs="Calibri"/>
          <w:i/>
          <w:iCs/>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r>
      <w:hyperlink r:id="rId717" w:history="1">
        <w:r w:rsidR="00BC1699" w:rsidRPr="00DD7BD1">
          <w:rPr>
            <w:rStyle w:val="Hyperlink"/>
            <w:rFonts w:ascii="Calibri" w:hAnsi="Calibri" w:cs="Calibri"/>
            <w:i/>
            <w:iCs/>
          </w:rPr>
          <w:t>https://labor.illinois.gov/laws-rules/conmed/eprc.html</w:t>
        </w:r>
      </w:hyperlink>
    </w:p>
    <w:p w14:paraId="118C594E" w14:textId="77777777" w:rsidR="00BC1699" w:rsidRPr="00DD7BD1" w:rsidRDefault="00BC1699" w:rsidP="005C0763">
      <w:pPr>
        <w:spacing w:after="0" w:line="240" w:lineRule="auto"/>
        <w:ind w:left="450"/>
        <w:rPr>
          <w:rFonts w:ascii="Calibri" w:hAnsi="Calibri" w:cs="Calibri"/>
          <w:shd w:val="clear" w:color="auto" w:fill="FFFFFF"/>
          <w:lang w:val="en"/>
        </w:rPr>
      </w:pPr>
    </w:p>
    <w:p w14:paraId="56787C69" w14:textId="77777777" w:rsidR="008F45FD" w:rsidRPr="00DD7BD1" w:rsidRDefault="008F45FD" w:rsidP="008F45FD">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Requires Notice for ID Mismatches – Eff </w:t>
      </w:r>
      <w:r w:rsidRPr="00DD7BD1">
        <w:rPr>
          <w:rFonts w:ascii="Calibri" w:hAnsi="Calibri" w:cs="Calibri"/>
          <w:b/>
          <w:bCs/>
          <w:color w:val="C00000"/>
          <w:sz w:val="28"/>
          <w:szCs w:val="28"/>
          <w:shd w:val="clear" w:color="auto" w:fill="FFFFFF"/>
          <w:lang w:val="en"/>
        </w:rPr>
        <w:t>December 12, 2025</w:t>
      </w:r>
    </w:p>
    <w:p w14:paraId="6749A43B" w14:textId="77777777" w:rsidR="008F45FD" w:rsidRPr="00DD7BD1" w:rsidRDefault="008F45FD" w:rsidP="008F45FD">
      <w:pPr>
        <w:spacing w:after="0" w:line="240" w:lineRule="auto"/>
        <w:ind w:left="90"/>
        <w:rPr>
          <w:rFonts w:ascii="Calibri" w:hAnsi="Calibri" w:cs="Calibri"/>
          <w:shd w:val="clear" w:color="auto" w:fill="FFFFFF"/>
        </w:rPr>
      </w:pPr>
      <w:r w:rsidRPr="00DD7BD1">
        <w:rPr>
          <w:rFonts w:ascii="Calibri" w:hAnsi="Calibri" w:cs="Calibri"/>
          <w:shd w:val="clear" w:color="auto" w:fill="FFFFFF"/>
        </w:rPr>
        <w:t>In case this was missed at the end of 2025, this is a reminder that Illinois employers of</w:t>
      </w:r>
      <w:r w:rsidRPr="00DD7BD1">
        <w:rPr>
          <w:rFonts w:ascii="Calibri" w:hAnsi="Calibri" w:cs="Calibri"/>
          <w:b/>
          <w:bCs/>
          <w:shd w:val="clear" w:color="auto" w:fill="FFFFFF"/>
        </w:rPr>
        <w:t xml:space="preserve"> all sizes</w:t>
      </w:r>
      <w:r w:rsidRPr="00DD7BD1">
        <w:rPr>
          <w:rFonts w:ascii="Calibri" w:hAnsi="Calibri" w:cs="Calibri"/>
          <w:shd w:val="clear" w:color="auto" w:fill="FFFFFF"/>
        </w:rPr>
        <w:t xml:space="preserve"> are required to notify an employee when they receive notice of an identification mismatch unrelated to immigration enforcement as per</w:t>
      </w:r>
      <w:r w:rsidRPr="00DD7BD1">
        <w:rPr>
          <w:rFonts w:ascii="Calibri" w:hAnsi="Calibri" w:cs="Calibri"/>
          <w:color w:val="2E74B5" w:themeColor="accent5" w:themeShade="BF"/>
          <w:shd w:val="clear" w:color="auto" w:fill="FFFFFF"/>
        </w:rPr>
        <w:t xml:space="preserve"> </w:t>
      </w:r>
      <w:hyperlink r:id="rId718" w:tgtFrame="_blank" w:history="1">
        <w:r w:rsidRPr="00DD7BD1">
          <w:rPr>
            <w:rStyle w:val="Hyperlink"/>
            <w:rFonts w:ascii="Calibri" w:hAnsi="Calibri" w:cs="Calibri"/>
            <w:shd w:val="clear" w:color="auto" w:fill="FFFFFF"/>
          </w:rPr>
          <w:t>IL S 2339</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amending the Right to Privacy in the Workplace Act which was signed and effectively immediately on Dec 12, 2025. </w:t>
      </w:r>
    </w:p>
    <w:p w14:paraId="0F2E4E58" w14:textId="77777777" w:rsidR="008F45FD" w:rsidRPr="00DD7BD1" w:rsidRDefault="008F45FD" w:rsidP="008F45FD">
      <w:pPr>
        <w:ind w:left="90"/>
        <w:rPr>
          <w:rFonts w:ascii="Calibri" w:hAnsi="Calibri" w:cs="Calibri"/>
          <w:sz w:val="16"/>
          <w:szCs w:val="16"/>
          <w:shd w:val="clear" w:color="auto" w:fill="FFFFFF"/>
        </w:rPr>
      </w:pPr>
    </w:p>
    <w:p w14:paraId="16CFAB9C" w14:textId="69C7DD70"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requirement applies to discrepancies on tax ID numbers or other identifying documents as reported by a federal agency like the IRS or the Social Security Administration, or an outside vendor such as an insurance company. Employers can’t take adverse action against an employee solely due to receipt of the notice.</w:t>
      </w:r>
    </w:p>
    <w:p w14:paraId="20C5923D" w14:textId="21462E7E"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notification to the employee needs to include that a discrepancy has been identified, the amount of time available to dispute or correct the information, and any action required by the employee. The employer should notify the employee as soon as possible, but not more than five business days after receiving the notification or determining that the employee needs to respond, whichever is later, unless federal law requires a shorter deadline.</w:t>
      </w:r>
    </w:p>
    <w:p w14:paraId="5687F245" w14:textId="77777777"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w:t>
      </w:r>
    </w:p>
    <w:p w14:paraId="38661F2D" w14:textId="77777777" w:rsidR="008F45FD" w:rsidRPr="00DD7BD1" w:rsidRDefault="008F45FD">
      <w:pPr>
        <w:numPr>
          <w:ilvl w:val="0"/>
          <w:numId w:val="319"/>
        </w:num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Employee Protections:</w:t>
      </w:r>
    </w:p>
    <w:p w14:paraId="40C6E095"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No Adverse Action:</w:t>
      </w:r>
      <w:r w:rsidRPr="00DD7BD1">
        <w:rPr>
          <w:rStyle w:val="t286pc"/>
          <w:rFonts w:ascii="Calibri" w:hAnsi="Calibri" w:cs="Calibri"/>
          <w:color w:val="0A0A0A"/>
        </w:rPr>
        <w:t> Employers are strictly prohibited from terminating, suspending, or taking any adverse action against an employee </w:t>
      </w:r>
      <w:r w:rsidRPr="00DD7BD1">
        <w:rPr>
          <w:rStyle w:val="Strong"/>
          <w:rFonts w:ascii="Calibri" w:hAnsi="Calibri" w:cs="Calibri"/>
          <w:b w:val="0"/>
          <w:bCs w:val="0"/>
          <w:color w:val="0A0A0A"/>
        </w:rPr>
        <w:t>solely</w:t>
      </w:r>
      <w:r w:rsidRPr="00DD7BD1">
        <w:rPr>
          <w:rStyle w:val="t286pc"/>
          <w:rFonts w:ascii="Calibri" w:hAnsi="Calibri" w:cs="Calibri"/>
          <w:color w:val="0A0A0A"/>
        </w:rPr>
        <w:t> because of the mismatch notice.</w:t>
      </w:r>
    </w:p>
    <w:p w14:paraId="28A288CD"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lastRenderedPageBreak/>
        <w:t>Right to Representation:</w:t>
      </w:r>
      <w:r w:rsidRPr="00DD7BD1">
        <w:rPr>
          <w:rStyle w:val="t286pc"/>
          <w:rFonts w:ascii="Calibri" w:hAnsi="Calibri" w:cs="Calibri"/>
          <w:color w:val="0A0A0A"/>
        </w:rPr>
        <w:t> Employees have the right to have a representative of their choosing present during any meetings or discussions regarding the mismatch.</w:t>
      </w:r>
    </w:p>
    <w:p w14:paraId="7E66DDB0"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Access to Documents:</w:t>
      </w:r>
      <w:r w:rsidRPr="00DD7BD1">
        <w:rPr>
          <w:rStyle w:val="t286pc"/>
          <w:rFonts w:ascii="Calibri" w:hAnsi="Calibri" w:cs="Calibri"/>
          <w:color w:val="0A0A0A"/>
        </w:rPr>
        <w:t> Upon request, the employer must provide the employee with the original notification received from the agency or vendor.</w:t>
      </w:r>
      <w:r w:rsidRPr="00DD7BD1">
        <w:rPr>
          <w:rStyle w:val="vkekvd"/>
          <w:rFonts w:ascii="Calibri" w:hAnsi="Calibri" w:cs="Calibri"/>
          <w:color w:val="0A0A0A"/>
        </w:rPr>
        <w:t> </w:t>
      </w:r>
    </w:p>
    <w:p w14:paraId="4B539223" w14:textId="77777777" w:rsidR="008F45FD" w:rsidRPr="00DD7BD1" w:rsidRDefault="008F45FD">
      <w:pPr>
        <w:numPr>
          <w:ilvl w:val="0"/>
          <w:numId w:val="319"/>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Civil Penalties:</w:t>
      </w:r>
      <w:r w:rsidRPr="00DD7BD1">
        <w:rPr>
          <w:rFonts w:ascii="Calibri" w:hAnsi="Calibri" w:cs="Calibri"/>
          <w:shd w:val="clear" w:color="auto" w:fill="FFFFFF"/>
        </w:rPr>
        <w:t> $100 to $1,000 for a first violation; $1,000 to $5,000 for repeat violations within three years.</w:t>
      </w:r>
    </w:p>
    <w:p w14:paraId="7648808C" w14:textId="7108AA47" w:rsidR="008F45FD" w:rsidRPr="00DD7BD1" w:rsidRDefault="008F45FD">
      <w:pPr>
        <w:numPr>
          <w:ilvl w:val="0"/>
          <w:numId w:val="319"/>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Employee Remedies:</w:t>
      </w:r>
      <w:r w:rsidRPr="00DD7BD1">
        <w:rPr>
          <w:rFonts w:ascii="Calibri" w:hAnsi="Calibri" w:cs="Calibri"/>
          <w:shd w:val="clear" w:color="auto" w:fill="FFFFFF"/>
        </w:rPr>
        <w:t> If an employee loses their job due to a violation, they may be awarded </w:t>
      </w:r>
      <w:r w:rsidRPr="00DD7BD1">
        <w:rPr>
          <w:rFonts w:ascii="Calibri" w:hAnsi="Calibri" w:cs="Calibri"/>
          <w:b/>
          <w:bCs/>
          <w:shd w:val="clear" w:color="auto" w:fill="FFFFFF"/>
        </w:rPr>
        <w:t>reinstatement, back pay with interest, and a $10,000 civil penalty</w:t>
      </w:r>
      <w:r w:rsidRPr="00DD7BD1">
        <w:rPr>
          <w:rFonts w:ascii="Calibri" w:hAnsi="Calibri" w:cs="Calibri"/>
          <w:shd w:val="clear" w:color="auto" w:fill="FFFFFF"/>
        </w:rPr>
        <w:t>, plus attorney fees</w:t>
      </w:r>
    </w:p>
    <w:p w14:paraId="30D0BC06" w14:textId="77777777" w:rsidR="005C0763" w:rsidRPr="00DD7BD1" w:rsidRDefault="005C0763" w:rsidP="00DF3822">
      <w:pPr>
        <w:spacing w:after="0" w:line="240" w:lineRule="auto"/>
        <w:ind w:right="-187"/>
        <w:jc w:val="center"/>
        <w:rPr>
          <w:rFonts w:ascii="Calibri" w:hAnsi="Calibri" w:cs="Calibri"/>
          <w:b/>
          <w:bCs/>
          <w:shd w:val="clear" w:color="auto" w:fill="FFFFFF"/>
          <w:lang w:val="en"/>
        </w:rPr>
      </w:pPr>
    </w:p>
    <w:p w14:paraId="5799D618" w14:textId="676535E0" w:rsidR="005A5179" w:rsidRPr="00DD7BD1" w:rsidRDefault="005A5179" w:rsidP="00DF3822">
      <w:pPr>
        <w:spacing w:after="0" w:line="240" w:lineRule="auto"/>
        <w:ind w:right="-187"/>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Expanded Protections Under The Right to Privacy in the Workplace Act –</w:t>
      </w:r>
      <w:r w:rsidRPr="00DD7BD1">
        <w:rPr>
          <w:rFonts w:ascii="Calibri" w:hAnsi="Calibri" w:cs="Calibri"/>
          <w:b/>
          <w:bCs/>
          <w:color w:val="C00000"/>
          <w:sz w:val="28"/>
          <w:szCs w:val="28"/>
          <w:shd w:val="clear" w:color="auto" w:fill="FFFFFF"/>
          <w:lang w:val="en"/>
        </w:rPr>
        <w:t xml:space="preserve"> Eff Immediately, Dec 12th</w:t>
      </w:r>
    </w:p>
    <w:p w14:paraId="43B72DEF"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On December 12, 2025, Governor Pritzker signed Senate Bill 2339 into law as Public Act 104-0455, bringing significant updates to Illinois’ Right to Privacy in the Workplace Act. This legislation, effective immediately, redefines employer responsibilities around employment eligibility verification and enhances privacy protections for employees as the Bill significantly expands employee protections while increasing potential exposure for employers that fail to comply with its requirements.</w:t>
      </w:r>
    </w:p>
    <w:p w14:paraId="656A1425"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3193C5FB"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Illinois </w:t>
      </w:r>
      <w:r w:rsidRPr="00DD7BD1">
        <w:rPr>
          <w:rFonts w:ascii="Calibri" w:hAnsi="Calibri" w:cs="Calibri"/>
          <w:b/>
          <w:bCs/>
          <w:shd w:val="clear" w:color="auto" w:fill="FFFFFF"/>
        </w:rPr>
        <w:t xml:space="preserve">employers of all sizes </w:t>
      </w:r>
      <w:r w:rsidRPr="00DD7BD1">
        <w:rPr>
          <w:rFonts w:ascii="Calibri" w:hAnsi="Calibri" w:cs="Calibri"/>
          <w:shd w:val="clear" w:color="auto" w:fill="FFFFFF"/>
        </w:rPr>
        <w:t xml:space="preserve">are now required to </w:t>
      </w:r>
      <w:r w:rsidRPr="00DD7BD1">
        <w:rPr>
          <w:rFonts w:ascii="Calibri" w:hAnsi="Calibri" w:cs="Calibri"/>
          <w:b/>
          <w:bCs/>
          <w:shd w:val="clear" w:color="auto" w:fill="FFFFFF"/>
        </w:rPr>
        <w:t>notify an employee when they receive notice of an identification mismatch unrelated to immigration enforcement</w:t>
      </w:r>
      <w:r w:rsidRPr="00DD7BD1">
        <w:rPr>
          <w:rFonts w:ascii="Calibri" w:hAnsi="Calibri" w:cs="Calibri"/>
          <w:shd w:val="clear" w:color="auto" w:fill="FFFFFF"/>
        </w:rPr>
        <w:t xml:space="preserve">. </w:t>
      </w:r>
    </w:p>
    <w:p w14:paraId="0D1EEF4D"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6CF0A87"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The law provides that an employer enrolled in an Employment Eligibility Verification System, including the E-Verify program, must not impose work authorization verification or re-verification requirements greater than those required by the Employment Eligibility Verification System. The law prohibits employers from taking adverse action against an employee based only on receipt of a notice of a discrepancy (sometimes called a “no match” letter) between an employee’s individual taxpayer identification number or other identifying documents from any federal agency or other outside vendor not responsible for the enforcement of immigration law, such as the Social Security Administration, the Internal Revenue Service or an insurance company. The law also requires employers to provide certain notice to the employee upon receipt of such a notification.</w:t>
      </w:r>
    </w:p>
    <w:p w14:paraId="7FD3C7AA"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A9FB0E0" w14:textId="77777777" w:rsidR="005A5179" w:rsidRPr="00DD7BD1" w:rsidRDefault="005A5179" w:rsidP="00DF3822">
      <w:pPr>
        <w:spacing w:after="0" w:line="240" w:lineRule="auto"/>
        <w:ind w:right="-187"/>
        <w:rPr>
          <w:rFonts w:ascii="Calibri" w:hAnsi="Calibri" w:cs="Calibri"/>
          <w:b/>
          <w:bCs/>
          <w:shd w:val="clear" w:color="auto" w:fill="FFFFFF"/>
        </w:rPr>
      </w:pPr>
      <w:r w:rsidRPr="00DD7BD1">
        <w:rPr>
          <w:rFonts w:ascii="Calibri" w:hAnsi="Calibri" w:cs="Calibri"/>
          <w:b/>
          <w:bCs/>
          <w:shd w:val="clear" w:color="auto" w:fill="FFFFFF"/>
        </w:rPr>
        <w:t>Additional Details</w:t>
      </w:r>
    </w:p>
    <w:p w14:paraId="5B5185C6"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requirement applies to </w:t>
      </w:r>
      <w:r w:rsidRPr="00DD7BD1">
        <w:rPr>
          <w:rFonts w:ascii="Calibri" w:hAnsi="Calibri" w:cs="Calibri"/>
          <w:u w:val="single"/>
          <w:shd w:val="clear" w:color="auto" w:fill="FFFFFF"/>
        </w:rPr>
        <w:t>discrepancies on tax ID numbers or other identifying documents as reported by a federal agency like the IRS or the Social Security Administration, or an outside vendor such as an insurance company</w:t>
      </w:r>
      <w:r w:rsidRPr="00DD7BD1">
        <w:rPr>
          <w:rFonts w:ascii="Calibri" w:hAnsi="Calibri" w:cs="Calibri"/>
          <w:shd w:val="clear" w:color="auto" w:fill="FFFFFF"/>
        </w:rPr>
        <w:t xml:space="preserve">. Employers </w:t>
      </w:r>
      <w:r w:rsidRPr="00DD7BD1">
        <w:rPr>
          <w:rFonts w:ascii="Calibri" w:hAnsi="Calibri" w:cs="Calibri"/>
          <w:u w:val="single"/>
          <w:shd w:val="clear" w:color="auto" w:fill="FFFFFF"/>
        </w:rPr>
        <w:t>can’t take adverse action</w:t>
      </w:r>
      <w:r w:rsidRPr="00DD7BD1">
        <w:rPr>
          <w:rFonts w:ascii="Calibri" w:hAnsi="Calibri" w:cs="Calibri"/>
          <w:shd w:val="clear" w:color="auto" w:fill="FFFFFF"/>
        </w:rPr>
        <w:t xml:space="preserve"> against an employee solely due to receipt of the notice.</w:t>
      </w:r>
    </w:p>
    <w:p w14:paraId="6185D545"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665397D3"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notification to the employee needs to include:</w:t>
      </w:r>
    </w:p>
    <w:p w14:paraId="2FF458BD"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that a discrepancy has been identified, </w:t>
      </w:r>
    </w:p>
    <w:p w14:paraId="4BFD1164"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amount of time available to dispute or correct the information, and </w:t>
      </w:r>
    </w:p>
    <w:p w14:paraId="46911526"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any action required by the employee. </w:t>
      </w:r>
    </w:p>
    <w:p w14:paraId="46E53B41" w14:textId="77777777" w:rsidR="005A5179" w:rsidRPr="00DD7BD1" w:rsidRDefault="005A5179" w:rsidP="00DF3822">
      <w:pPr>
        <w:pStyle w:val="ListParagraph"/>
        <w:framePr w:hSpace="45" w:wrap="around" w:vAnchor="text" w:hAnchor="text"/>
        <w:spacing w:after="0" w:line="240" w:lineRule="auto"/>
        <w:ind w:left="781" w:right="-187"/>
        <w:rPr>
          <w:rFonts w:ascii="Calibri" w:hAnsi="Calibri" w:cs="Calibri"/>
          <w:sz w:val="16"/>
          <w:szCs w:val="16"/>
          <w:shd w:val="clear" w:color="auto" w:fill="FFFFFF"/>
        </w:rPr>
      </w:pPr>
    </w:p>
    <w:p w14:paraId="631F0E65"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employer should notify the employee as soon as possible, but not more than 5 business days after receiving the notification or determining that the employee needs to respond, whichever is later, unless federal law requires a shorter deadline.</w:t>
      </w:r>
    </w:p>
    <w:p w14:paraId="3978141B"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4EA81A5D"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The employer must provide the original notification upon the employee’s request. This law was passed December 12, 2025, and </w:t>
      </w:r>
      <w:r w:rsidRPr="00DD7BD1">
        <w:rPr>
          <w:rFonts w:ascii="Calibri" w:hAnsi="Calibri" w:cs="Calibri"/>
          <w:u w:val="single"/>
          <w:shd w:val="clear" w:color="auto" w:fill="FFFFFF"/>
        </w:rPr>
        <w:t>took effect immediately.</w:t>
      </w:r>
    </w:p>
    <w:p w14:paraId="2208315C"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1AF22C4A" w14:textId="178D9662"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Conflict between SB 2339 and existing DHS requirements presents no conflicts, at present.</w:t>
      </w:r>
    </w:p>
    <w:p w14:paraId="73EB55F4" w14:textId="77777777" w:rsidR="00DF3822" w:rsidRPr="00DD7BD1" w:rsidRDefault="00DF3822" w:rsidP="00DF3822">
      <w:pPr>
        <w:spacing w:after="0" w:line="240" w:lineRule="auto"/>
        <w:ind w:right="-187"/>
        <w:rPr>
          <w:rFonts w:ascii="Calibri" w:hAnsi="Calibri" w:cs="Calibri"/>
          <w:shd w:val="clear" w:color="auto" w:fill="FFFFFF"/>
        </w:rPr>
      </w:pPr>
    </w:p>
    <w:p w14:paraId="689FD0E5" w14:textId="1C198AE5" w:rsidR="00A9583E" w:rsidRPr="00DD7BD1" w:rsidRDefault="00A9583E" w:rsidP="00A9583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Safety &amp; Workplace Act – Eff </w:t>
      </w:r>
      <w:r w:rsidRPr="00DD7BD1">
        <w:rPr>
          <w:rFonts w:ascii="Calibri" w:hAnsi="Calibri" w:cs="Calibri"/>
          <w:b/>
          <w:bCs/>
          <w:color w:val="C00000"/>
          <w:sz w:val="28"/>
          <w:szCs w:val="28"/>
          <w:shd w:val="clear" w:color="auto" w:fill="FFFFFF"/>
          <w:lang w:val="en"/>
        </w:rPr>
        <w:t>Aug 14, 2025</w:t>
      </w:r>
    </w:p>
    <w:bookmarkEnd w:id="86"/>
    <w:p w14:paraId="4E6ECA23" w14:textId="07CD340B" w:rsidR="00A9583E" w:rsidRPr="00DD7BD1" w:rsidRDefault="00A9583E" w:rsidP="00A9583E">
      <w:pPr>
        <w:jc w:val="both"/>
        <w:rPr>
          <w:rFonts w:ascii="Calibri" w:hAnsi="Calibri" w:cs="Calibri"/>
          <w:shd w:val="clear" w:color="auto" w:fill="FFFFFF"/>
        </w:rPr>
      </w:pPr>
      <w:r w:rsidRPr="00DD7BD1">
        <w:rPr>
          <w:rFonts w:ascii="Calibri" w:hAnsi="Calibri" w:cs="Calibri"/>
          <w:shd w:val="clear" w:color="auto" w:fill="FFFFFF"/>
        </w:rPr>
        <w:t xml:space="preserve">On Aug. 14, 2025, Illinois Gov. Pritzker enacted the </w:t>
      </w:r>
      <w:hyperlink r:id="rId719" w:history="1">
        <w:r w:rsidRPr="00DD7BD1">
          <w:rPr>
            <w:rStyle w:val="Hyperlink"/>
            <w:rFonts w:ascii="Calibri" w:hAnsi="Calibri" w:cs="Calibri"/>
            <w:shd w:val="clear" w:color="auto" w:fill="FFFFFF"/>
          </w:rPr>
          <w:t>Illinois Safety and Workplace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(Act) to authorize the Illinois Department of Labor (IDL) to establish rules that address occupational safety concerns, allowing the state to preserve and enhance worker protections </w:t>
      </w:r>
      <w:proofErr w:type="gramStart"/>
      <w:r w:rsidRPr="00DD7BD1">
        <w:rPr>
          <w:rFonts w:ascii="Calibri" w:hAnsi="Calibri" w:cs="Calibri"/>
          <w:shd w:val="clear" w:color="auto" w:fill="FFFFFF"/>
        </w:rPr>
        <w:t>in the event that</w:t>
      </w:r>
      <w:proofErr w:type="gramEnd"/>
      <w:r w:rsidRPr="00DD7BD1">
        <w:rPr>
          <w:rFonts w:ascii="Calibri" w:hAnsi="Calibri" w:cs="Calibri"/>
          <w:shd w:val="clear" w:color="auto" w:fill="FFFFFF"/>
        </w:rPr>
        <w:t xml:space="preserve"> federal OSHA standards are weakened or repealed</w:t>
      </w:r>
    </w:p>
    <w:p w14:paraId="0B4D802D" w14:textId="77777777" w:rsidR="00A9583E" w:rsidRPr="00DD7BD1" w:rsidRDefault="00A9583E" w:rsidP="00A9583E">
      <w:pPr>
        <w:jc w:val="both"/>
        <w:rPr>
          <w:rFonts w:ascii="Calibri" w:hAnsi="Calibri" w:cs="Calibri"/>
          <w:b/>
          <w:shd w:val="clear" w:color="auto" w:fill="FFFFFF"/>
        </w:rPr>
      </w:pPr>
      <w:r w:rsidRPr="00DD7BD1">
        <w:rPr>
          <w:rFonts w:ascii="Calibri" w:hAnsi="Calibri" w:cs="Calibri"/>
          <w:b/>
          <w:shd w:val="clear" w:color="auto" w:fill="FFFFFF"/>
        </w:rPr>
        <w:t xml:space="preserve">Employer Takeaway: </w:t>
      </w:r>
      <w:bookmarkStart w:id="88" w:name="_Hlk213073615"/>
      <w:r w:rsidRPr="00DD7BD1">
        <w:rPr>
          <w:rFonts w:ascii="Calibri" w:hAnsi="Calibri" w:cs="Calibri"/>
          <w:shd w:val="clear" w:color="auto" w:fill="FFFFFF"/>
        </w:rPr>
        <w:t xml:space="preserve">Private employers in Illinois must continue to follow the original, more protective OSHA standards </w:t>
      </w:r>
      <w:r w:rsidRPr="00DD7BD1">
        <w:rPr>
          <w:rFonts w:ascii="Calibri" w:hAnsi="Calibri" w:cs="Calibri"/>
          <w:u w:val="single"/>
          <w:shd w:val="clear" w:color="auto" w:fill="FFFFFF"/>
        </w:rPr>
        <w:t>if federal rules are weakened</w:t>
      </w:r>
      <w:bookmarkEnd w:id="88"/>
      <w:r w:rsidRPr="00DD7BD1">
        <w:rPr>
          <w:rFonts w:ascii="Calibri" w:hAnsi="Calibri" w:cs="Calibri"/>
          <w:shd w:val="clear" w:color="auto" w:fill="FFFFFF"/>
        </w:rPr>
        <w:t>, and stay current with both federal and state regulations to ensure ongoing compliance.</w:t>
      </w:r>
    </w:p>
    <w:p w14:paraId="4A0CD04C" w14:textId="77777777" w:rsidR="00A9583E" w:rsidRPr="00DD7BD1" w:rsidRDefault="00A9583E" w:rsidP="00A9583E">
      <w:pPr>
        <w:spacing w:after="0" w:line="240" w:lineRule="auto"/>
        <w:ind w:right="-180"/>
        <w:rPr>
          <w:rFonts w:ascii="Calibri" w:hAnsi="Calibri" w:cs="Calibri"/>
          <w:b/>
          <w:bCs/>
          <w:shd w:val="clear" w:color="auto" w:fill="FFFFFF"/>
        </w:rPr>
      </w:pPr>
    </w:p>
    <w:p w14:paraId="69657773" w14:textId="48F3BFAB" w:rsidR="00A85628" w:rsidRPr="00DD7BD1" w:rsidRDefault="00A85628" w:rsidP="00A85628">
      <w:pPr>
        <w:spacing w:after="0" w:line="240" w:lineRule="auto"/>
        <w:ind w:right="-18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Changes to IL Employee Blood &amp; Organ Donation Leave Act – </w:t>
      </w:r>
      <w:r w:rsidRPr="00DD7BD1">
        <w:rPr>
          <w:rFonts w:ascii="Calibri" w:hAnsi="Calibri" w:cs="Calibri"/>
          <w:b/>
          <w:bCs/>
          <w:color w:val="C00000"/>
          <w:sz w:val="28"/>
          <w:szCs w:val="28"/>
          <w:shd w:val="clear" w:color="auto" w:fill="FFFFFF"/>
        </w:rPr>
        <w:t>Eff Jan 1, 2026</w:t>
      </w:r>
    </w:p>
    <w:p w14:paraId="74A46332" w14:textId="77777777" w:rsidR="00A85628" w:rsidRPr="00DD7BD1" w:rsidRDefault="00A85628" w:rsidP="00A85628">
      <w:pPr>
        <w:pStyle w:val="BodyText"/>
        <w:spacing w:after="0" w:line="240" w:lineRule="auto"/>
        <w:ind w:right="-180"/>
        <w:jc w:val="left"/>
        <w:rPr>
          <w:rFonts w:cs="Calibri"/>
          <w:color w:val="000000"/>
          <w:w w:val="110"/>
          <w:szCs w:val="22"/>
        </w:rPr>
      </w:pPr>
      <w:r w:rsidRPr="00DD7BD1">
        <w:rPr>
          <w:rFonts w:cs="Calibri"/>
          <w:b/>
          <w:color w:val="000000"/>
          <w:szCs w:val="22"/>
          <w:highlight w:val="lightGray"/>
        </w:rPr>
        <w:t>Employer</w:t>
      </w:r>
      <w:r w:rsidRPr="00DD7BD1">
        <w:rPr>
          <w:rFonts w:cs="Calibri"/>
          <w:b/>
          <w:color w:val="000000"/>
          <w:spacing w:val="36"/>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Illinois</w:t>
      </w:r>
      <w:r w:rsidRPr="00DD7BD1">
        <w:rPr>
          <w:rFonts w:cs="Calibri"/>
          <w:color w:val="000000"/>
          <w:spacing w:val="36"/>
          <w:szCs w:val="22"/>
        </w:rPr>
        <w:t xml:space="preserve"> </w:t>
      </w:r>
      <w:r w:rsidRPr="00DD7BD1">
        <w:rPr>
          <w:rFonts w:cs="Calibri"/>
          <w:color w:val="000000"/>
          <w:szCs w:val="22"/>
        </w:rPr>
        <w:t>HB</w:t>
      </w:r>
      <w:r w:rsidRPr="00DD7BD1">
        <w:rPr>
          <w:rFonts w:cs="Calibri"/>
          <w:color w:val="000000"/>
          <w:spacing w:val="32"/>
          <w:szCs w:val="22"/>
        </w:rPr>
        <w:t xml:space="preserve"> </w:t>
      </w:r>
      <w:r w:rsidRPr="00DD7BD1">
        <w:rPr>
          <w:rFonts w:cs="Calibri"/>
          <w:color w:val="000000"/>
          <w:szCs w:val="22"/>
        </w:rPr>
        <w:t>1616,</w:t>
      </w:r>
      <w:r w:rsidRPr="00DD7BD1">
        <w:rPr>
          <w:rFonts w:cs="Calibri"/>
          <w:color w:val="000000"/>
          <w:spacing w:val="34"/>
          <w:szCs w:val="22"/>
        </w:rPr>
        <w:t xml:space="preserve"> </w:t>
      </w:r>
      <w:r w:rsidRPr="00DD7BD1">
        <w:rPr>
          <w:rFonts w:cs="Calibri"/>
          <w:color w:val="000000"/>
          <w:szCs w:val="22"/>
        </w:rPr>
        <w:t>signed</w:t>
      </w:r>
      <w:r w:rsidRPr="00DD7BD1">
        <w:rPr>
          <w:rFonts w:cs="Calibri"/>
          <w:color w:val="000000"/>
          <w:spacing w:val="40"/>
          <w:szCs w:val="22"/>
        </w:rPr>
        <w:t xml:space="preserve"> </w:t>
      </w:r>
      <w:r w:rsidRPr="00DD7BD1">
        <w:rPr>
          <w:rFonts w:cs="Calibri"/>
          <w:color w:val="000000"/>
          <w:szCs w:val="22"/>
        </w:rPr>
        <w:t>into</w:t>
      </w:r>
      <w:r w:rsidRPr="00DD7BD1">
        <w:rPr>
          <w:rFonts w:cs="Calibri"/>
          <w:color w:val="000000"/>
          <w:spacing w:val="32"/>
          <w:szCs w:val="22"/>
        </w:rPr>
        <w:t xml:space="preserve"> </w:t>
      </w:r>
      <w:r w:rsidRPr="00DD7BD1">
        <w:rPr>
          <w:rFonts w:cs="Calibri"/>
          <w:color w:val="000000"/>
          <w:szCs w:val="22"/>
        </w:rPr>
        <w:t>law</w:t>
      </w:r>
      <w:r w:rsidRPr="00DD7BD1">
        <w:rPr>
          <w:rFonts w:cs="Calibri"/>
          <w:color w:val="000000"/>
          <w:spacing w:val="38"/>
          <w:szCs w:val="22"/>
        </w:rPr>
        <w:t xml:space="preserve"> </w:t>
      </w:r>
      <w:r w:rsidRPr="00DD7BD1">
        <w:rPr>
          <w:rFonts w:cs="Calibri"/>
          <w:color w:val="000000"/>
          <w:szCs w:val="22"/>
        </w:rPr>
        <w:t>on</w:t>
      </w:r>
      <w:r w:rsidRPr="00DD7BD1">
        <w:rPr>
          <w:rFonts w:cs="Calibri"/>
          <w:color w:val="000000"/>
          <w:spacing w:val="34"/>
          <w:szCs w:val="22"/>
        </w:rPr>
        <w:t xml:space="preserve"> </w:t>
      </w:r>
      <w:r w:rsidRPr="00DD7BD1">
        <w:rPr>
          <w:rFonts w:cs="Calibri"/>
          <w:color w:val="000000"/>
          <w:szCs w:val="22"/>
        </w:rPr>
        <w:t>August</w:t>
      </w:r>
      <w:r w:rsidRPr="00DD7BD1">
        <w:rPr>
          <w:rFonts w:cs="Calibri"/>
          <w:color w:val="000000"/>
          <w:spacing w:val="34"/>
          <w:szCs w:val="22"/>
        </w:rPr>
        <w:t xml:space="preserve"> </w:t>
      </w:r>
      <w:r w:rsidRPr="00DD7BD1">
        <w:rPr>
          <w:rFonts w:cs="Calibri"/>
          <w:color w:val="000000"/>
          <w:szCs w:val="22"/>
        </w:rPr>
        <w:t>15,</w:t>
      </w:r>
      <w:r w:rsidRPr="00DD7BD1">
        <w:rPr>
          <w:rFonts w:cs="Calibri"/>
          <w:color w:val="000000"/>
          <w:spacing w:val="34"/>
          <w:szCs w:val="22"/>
        </w:rPr>
        <w:t xml:space="preserve"> </w:t>
      </w:r>
      <w:r w:rsidRPr="00DD7BD1">
        <w:rPr>
          <w:rFonts w:cs="Calibri"/>
          <w:color w:val="000000"/>
          <w:szCs w:val="22"/>
        </w:rPr>
        <w:t>2025,</w:t>
      </w:r>
      <w:r w:rsidRPr="00DD7BD1">
        <w:rPr>
          <w:rFonts w:cs="Calibri"/>
          <w:color w:val="000000"/>
          <w:spacing w:val="34"/>
          <w:szCs w:val="22"/>
        </w:rPr>
        <w:t xml:space="preserve"> </w:t>
      </w:r>
      <w:r w:rsidRPr="00DD7BD1">
        <w:rPr>
          <w:rFonts w:cs="Calibri"/>
          <w:color w:val="000000"/>
          <w:szCs w:val="22"/>
        </w:rPr>
        <w:t>has</w:t>
      </w:r>
      <w:r w:rsidRPr="00DD7BD1">
        <w:rPr>
          <w:rFonts w:cs="Calibri"/>
          <w:color w:val="000000"/>
          <w:spacing w:val="36"/>
          <w:szCs w:val="22"/>
        </w:rPr>
        <w:t xml:space="preserve"> </w:t>
      </w:r>
      <w:r w:rsidRPr="00DD7BD1">
        <w:rPr>
          <w:rFonts w:cs="Calibri"/>
          <w:color w:val="000000"/>
          <w:szCs w:val="22"/>
        </w:rPr>
        <w:t>made</w:t>
      </w:r>
      <w:r w:rsidRPr="00DD7BD1">
        <w:rPr>
          <w:rFonts w:cs="Calibri"/>
          <w:color w:val="000000"/>
          <w:spacing w:val="36"/>
          <w:szCs w:val="22"/>
        </w:rPr>
        <w:t xml:space="preserve"> </w:t>
      </w:r>
      <w:r w:rsidRPr="00DD7BD1">
        <w:rPr>
          <w:rFonts w:cs="Calibri"/>
          <w:color w:val="000000"/>
          <w:szCs w:val="22"/>
        </w:rPr>
        <w:t>several</w:t>
      </w:r>
      <w:r w:rsidRPr="00DD7BD1">
        <w:rPr>
          <w:rFonts w:cs="Calibri"/>
          <w:color w:val="000000"/>
          <w:spacing w:val="36"/>
          <w:szCs w:val="22"/>
        </w:rPr>
        <w:t xml:space="preserve"> </w:t>
      </w:r>
      <w:r w:rsidRPr="00DD7BD1">
        <w:rPr>
          <w:rFonts w:cs="Calibri"/>
          <w:color w:val="000000"/>
          <w:szCs w:val="22"/>
        </w:rPr>
        <w:t>important</w:t>
      </w:r>
      <w:r w:rsidRPr="00DD7BD1">
        <w:rPr>
          <w:rFonts w:cs="Calibri"/>
          <w:color w:val="000000"/>
          <w:spacing w:val="38"/>
          <w:szCs w:val="22"/>
        </w:rPr>
        <w:t xml:space="preserve"> </w:t>
      </w:r>
      <w:r w:rsidRPr="00DD7BD1">
        <w:rPr>
          <w:rFonts w:cs="Calibri"/>
          <w:color w:val="000000"/>
          <w:szCs w:val="22"/>
        </w:rPr>
        <w:t>changes</w:t>
      </w:r>
      <w:r w:rsidRPr="00DD7BD1">
        <w:rPr>
          <w:rFonts w:cs="Calibri"/>
          <w:color w:val="000000"/>
          <w:spacing w:val="38"/>
          <w:szCs w:val="22"/>
        </w:rPr>
        <w:t xml:space="preserve"> </w:t>
      </w:r>
      <w:r w:rsidRPr="00DD7BD1">
        <w:rPr>
          <w:rFonts w:cs="Calibri"/>
          <w:color w:val="000000"/>
          <w:szCs w:val="22"/>
        </w:rPr>
        <w:t xml:space="preserve">to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Employee</w:t>
      </w:r>
      <w:r w:rsidRPr="00DD7BD1">
        <w:rPr>
          <w:rFonts w:cs="Calibri"/>
          <w:color w:val="000000"/>
          <w:spacing w:val="-9"/>
          <w:w w:val="110"/>
          <w:szCs w:val="22"/>
        </w:rPr>
        <w:t xml:space="preserve"> </w:t>
      </w:r>
      <w:r w:rsidRPr="00DD7BD1">
        <w:rPr>
          <w:rFonts w:cs="Calibri"/>
          <w:color w:val="000000"/>
          <w:w w:val="110"/>
          <w:szCs w:val="22"/>
        </w:rPr>
        <w:t>Blood</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12"/>
          <w:w w:val="110"/>
          <w:szCs w:val="22"/>
        </w:rPr>
        <w:t xml:space="preserve"> </w:t>
      </w:r>
      <w:r w:rsidRPr="00DD7BD1">
        <w:rPr>
          <w:rFonts w:cs="Calibri"/>
          <w:color w:val="000000"/>
          <w:w w:val="110"/>
          <w:szCs w:val="22"/>
        </w:rPr>
        <w:t>Organ</w:t>
      </w:r>
      <w:r w:rsidRPr="00DD7BD1">
        <w:rPr>
          <w:rFonts w:cs="Calibri"/>
          <w:color w:val="000000"/>
          <w:spacing w:val="-9"/>
          <w:w w:val="110"/>
          <w:szCs w:val="22"/>
        </w:rPr>
        <w:t xml:space="preserve"> </w:t>
      </w:r>
      <w:r w:rsidRPr="00DD7BD1">
        <w:rPr>
          <w:rFonts w:cs="Calibri"/>
          <w:color w:val="000000"/>
          <w:w w:val="110"/>
          <w:szCs w:val="22"/>
        </w:rPr>
        <w:t>Donation</w:t>
      </w:r>
      <w:r w:rsidRPr="00DD7BD1">
        <w:rPr>
          <w:rFonts w:cs="Calibri"/>
          <w:color w:val="000000"/>
          <w:spacing w:val="-11"/>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Act.</w:t>
      </w:r>
      <w:r w:rsidRPr="00DD7BD1">
        <w:rPr>
          <w:rFonts w:cs="Calibri"/>
          <w:color w:val="000000"/>
          <w:spacing w:val="40"/>
          <w:w w:val="110"/>
          <w:szCs w:val="22"/>
        </w:rPr>
        <w:t xml:space="preserve"> </w:t>
      </w:r>
      <w:r w:rsidRPr="00DD7BD1">
        <w:rPr>
          <w:rFonts w:cs="Calibri"/>
          <w:color w:val="000000"/>
          <w:w w:val="110"/>
          <w:szCs w:val="22"/>
        </w:rPr>
        <w:t>There</w:t>
      </w:r>
      <w:r w:rsidRPr="00DD7BD1">
        <w:rPr>
          <w:rFonts w:cs="Calibri"/>
          <w:color w:val="000000"/>
          <w:spacing w:val="-9"/>
          <w:w w:val="110"/>
          <w:szCs w:val="22"/>
        </w:rPr>
        <w:t xml:space="preserve"> </w:t>
      </w:r>
      <w:r w:rsidRPr="00DD7BD1">
        <w:rPr>
          <w:rFonts w:cs="Calibri"/>
          <w:color w:val="000000"/>
          <w:w w:val="110"/>
          <w:szCs w:val="22"/>
        </w:rPr>
        <w:t>remains</w:t>
      </w:r>
      <w:r w:rsidRPr="00DD7BD1">
        <w:rPr>
          <w:rFonts w:cs="Calibri"/>
          <w:color w:val="000000"/>
          <w:spacing w:val="-7"/>
          <w:w w:val="110"/>
          <w:szCs w:val="22"/>
        </w:rPr>
        <w:t xml:space="preserve"> </w:t>
      </w:r>
      <w:r w:rsidRPr="00DD7BD1">
        <w:rPr>
          <w:rFonts w:cs="Calibri"/>
          <w:color w:val="000000"/>
          <w:w w:val="110"/>
          <w:szCs w:val="22"/>
        </w:rPr>
        <w:t>confusion</w:t>
      </w:r>
      <w:r w:rsidRPr="00DD7BD1">
        <w:rPr>
          <w:rFonts w:cs="Calibri"/>
          <w:color w:val="000000"/>
          <w:spacing w:val="-12"/>
          <w:w w:val="110"/>
          <w:szCs w:val="22"/>
        </w:rPr>
        <w:t xml:space="preserve"> </w:t>
      </w:r>
      <w:r w:rsidRPr="00DD7BD1">
        <w:rPr>
          <w:rFonts w:cs="Calibri"/>
          <w:color w:val="000000"/>
          <w:w w:val="110"/>
          <w:szCs w:val="22"/>
        </w:rPr>
        <w:t>relating</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must be</w:t>
      </w:r>
      <w:r w:rsidRPr="00DD7BD1">
        <w:rPr>
          <w:rFonts w:cs="Calibri"/>
          <w:color w:val="000000"/>
          <w:spacing w:val="-12"/>
          <w:w w:val="110"/>
          <w:szCs w:val="22"/>
        </w:rPr>
        <w:t xml:space="preserve"> </w:t>
      </w:r>
      <w:r w:rsidRPr="00DD7BD1">
        <w:rPr>
          <w:rFonts w:cs="Calibri"/>
          <w:color w:val="000000"/>
          <w:w w:val="110"/>
          <w:szCs w:val="22"/>
        </w:rPr>
        <w:t>paid.</w:t>
      </w:r>
      <w:r w:rsidRPr="00DD7BD1">
        <w:rPr>
          <w:rFonts w:cs="Calibri"/>
          <w:color w:val="000000"/>
          <w:spacing w:val="-13"/>
          <w:w w:val="110"/>
          <w:szCs w:val="22"/>
        </w:rPr>
        <w:t xml:space="preserve"> </w:t>
      </w:r>
      <w:r w:rsidRPr="00DD7BD1">
        <w:rPr>
          <w:rFonts w:cs="Calibri"/>
          <w:color w:val="000000"/>
          <w:w w:val="110"/>
          <w:szCs w:val="22"/>
        </w:rPr>
        <w:t>However,</w:t>
      </w:r>
      <w:r w:rsidRPr="00DD7BD1">
        <w:rPr>
          <w:rFonts w:cs="Calibri"/>
          <w:color w:val="000000"/>
          <w:spacing w:val="-10"/>
          <w:w w:val="110"/>
          <w:szCs w:val="22"/>
        </w:rPr>
        <w:t xml:space="preserve"> </w:t>
      </w:r>
      <w:r w:rsidRPr="00DD7BD1">
        <w:rPr>
          <w:rFonts w:cs="Calibri"/>
          <w:color w:val="000000"/>
          <w:w w:val="110"/>
          <w:szCs w:val="22"/>
        </w:rPr>
        <w:t>there</w:t>
      </w:r>
      <w:r w:rsidRPr="00DD7BD1">
        <w:rPr>
          <w:rFonts w:cs="Calibri"/>
          <w:color w:val="000000"/>
          <w:spacing w:val="-10"/>
          <w:w w:val="110"/>
          <w:szCs w:val="22"/>
        </w:rPr>
        <w:t xml:space="preserve"> </w:t>
      </w:r>
      <w:r w:rsidRPr="00DD7BD1">
        <w:rPr>
          <w:rFonts w:cs="Calibri"/>
          <w:color w:val="000000"/>
          <w:w w:val="110"/>
          <w:szCs w:val="22"/>
        </w:rPr>
        <w:t>is</w:t>
      </w:r>
      <w:r w:rsidRPr="00DD7BD1">
        <w:rPr>
          <w:rFonts w:cs="Calibri"/>
          <w:color w:val="000000"/>
          <w:spacing w:val="-10"/>
          <w:w w:val="110"/>
          <w:szCs w:val="22"/>
        </w:rPr>
        <w:t xml:space="preserve"> </w:t>
      </w:r>
      <w:r w:rsidRPr="00DD7BD1">
        <w:rPr>
          <w:rFonts w:cs="Calibri"/>
          <w:color w:val="000000"/>
          <w:w w:val="110"/>
          <w:szCs w:val="22"/>
        </w:rPr>
        <w:t>time</w:t>
      </w:r>
      <w:r w:rsidRPr="00DD7BD1">
        <w:rPr>
          <w:rFonts w:cs="Calibri"/>
          <w:color w:val="000000"/>
          <w:spacing w:val="-10"/>
          <w:w w:val="110"/>
          <w:szCs w:val="22"/>
        </w:rPr>
        <w:t xml:space="preserve"> </w:t>
      </w:r>
      <w:r w:rsidRPr="00DD7BD1">
        <w:rPr>
          <w:rFonts w:cs="Calibri"/>
          <w:color w:val="000000"/>
          <w:w w:val="110"/>
          <w:szCs w:val="22"/>
        </w:rPr>
        <w:t>and</w:t>
      </w:r>
      <w:r w:rsidRPr="00DD7BD1">
        <w:rPr>
          <w:rFonts w:cs="Calibri"/>
          <w:color w:val="000000"/>
          <w:spacing w:val="-10"/>
          <w:w w:val="110"/>
          <w:szCs w:val="22"/>
        </w:rPr>
        <w:t xml:space="preserve"> </w:t>
      </w:r>
      <w:r w:rsidRPr="00DD7BD1">
        <w:rPr>
          <w:rFonts w:cs="Calibri"/>
          <w:color w:val="000000"/>
          <w:w w:val="110"/>
          <w:szCs w:val="22"/>
        </w:rPr>
        <w:t>hope</w:t>
      </w:r>
      <w:r w:rsidRPr="00DD7BD1">
        <w:rPr>
          <w:rFonts w:cs="Calibri"/>
          <w:color w:val="000000"/>
          <w:spacing w:val="-12"/>
          <w:w w:val="110"/>
          <w:szCs w:val="22"/>
        </w:rPr>
        <w:t xml:space="preserve"> </w:t>
      </w:r>
      <w:r w:rsidRPr="00DD7BD1">
        <w:rPr>
          <w:rFonts w:cs="Calibri"/>
          <w:color w:val="000000"/>
          <w:w w:val="110"/>
          <w:szCs w:val="22"/>
        </w:rPr>
        <w:t>for</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10"/>
          <w:w w:val="110"/>
          <w:szCs w:val="22"/>
        </w:rPr>
        <w:t xml:space="preserve"> </w:t>
      </w:r>
      <w:r w:rsidRPr="00DD7BD1">
        <w:rPr>
          <w:rFonts w:cs="Calibri"/>
          <w:color w:val="000000"/>
          <w:w w:val="110"/>
          <w:szCs w:val="22"/>
        </w:rPr>
        <w:t>Illinois</w:t>
      </w:r>
      <w:r w:rsidRPr="00DD7BD1">
        <w:rPr>
          <w:rFonts w:cs="Calibri"/>
          <w:color w:val="000000"/>
          <w:spacing w:val="-10"/>
          <w:w w:val="110"/>
          <w:szCs w:val="22"/>
        </w:rPr>
        <w:t xml:space="preserve"> </w:t>
      </w:r>
      <w:r w:rsidRPr="00DD7BD1">
        <w:rPr>
          <w:rFonts w:cs="Calibri"/>
          <w:color w:val="000000"/>
          <w:w w:val="110"/>
          <w:szCs w:val="22"/>
        </w:rPr>
        <w:t>Department</w:t>
      </w:r>
      <w:r w:rsidRPr="00DD7BD1">
        <w:rPr>
          <w:rFonts w:cs="Calibri"/>
          <w:color w:val="000000"/>
          <w:spacing w:val="-15"/>
          <w:w w:val="110"/>
          <w:szCs w:val="22"/>
        </w:rPr>
        <w:t xml:space="preserve"> </w:t>
      </w:r>
      <w:r w:rsidRPr="00DD7BD1">
        <w:rPr>
          <w:rFonts w:cs="Calibri"/>
          <w:color w:val="000000"/>
          <w:w w:val="110"/>
          <w:szCs w:val="22"/>
        </w:rPr>
        <w:t>of</w:t>
      </w:r>
      <w:r w:rsidRPr="00DD7BD1">
        <w:rPr>
          <w:rFonts w:cs="Calibri"/>
          <w:color w:val="000000"/>
          <w:spacing w:val="-13"/>
          <w:w w:val="110"/>
          <w:szCs w:val="22"/>
        </w:rPr>
        <w:t xml:space="preserve"> </w:t>
      </w:r>
      <w:r w:rsidRPr="00DD7BD1">
        <w:rPr>
          <w:rFonts w:cs="Calibri"/>
          <w:color w:val="000000"/>
          <w:w w:val="110"/>
          <w:szCs w:val="22"/>
        </w:rPr>
        <w:t>Public</w:t>
      </w:r>
      <w:r w:rsidRPr="00DD7BD1">
        <w:rPr>
          <w:rFonts w:cs="Calibri"/>
          <w:color w:val="000000"/>
          <w:spacing w:val="-11"/>
          <w:w w:val="110"/>
          <w:szCs w:val="22"/>
        </w:rPr>
        <w:t xml:space="preserve"> </w:t>
      </w:r>
      <w:r w:rsidRPr="00DD7BD1">
        <w:rPr>
          <w:rFonts w:cs="Calibri"/>
          <w:color w:val="000000"/>
          <w:w w:val="110"/>
          <w:szCs w:val="22"/>
        </w:rPr>
        <w:t>Health</w:t>
      </w:r>
      <w:r w:rsidRPr="00DD7BD1">
        <w:rPr>
          <w:rFonts w:cs="Calibri"/>
          <w:color w:val="000000"/>
          <w:spacing w:val="-13"/>
          <w:w w:val="110"/>
          <w:szCs w:val="22"/>
        </w:rPr>
        <w:t xml:space="preserve"> </w:t>
      </w:r>
      <w:r w:rsidRPr="00DD7BD1">
        <w:rPr>
          <w:rFonts w:cs="Calibri"/>
          <w:color w:val="000000"/>
          <w:w w:val="110"/>
          <w:szCs w:val="22"/>
        </w:rPr>
        <w:t>(IDPH)</w:t>
      </w:r>
      <w:r w:rsidRPr="00DD7BD1">
        <w:rPr>
          <w:rFonts w:cs="Calibri"/>
          <w:color w:val="000000"/>
          <w:spacing w:val="-7"/>
          <w:w w:val="110"/>
          <w:szCs w:val="22"/>
        </w:rPr>
        <w:t xml:space="preserve"> </w:t>
      </w:r>
      <w:r w:rsidRPr="00DD7BD1">
        <w:rPr>
          <w:rFonts w:cs="Calibri"/>
          <w:color w:val="000000"/>
          <w:w w:val="110"/>
          <w:szCs w:val="22"/>
        </w:rPr>
        <w:t>to</w:t>
      </w:r>
      <w:r w:rsidRPr="00DD7BD1">
        <w:rPr>
          <w:rFonts w:cs="Calibri"/>
          <w:color w:val="000000"/>
          <w:spacing w:val="-10"/>
          <w:w w:val="110"/>
          <w:szCs w:val="22"/>
        </w:rPr>
        <w:t xml:space="preserve"> </w:t>
      </w:r>
      <w:r w:rsidRPr="00DD7BD1">
        <w:rPr>
          <w:rFonts w:cs="Calibri"/>
          <w:color w:val="000000"/>
          <w:w w:val="110"/>
          <w:szCs w:val="22"/>
        </w:rPr>
        <w:t>issue</w:t>
      </w:r>
      <w:r w:rsidRPr="00DD7BD1">
        <w:rPr>
          <w:rFonts w:cs="Calibri"/>
          <w:color w:val="000000"/>
          <w:spacing w:val="-13"/>
          <w:w w:val="110"/>
          <w:szCs w:val="22"/>
        </w:rPr>
        <w:t xml:space="preserve"> </w:t>
      </w:r>
      <w:r w:rsidRPr="00DD7BD1">
        <w:rPr>
          <w:rFonts w:cs="Calibri"/>
          <w:color w:val="000000"/>
          <w:w w:val="110"/>
          <w:szCs w:val="22"/>
        </w:rPr>
        <w:t>new regulatory</w:t>
      </w:r>
      <w:r w:rsidRPr="00DD7BD1">
        <w:rPr>
          <w:rFonts w:cs="Calibri"/>
          <w:color w:val="000000"/>
          <w:spacing w:val="-11"/>
          <w:w w:val="110"/>
          <w:szCs w:val="22"/>
        </w:rPr>
        <w:t xml:space="preserve"> </w:t>
      </w:r>
      <w:r w:rsidRPr="00DD7BD1">
        <w:rPr>
          <w:rFonts w:cs="Calibri"/>
          <w:color w:val="000000"/>
          <w:w w:val="110"/>
          <w:szCs w:val="22"/>
        </w:rPr>
        <w:t>guidance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amended</w:t>
      </w:r>
      <w:r w:rsidRPr="00DD7BD1">
        <w:rPr>
          <w:rFonts w:cs="Calibri"/>
          <w:color w:val="000000"/>
          <w:spacing w:val="-11"/>
          <w:w w:val="110"/>
          <w:szCs w:val="22"/>
        </w:rPr>
        <w:t xml:space="preserve"> </w:t>
      </w:r>
      <w:r w:rsidRPr="00DD7BD1">
        <w:rPr>
          <w:rFonts w:cs="Calibri"/>
          <w:color w:val="000000"/>
          <w:w w:val="110"/>
          <w:szCs w:val="22"/>
        </w:rPr>
        <w:t>version</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regulation</w:t>
      </w:r>
      <w:r w:rsidRPr="00DD7BD1">
        <w:rPr>
          <w:rFonts w:cs="Calibri"/>
          <w:color w:val="000000"/>
          <w:spacing w:val="-8"/>
          <w:w w:val="110"/>
          <w:szCs w:val="22"/>
        </w:rPr>
        <w:t xml:space="preserve"> </w:t>
      </w:r>
      <w:r w:rsidRPr="00DD7BD1">
        <w:rPr>
          <w:rFonts w:cs="Calibri"/>
          <w:color w:val="000000"/>
          <w:w w:val="110"/>
          <w:szCs w:val="22"/>
        </w:rPr>
        <w:t>which</w:t>
      </w:r>
      <w:r w:rsidRPr="00DD7BD1">
        <w:rPr>
          <w:rFonts w:cs="Calibri"/>
          <w:color w:val="000000"/>
          <w:spacing w:val="-8"/>
          <w:w w:val="110"/>
          <w:szCs w:val="22"/>
        </w:rPr>
        <w:t xml:space="preserve"> </w:t>
      </w:r>
      <w:r w:rsidRPr="00DD7BD1">
        <w:rPr>
          <w:rFonts w:cs="Calibri"/>
          <w:color w:val="000000"/>
          <w:w w:val="110"/>
          <w:szCs w:val="22"/>
        </w:rPr>
        <w:t>the</w:t>
      </w:r>
      <w:r w:rsidRPr="00DD7BD1">
        <w:rPr>
          <w:rFonts w:cs="Calibri"/>
          <w:color w:val="000000"/>
          <w:spacing w:val="-13"/>
          <w:w w:val="110"/>
          <w:szCs w:val="22"/>
        </w:rPr>
        <w:t xml:space="preserve"> </w:t>
      </w:r>
      <w:r w:rsidRPr="00DD7BD1">
        <w:rPr>
          <w:rFonts w:cs="Calibri"/>
          <w:color w:val="000000"/>
          <w:w w:val="110"/>
          <w:szCs w:val="22"/>
        </w:rPr>
        <w:t>General</w:t>
      </w:r>
      <w:r w:rsidRPr="00DD7BD1">
        <w:rPr>
          <w:rFonts w:cs="Calibri"/>
          <w:color w:val="000000"/>
          <w:spacing w:val="-10"/>
          <w:w w:val="110"/>
          <w:szCs w:val="22"/>
        </w:rPr>
        <w:t xml:space="preserve"> </w:t>
      </w:r>
      <w:r w:rsidRPr="00DD7BD1">
        <w:rPr>
          <w:rFonts w:cs="Calibri"/>
          <w:color w:val="000000"/>
          <w:w w:val="110"/>
          <w:szCs w:val="22"/>
        </w:rPr>
        <w:t>Assembly</w:t>
      </w:r>
      <w:r w:rsidRPr="00DD7BD1">
        <w:rPr>
          <w:rFonts w:cs="Calibri"/>
          <w:color w:val="000000"/>
          <w:spacing w:val="-10"/>
          <w:w w:val="110"/>
          <w:szCs w:val="22"/>
        </w:rPr>
        <w:t xml:space="preserve"> </w:t>
      </w:r>
      <w:r w:rsidRPr="00DD7BD1">
        <w:rPr>
          <w:rFonts w:cs="Calibri"/>
          <w:color w:val="000000"/>
          <w:w w:val="110"/>
          <w:szCs w:val="22"/>
        </w:rPr>
        <w:t>website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Public</w:t>
      </w:r>
      <w:r w:rsidRPr="00DD7BD1">
        <w:rPr>
          <w:rFonts w:cs="Calibri"/>
          <w:color w:val="000000"/>
          <w:spacing w:val="-9"/>
          <w:w w:val="110"/>
          <w:szCs w:val="22"/>
        </w:rPr>
        <w:t xml:space="preserve"> </w:t>
      </w:r>
      <w:r w:rsidRPr="00DD7BD1">
        <w:rPr>
          <w:rFonts w:cs="Calibri"/>
          <w:color w:val="000000"/>
          <w:w w:val="110"/>
          <w:szCs w:val="22"/>
        </w:rPr>
        <w:t>Act 104-0193 states that the changes go into effect (as opposed to the amendment itself).</w:t>
      </w:r>
    </w:p>
    <w:p w14:paraId="617E6EFF" w14:textId="77777777" w:rsidR="00A85628" w:rsidRPr="00DD7BD1" w:rsidRDefault="00A85628" w:rsidP="00A85628">
      <w:pPr>
        <w:pStyle w:val="BodyText"/>
        <w:spacing w:after="0" w:line="240" w:lineRule="auto"/>
        <w:ind w:right="-180"/>
        <w:jc w:val="left"/>
        <w:rPr>
          <w:rFonts w:cs="Calibri"/>
          <w:color w:val="auto"/>
          <w:sz w:val="16"/>
          <w:szCs w:val="16"/>
        </w:rPr>
      </w:pPr>
    </w:p>
    <w:p w14:paraId="4A7513F6"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2023,</w:t>
      </w:r>
      <w:r w:rsidRPr="00DD7BD1">
        <w:rPr>
          <w:rFonts w:cs="Calibri"/>
          <w:color w:val="auto"/>
          <w:spacing w:val="-12"/>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amended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Employee</w:t>
      </w:r>
      <w:r w:rsidRPr="00DD7BD1">
        <w:rPr>
          <w:rFonts w:cs="Calibri"/>
          <w:color w:val="auto"/>
          <w:spacing w:val="-13"/>
          <w:w w:val="110"/>
          <w:szCs w:val="22"/>
        </w:rPr>
        <w:t xml:space="preserve"> </w:t>
      </w:r>
      <w:r w:rsidRPr="00DD7BD1">
        <w:rPr>
          <w:rFonts w:cs="Calibri"/>
          <w:color w:val="auto"/>
          <w:w w:val="110"/>
          <w:szCs w:val="22"/>
        </w:rPr>
        <w:t>Blood</w:t>
      </w:r>
      <w:r w:rsidRPr="00DD7BD1">
        <w:rPr>
          <w:rFonts w:cs="Calibri"/>
          <w:color w:val="auto"/>
          <w:spacing w:val="-11"/>
          <w:w w:val="110"/>
          <w:szCs w:val="22"/>
        </w:rPr>
        <w:t xml:space="preserve"> </w:t>
      </w:r>
      <w:r w:rsidRPr="00DD7BD1">
        <w:rPr>
          <w:rFonts w:cs="Calibri"/>
          <w:color w:val="auto"/>
          <w:w w:val="110"/>
          <w:szCs w:val="22"/>
        </w:rPr>
        <w:t>Donation</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w:t>
      </w:r>
      <w:r w:rsidRPr="00DD7BD1">
        <w:rPr>
          <w:rFonts w:cs="Calibri"/>
          <w:color w:val="auto"/>
          <w:spacing w:val="-10"/>
          <w:w w:val="110"/>
          <w:szCs w:val="22"/>
        </w:rPr>
        <w:t xml:space="preserve"> </w:t>
      </w:r>
      <w:r w:rsidRPr="00DD7BD1">
        <w:rPr>
          <w:rFonts w:cs="Calibri"/>
          <w:color w:val="auto"/>
          <w:w w:val="110"/>
          <w:szCs w:val="22"/>
        </w:rPr>
        <w:t>820</w:t>
      </w:r>
      <w:r w:rsidRPr="00DD7BD1">
        <w:rPr>
          <w:rFonts w:cs="Calibri"/>
          <w:color w:val="auto"/>
          <w:spacing w:val="-14"/>
          <w:w w:val="110"/>
          <w:szCs w:val="22"/>
        </w:rPr>
        <w:t xml:space="preserve"> </w:t>
      </w:r>
      <w:r w:rsidRPr="00DD7BD1">
        <w:rPr>
          <w:rFonts w:cs="Calibri"/>
          <w:color w:val="auto"/>
          <w:w w:val="110"/>
          <w:szCs w:val="22"/>
        </w:rPr>
        <w:t>ILCS</w:t>
      </w:r>
      <w:r w:rsidRPr="00DD7BD1">
        <w:rPr>
          <w:rFonts w:cs="Calibri"/>
          <w:color w:val="auto"/>
          <w:spacing w:val="-11"/>
          <w:w w:val="110"/>
          <w:szCs w:val="22"/>
        </w:rPr>
        <w:t xml:space="preserve"> </w:t>
      </w:r>
      <w:r w:rsidRPr="00DD7BD1">
        <w:rPr>
          <w:rFonts w:cs="Calibri"/>
          <w:color w:val="auto"/>
          <w:w w:val="110"/>
          <w:szCs w:val="22"/>
        </w:rPr>
        <w:t>149</w:t>
      </w:r>
      <w:r w:rsidRPr="00DD7BD1">
        <w:rPr>
          <w:rFonts w:cs="Calibri"/>
          <w:color w:val="auto"/>
          <w:spacing w:val="-12"/>
          <w:w w:val="110"/>
          <w:szCs w:val="22"/>
        </w:rPr>
        <w:t xml:space="preserve"> </w:t>
      </w:r>
      <w:r w:rsidRPr="00DD7BD1">
        <w:rPr>
          <w:rFonts w:cs="Calibri"/>
          <w:i/>
          <w:color w:val="auto"/>
          <w:w w:val="110"/>
          <w:szCs w:val="22"/>
        </w:rPr>
        <w:t>et</w:t>
      </w:r>
      <w:r w:rsidRPr="00DD7BD1">
        <w:rPr>
          <w:rFonts w:cs="Calibri"/>
          <w:i/>
          <w:color w:val="auto"/>
          <w:spacing w:val="-12"/>
          <w:w w:val="110"/>
          <w:szCs w:val="22"/>
        </w:rPr>
        <w:t xml:space="preserve"> </w:t>
      </w:r>
      <w:r w:rsidRPr="00DD7BD1">
        <w:rPr>
          <w:rFonts w:cs="Calibri"/>
          <w:i/>
          <w:color w:val="auto"/>
          <w:w w:val="110"/>
          <w:szCs w:val="22"/>
        </w:rPr>
        <w:t>seq</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apply</w:t>
      </w:r>
      <w:r w:rsidRPr="00DD7BD1">
        <w:rPr>
          <w:rFonts w:cs="Calibri"/>
          <w:color w:val="auto"/>
          <w:spacing w:val="-9"/>
          <w:w w:val="110"/>
          <w:szCs w:val="22"/>
        </w:rPr>
        <w:t xml:space="preserve"> </w:t>
      </w:r>
      <w:r w:rsidRPr="00DD7BD1">
        <w:rPr>
          <w:rFonts w:cs="Calibri"/>
          <w:color w:val="auto"/>
          <w:w w:val="110"/>
          <w:szCs w:val="22"/>
        </w:rPr>
        <w:t>all</w:t>
      </w:r>
      <w:r w:rsidRPr="00DD7BD1">
        <w:rPr>
          <w:rFonts w:cs="Calibri"/>
          <w:color w:val="auto"/>
          <w:spacing w:val="-15"/>
          <w:w w:val="110"/>
          <w:szCs w:val="22"/>
        </w:rPr>
        <w:t xml:space="preserve"> </w:t>
      </w:r>
      <w:r w:rsidRPr="00DD7BD1">
        <w:rPr>
          <w:rFonts w:cs="Calibri"/>
          <w:color w:val="auto"/>
          <w:w w:val="110"/>
          <w:szCs w:val="22"/>
        </w:rPr>
        <w:t>full-time employees in</w:t>
      </w:r>
      <w:r w:rsidRPr="00DD7BD1">
        <w:rPr>
          <w:rFonts w:cs="Calibri"/>
          <w:color w:val="auto"/>
          <w:spacing w:val="-2"/>
          <w:w w:val="110"/>
          <w:szCs w:val="22"/>
        </w:rPr>
        <w:t xml:space="preserve"> </w:t>
      </w:r>
      <w:r w:rsidRPr="00DD7BD1">
        <w:rPr>
          <w:rFonts w:cs="Calibri"/>
          <w:color w:val="auto"/>
          <w:w w:val="110"/>
          <w:szCs w:val="22"/>
        </w:rPr>
        <w:t>Illinois,</w:t>
      </w:r>
      <w:r w:rsidRPr="00DD7BD1">
        <w:rPr>
          <w:rFonts w:cs="Calibri"/>
          <w:color w:val="auto"/>
          <w:spacing w:val="-2"/>
          <w:w w:val="110"/>
          <w:szCs w:val="22"/>
        </w:rPr>
        <w:t xml:space="preserve"> </w:t>
      </w:r>
      <w:r w:rsidRPr="00DD7BD1">
        <w:rPr>
          <w:rFonts w:cs="Calibri"/>
          <w:color w:val="auto"/>
          <w:w w:val="110"/>
          <w:szCs w:val="22"/>
        </w:rPr>
        <w:t>including</w:t>
      </w:r>
      <w:r w:rsidRPr="00DD7BD1">
        <w:rPr>
          <w:rFonts w:cs="Calibri"/>
          <w:color w:val="auto"/>
          <w:spacing w:val="-2"/>
          <w:w w:val="110"/>
          <w:szCs w:val="22"/>
        </w:rPr>
        <w:t xml:space="preserve"> </w:t>
      </w:r>
      <w:r w:rsidRPr="00DD7BD1">
        <w:rPr>
          <w:rFonts w:cs="Calibri"/>
          <w:color w:val="auto"/>
          <w:w w:val="110"/>
          <w:szCs w:val="22"/>
        </w:rPr>
        <w:t>those who work for private</w:t>
      </w:r>
      <w:r w:rsidRPr="00DD7BD1">
        <w:rPr>
          <w:rFonts w:cs="Calibri"/>
          <w:color w:val="auto"/>
          <w:spacing w:val="-2"/>
          <w:w w:val="110"/>
          <w:szCs w:val="22"/>
        </w:rPr>
        <w:t xml:space="preserve"> </w:t>
      </w:r>
      <w:r w:rsidRPr="00DD7BD1">
        <w:rPr>
          <w:rFonts w:cs="Calibri"/>
          <w:color w:val="auto"/>
          <w:w w:val="110"/>
          <w:szCs w:val="22"/>
        </w:rPr>
        <w:t>employers.</w:t>
      </w:r>
    </w:p>
    <w:p w14:paraId="088BB0B8" w14:textId="77777777" w:rsidR="00A85628" w:rsidRPr="00DD7BD1" w:rsidRDefault="00A85628" w:rsidP="00A85628">
      <w:pPr>
        <w:pStyle w:val="BodyText"/>
        <w:spacing w:after="0" w:line="240" w:lineRule="auto"/>
        <w:ind w:right="-180"/>
        <w:jc w:val="left"/>
        <w:rPr>
          <w:rFonts w:cs="Calibri"/>
          <w:color w:val="auto"/>
          <w:sz w:val="16"/>
          <w:szCs w:val="16"/>
        </w:rPr>
      </w:pPr>
    </w:p>
    <w:p w14:paraId="720728FB"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0"/>
          <w:w w:val="110"/>
          <w:szCs w:val="22"/>
        </w:rPr>
        <w:t xml:space="preserve"> </w:t>
      </w:r>
      <w:r w:rsidRPr="00DD7BD1">
        <w:rPr>
          <w:rFonts w:cs="Calibri"/>
          <w:color w:val="auto"/>
          <w:w w:val="110"/>
          <w:szCs w:val="22"/>
        </w:rPr>
        <w:t>applies</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1"/>
          <w:w w:val="110"/>
          <w:szCs w:val="22"/>
        </w:rPr>
        <w:t xml:space="preserve"> </w:t>
      </w:r>
      <w:r w:rsidRPr="00DD7BD1">
        <w:rPr>
          <w:rFonts w:cs="Calibri"/>
          <w:color w:val="auto"/>
          <w:w w:val="110"/>
          <w:szCs w:val="22"/>
        </w:rPr>
        <w:t>51</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9"/>
          <w:w w:val="110"/>
          <w:szCs w:val="22"/>
        </w:rPr>
        <w:t xml:space="preserve"> </w:t>
      </w:r>
      <w:r w:rsidRPr="00DD7BD1">
        <w:rPr>
          <w:rFonts w:cs="Calibri"/>
          <w:color w:val="auto"/>
          <w:w w:val="110"/>
          <w:szCs w:val="22"/>
        </w:rPr>
        <w:t>implied</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its</w:t>
      </w:r>
      <w:r w:rsidRPr="00DD7BD1">
        <w:rPr>
          <w:rFonts w:cs="Calibri"/>
          <w:color w:val="auto"/>
          <w:spacing w:val="-11"/>
          <w:w w:val="110"/>
          <w:szCs w:val="22"/>
        </w:rPr>
        <w:t xml:space="preserve"> </w:t>
      </w:r>
      <w:r w:rsidRPr="00DD7BD1">
        <w:rPr>
          <w:rFonts w:cs="Calibri"/>
          <w:color w:val="auto"/>
          <w:w w:val="110"/>
          <w:szCs w:val="22"/>
        </w:rPr>
        <w:t>title,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has</w:t>
      </w:r>
      <w:r w:rsidRPr="00DD7BD1">
        <w:rPr>
          <w:rFonts w:cs="Calibri"/>
          <w:color w:val="auto"/>
          <w:spacing w:val="-9"/>
          <w:w w:val="110"/>
          <w:szCs w:val="22"/>
        </w:rPr>
        <w:t xml:space="preserve"> </w:t>
      </w:r>
      <w:r w:rsidRPr="00DD7BD1">
        <w:rPr>
          <w:rFonts w:cs="Calibri"/>
          <w:color w:val="auto"/>
          <w:w w:val="110"/>
          <w:szCs w:val="22"/>
        </w:rPr>
        <w:t>two components,</w:t>
      </w:r>
      <w:r w:rsidRPr="00DD7BD1">
        <w:rPr>
          <w:rFonts w:cs="Calibri"/>
          <w:color w:val="auto"/>
          <w:spacing w:val="-8"/>
          <w:w w:val="110"/>
          <w:szCs w:val="22"/>
        </w:rPr>
        <w:t xml:space="preserve"> </w:t>
      </w:r>
      <w:r w:rsidRPr="00DD7BD1">
        <w:rPr>
          <w:rFonts w:cs="Calibri"/>
          <w:color w:val="auto"/>
          <w:w w:val="110"/>
          <w:szCs w:val="22"/>
        </w:rPr>
        <w:t>blood</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organ</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blood</w:t>
      </w:r>
      <w:r w:rsidRPr="00DD7BD1">
        <w:rPr>
          <w:rFonts w:cs="Calibri"/>
          <w:color w:val="auto"/>
          <w:spacing w:val="-8"/>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component</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applies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full-time employees</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up</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one</w:t>
      </w:r>
      <w:r w:rsidRPr="00DD7BD1">
        <w:rPr>
          <w:rFonts w:cs="Calibri"/>
          <w:color w:val="auto"/>
          <w:spacing w:val="-16"/>
          <w:w w:val="110"/>
          <w:szCs w:val="22"/>
        </w:rPr>
        <w:t xml:space="preserve"> </w:t>
      </w:r>
      <w:r w:rsidRPr="00DD7BD1">
        <w:rPr>
          <w:rFonts w:cs="Calibri"/>
          <w:color w:val="auto"/>
          <w:w w:val="110"/>
          <w:szCs w:val="22"/>
        </w:rPr>
        <w:t>hour</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blood</w:t>
      </w:r>
      <w:r w:rsidRPr="00DD7BD1">
        <w:rPr>
          <w:rFonts w:cs="Calibri"/>
          <w:color w:val="auto"/>
          <w:spacing w:val="-16"/>
          <w:w w:val="110"/>
          <w:szCs w:val="22"/>
        </w:rPr>
        <w:t xml:space="preserve"> </w:t>
      </w:r>
      <w:r w:rsidRPr="00DD7BD1">
        <w:rPr>
          <w:rFonts w:cs="Calibri"/>
          <w:color w:val="auto"/>
          <w:w w:val="110"/>
          <w:szCs w:val="22"/>
        </w:rPr>
        <w:t>donations</w:t>
      </w:r>
      <w:r w:rsidRPr="00DD7BD1">
        <w:rPr>
          <w:rFonts w:cs="Calibri"/>
          <w:color w:val="auto"/>
          <w:spacing w:val="-17"/>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56 days.</w:t>
      </w:r>
      <w:r w:rsidRPr="00DD7BD1">
        <w:rPr>
          <w:rFonts w:cs="Calibri"/>
          <w:color w:val="auto"/>
          <w:spacing w:val="-7"/>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10"/>
          <w:w w:val="110"/>
          <w:szCs w:val="22"/>
        </w:rPr>
        <w:t xml:space="preserve"> </w:t>
      </w:r>
      <w:r w:rsidRPr="00DD7BD1">
        <w:rPr>
          <w:rFonts w:cs="Calibri"/>
          <w:color w:val="auto"/>
          <w:w w:val="110"/>
          <w:szCs w:val="22"/>
        </w:rPr>
        <w:t>specifically</w:t>
      </w:r>
      <w:r w:rsidRPr="00DD7BD1">
        <w:rPr>
          <w:rFonts w:cs="Calibri"/>
          <w:color w:val="auto"/>
          <w:spacing w:val="-6"/>
          <w:w w:val="110"/>
          <w:szCs w:val="22"/>
        </w:rPr>
        <w:t xml:space="preserve"> </w:t>
      </w:r>
      <w:r w:rsidRPr="00DD7BD1">
        <w:rPr>
          <w:rFonts w:cs="Calibri"/>
          <w:color w:val="auto"/>
          <w:w w:val="110"/>
          <w:szCs w:val="22"/>
        </w:rPr>
        <w:t>defined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terms</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6"/>
          <w:w w:val="110"/>
          <w:szCs w:val="22"/>
        </w:rPr>
        <w:t xml:space="preserve"> </w:t>
      </w:r>
      <w:r w:rsidRPr="00DD7BD1">
        <w:rPr>
          <w:rFonts w:cs="Calibri"/>
          <w:color w:val="auto"/>
          <w:w w:val="110"/>
          <w:szCs w:val="22"/>
        </w:rPr>
        <w:t>per</w:t>
      </w:r>
      <w:r w:rsidRPr="00DD7BD1">
        <w:rPr>
          <w:rFonts w:cs="Calibri"/>
          <w:color w:val="auto"/>
          <w:spacing w:val="-7"/>
          <w:w w:val="110"/>
          <w:szCs w:val="22"/>
        </w:rPr>
        <w:t xml:space="preserve"> </w:t>
      </w:r>
      <w:r w:rsidRPr="00DD7BD1">
        <w:rPr>
          <w:rFonts w:cs="Calibri"/>
          <w:color w:val="auto"/>
          <w:w w:val="110"/>
          <w:szCs w:val="22"/>
        </w:rPr>
        <w:t>week,</w:t>
      </w:r>
      <w:r w:rsidRPr="00DD7BD1">
        <w:rPr>
          <w:rFonts w:cs="Calibri"/>
          <w:color w:val="auto"/>
          <w:spacing w:val="-9"/>
          <w:w w:val="110"/>
          <w:szCs w:val="22"/>
        </w:rPr>
        <w:t xml:space="preserve"> </w:t>
      </w:r>
      <w:r w:rsidRPr="00DD7BD1">
        <w:rPr>
          <w:rFonts w:cs="Calibri"/>
          <w:color w:val="auto"/>
          <w:w w:val="110"/>
          <w:szCs w:val="22"/>
        </w:rPr>
        <w:t>but</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does</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a participating</w:t>
      </w:r>
      <w:r w:rsidRPr="00DD7BD1">
        <w:rPr>
          <w:rFonts w:cs="Calibri"/>
          <w:color w:val="auto"/>
          <w:spacing w:val="-2"/>
          <w:w w:val="110"/>
          <w:szCs w:val="22"/>
        </w:rPr>
        <w:t xml:space="preserve"> </w:t>
      </w:r>
      <w:r w:rsidRPr="00DD7BD1">
        <w:rPr>
          <w:rFonts w:cs="Calibri"/>
          <w:color w:val="auto"/>
          <w:w w:val="110"/>
          <w:szCs w:val="22"/>
        </w:rPr>
        <w:t>employee to have been employed for</w:t>
      </w:r>
      <w:r w:rsidRPr="00DD7BD1">
        <w:rPr>
          <w:rFonts w:cs="Calibri"/>
          <w:color w:val="auto"/>
          <w:spacing w:val="-1"/>
          <w:w w:val="110"/>
          <w:szCs w:val="22"/>
        </w:rPr>
        <w:t xml:space="preserve"> </w:t>
      </w:r>
      <w:r w:rsidRPr="00DD7BD1">
        <w:rPr>
          <w:rFonts w:cs="Calibri"/>
          <w:color w:val="auto"/>
          <w:w w:val="110"/>
          <w:szCs w:val="22"/>
        </w:rPr>
        <w:t>6</w:t>
      </w:r>
      <w:r w:rsidRPr="00DD7BD1">
        <w:rPr>
          <w:rFonts w:cs="Calibri"/>
          <w:color w:val="auto"/>
          <w:spacing w:val="-2"/>
          <w:w w:val="110"/>
          <w:szCs w:val="22"/>
        </w:rPr>
        <w:t xml:space="preserve"> </w:t>
      </w:r>
      <w:r w:rsidRPr="00DD7BD1">
        <w:rPr>
          <w:rFonts w:cs="Calibri"/>
          <w:color w:val="auto"/>
          <w:w w:val="110"/>
          <w:szCs w:val="22"/>
        </w:rPr>
        <w:t>or</w:t>
      </w:r>
      <w:r w:rsidRPr="00DD7BD1">
        <w:rPr>
          <w:rFonts w:cs="Calibri"/>
          <w:color w:val="auto"/>
          <w:spacing w:val="-1"/>
          <w:w w:val="110"/>
          <w:szCs w:val="22"/>
        </w:rPr>
        <w:t xml:space="preserve"> </w:t>
      </w:r>
      <w:r w:rsidRPr="00DD7BD1">
        <w:rPr>
          <w:rFonts w:cs="Calibri"/>
          <w:color w:val="auto"/>
          <w:w w:val="110"/>
          <w:szCs w:val="22"/>
        </w:rPr>
        <w:t>more</w:t>
      </w:r>
      <w:r w:rsidRPr="00DD7BD1">
        <w:rPr>
          <w:rFonts w:cs="Calibri"/>
          <w:color w:val="auto"/>
          <w:spacing w:val="-4"/>
          <w:w w:val="110"/>
          <w:szCs w:val="22"/>
        </w:rPr>
        <w:t xml:space="preserve"> </w:t>
      </w:r>
      <w:r w:rsidRPr="00DD7BD1">
        <w:rPr>
          <w:rFonts w:cs="Calibri"/>
          <w:color w:val="auto"/>
          <w:w w:val="110"/>
          <w:szCs w:val="22"/>
        </w:rPr>
        <w:t>months.</w:t>
      </w:r>
    </w:p>
    <w:p w14:paraId="17BC107C" w14:textId="77777777" w:rsidR="00A85628" w:rsidRPr="00DD7BD1" w:rsidRDefault="00A85628" w:rsidP="00A85628">
      <w:pPr>
        <w:pStyle w:val="BodyText"/>
        <w:spacing w:after="0" w:line="240" w:lineRule="auto"/>
        <w:ind w:right="-180"/>
        <w:jc w:val="left"/>
        <w:rPr>
          <w:rFonts w:cs="Calibri"/>
          <w:color w:val="auto"/>
          <w:w w:val="110"/>
          <w:sz w:val="16"/>
          <w:szCs w:val="16"/>
        </w:rPr>
      </w:pPr>
    </w:p>
    <w:p w14:paraId="24D11CB8"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Regarding</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component,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2"/>
          <w:w w:val="110"/>
          <w:szCs w:val="22"/>
        </w:rPr>
        <w:t xml:space="preserve"> </w:t>
      </w:r>
      <w:r w:rsidRPr="00DD7BD1">
        <w:rPr>
          <w:rFonts w:cs="Calibri"/>
          <w:color w:val="auto"/>
          <w:w w:val="110"/>
          <w:szCs w:val="22"/>
          <w:u w:val="single"/>
        </w:rPr>
        <w:t>now</w:t>
      </w:r>
      <w:r w:rsidRPr="00DD7BD1">
        <w:rPr>
          <w:rFonts w:cs="Calibri"/>
          <w:color w:val="auto"/>
          <w:spacing w:val="-14"/>
          <w:w w:val="110"/>
          <w:szCs w:val="22"/>
          <w:u w:val="single"/>
        </w:rPr>
        <w:t xml:space="preserve"> </w:t>
      </w:r>
      <w:r w:rsidRPr="00DD7BD1">
        <w:rPr>
          <w:rFonts w:cs="Calibri"/>
          <w:color w:val="auto"/>
          <w:w w:val="110"/>
          <w:szCs w:val="22"/>
          <w:u w:val="single"/>
        </w:rPr>
        <w:t>also</w:t>
      </w:r>
      <w:r w:rsidRPr="00DD7BD1">
        <w:rPr>
          <w:rFonts w:cs="Calibri"/>
          <w:color w:val="auto"/>
          <w:spacing w:val="-15"/>
          <w:w w:val="110"/>
          <w:szCs w:val="22"/>
          <w:u w:val="single"/>
        </w:rPr>
        <w:t xml:space="preserve"> </w:t>
      </w:r>
      <w:r w:rsidRPr="00DD7BD1">
        <w:rPr>
          <w:rFonts w:cs="Calibri"/>
          <w:color w:val="auto"/>
          <w:w w:val="110"/>
          <w:szCs w:val="22"/>
          <w:u w:val="single"/>
        </w:rPr>
        <w:t>apply</w:t>
      </w:r>
      <w:r w:rsidRPr="00DD7BD1">
        <w:rPr>
          <w:rFonts w:cs="Calibri"/>
          <w:color w:val="auto"/>
          <w:spacing w:val="-16"/>
          <w:w w:val="110"/>
          <w:szCs w:val="22"/>
          <w:u w:val="single"/>
        </w:rPr>
        <w:t xml:space="preserve"> </w:t>
      </w:r>
      <w:r w:rsidRPr="00DD7BD1">
        <w:rPr>
          <w:rFonts w:cs="Calibri"/>
          <w:color w:val="auto"/>
          <w:w w:val="110"/>
          <w:szCs w:val="22"/>
          <w:u w:val="single"/>
        </w:rPr>
        <w:t>to</w:t>
      </w:r>
      <w:r w:rsidRPr="00DD7BD1">
        <w:rPr>
          <w:rFonts w:cs="Calibri"/>
          <w:color w:val="auto"/>
          <w:spacing w:val="-16"/>
          <w:w w:val="110"/>
          <w:szCs w:val="22"/>
          <w:u w:val="single"/>
        </w:rPr>
        <w:t xml:space="preserve"> </w:t>
      </w:r>
      <w:r w:rsidRPr="00DD7BD1">
        <w:rPr>
          <w:rFonts w:cs="Calibri"/>
          <w:color w:val="auto"/>
          <w:w w:val="110"/>
          <w:szCs w:val="22"/>
          <w:u w:val="single"/>
        </w:rPr>
        <w:t>part-time</w:t>
      </w:r>
      <w:r w:rsidRPr="00DD7BD1">
        <w:rPr>
          <w:rFonts w:cs="Calibri"/>
          <w:color w:val="auto"/>
          <w:spacing w:val="-14"/>
          <w:w w:val="110"/>
          <w:szCs w:val="22"/>
          <w:u w:val="single"/>
        </w:rPr>
        <w:t xml:space="preserve"> </w:t>
      </w:r>
      <w:r w:rsidRPr="00DD7BD1">
        <w:rPr>
          <w:rFonts w:cs="Calibri"/>
          <w:color w:val="auto"/>
          <w:w w:val="110"/>
          <w:szCs w:val="22"/>
          <w:u w:val="single"/>
        </w:rPr>
        <w:t>employees</w:t>
      </w:r>
      <w:r w:rsidRPr="00DD7BD1">
        <w:rPr>
          <w:rFonts w:cs="Calibri"/>
          <w:color w:val="auto"/>
          <w:w w:val="110"/>
          <w:szCs w:val="22"/>
        </w:rPr>
        <w:t>.</w:t>
      </w:r>
      <w:r w:rsidRPr="00DD7BD1">
        <w:rPr>
          <w:rFonts w:cs="Calibri"/>
          <w:color w:val="auto"/>
          <w:spacing w:val="-15"/>
          <w:w w:val="110"/>
          <w:szCs w:val="22"/>
        </w:rPr>
        <w:t xml:space="preserve"> </w:t>
      </w:r>
      <w:r w:rsidRPr="00DD7BD1">
        <w:rPr>
          <w:rFonts w:cs="Calibri"/>
          <w:color w:val="auto"/>
          <w:w w:val="110"/>
          <w:szCs w:val="22"/>
        </w:rPr>
        <w:t>“Part-time”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also not</w:t>
      </w:r>
      <w:r w:rsidRPr="00DD7BD1">
        <w:rPr>
          <w:rFonts w:cs="Calibri"/>
          <w:color w:val="auto"/>
          <w:spacing w:val="-17"/>
          <w:w w:val="110"/>
          <w:szCs w:val="22"/>
        </w:rPr>
        <w:t xml:space="preserve"> </w:t>
      </w:r>
      <w:proofErr w:type="gramStart"/>
      <w:r w:rsidRPr="00DD7BD1">
        <w:rPr>
          <w:rFonts w:cs="Calibri"/>
          <w:color w:val="auto"/>
          <w:w w:val="110"/>
          <w:szCs w:val="22"/>
        </w:rPr>
        <w:t>defined</w:t>
      </w:r>
      <w:proofErr w:type="gramEnd"/>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which</w:t>
      </w:r>
      <w:r w:rsidRPr="00DD7BD1">
        <w:rPr>
          <w:rFonts w:cs="Calibri"/>
          <w:color w:val="auto"/>
          <w:spacing w:val="-17"/>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presumably</w:t>
      </w:r>
      <w:r w:rsidRPr="00DD7BD1">
        <w:rPr>
          <w:rFonts w:cs="Calibri"/>
          <w:color w:val="auto"/>
          <w:spacing w:val="-17"/>
          <w:w w:val="110"/>
          <w:szCs w:val="22"/>
        </w:rPr>
        <w:t xml:space="preserve"> </w:t>
      </w:r>
      <w:r w:rsidRPr="00DD7BD1">
        <w:rPr>
          <w:rFonts w:cs="Calibri"/>
          <w:color w:val="auto"/>
          <w:w w:val="110"/>
          <w:szCs w:val="22"/>
        </w:rPr>
        <w:t>mean</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requirement</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providing</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organ</w:t>
      </w:r>
      <w:r w:rsidRPr="00DD7BD1">
        <w:rPr>
          <w:rFonts w:cs="Calibri"/>
          <w:color w:val="auto"/>
          <w:spacing w:val="-17"/>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apply to</w:t>
      </w:r>
      <w:r w:rsidRPr="00DD7BD1">
        <w:rPr>
          <w:rFonts w:cs="Calibri"/>
          <w:color w:val="auto"/>
          <w:spacing w:val="-9"/>
          <w:w w:val="110"/>
          <w:szCs w:val="22"/>
        </w:rPr>
        <w:t xml:space="preserve"> </w:t>
      </w:r>
      <w:r w:rsidRPr="00DD7BD1">
        <w:rPr>
          <w:rFonts w:cs="Calibri"/>
          <w:color w:val="auto"/>
          <w:w w:val="110"/>
          <w:szCs w:val="22"/>
        </w:rPr>
        <w:t>any</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12"/>
          <w:w w:val="110"/>
          <w:szCs w:val="22"/>
        </w:rPr>
        <w:t xml:space="preserve"> </w:t>
      </w:r>
      <w:r w:rsidRPr="00DD7BD1">
        <w:rPr>
          <w:rFonts w:cs="Calibri"/>
          <w:color w:val="auto"/>
          <w:w w:val="110"/>
          <w:szCs w:val="22"/>
        </w:rPr>
        <w:t>works</w:t>
      </w:r>
      <w:r w:rsidRPr="00DD7BD1">
        <w:rPr>
          <w:rFonts w:cs="Calibri"/>
          <w:color w:val="auto"/>
          <w:spacing w:val="-10"/>
          <w:w w:val="110"/>
          <w:szCs w:val="22"/>
        </w:rPr>
        <w:t xml:space="preserve"> </w:t>
      </w:r>
      <w:r w:rsidRPr="00DD7BD1">
        <w:rPr>
          <w:rFonts w:cs="Calibri"/>
          <w:color w:val="auto"/>
          <w:w w:val="110"/>
          <w:szCs w:val="22"/>
        </w:rPr>
        <w:t>any</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51</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4"/>
          <w:w w:val="110"/>
          <w:szCs w:val="22"/>
        </w:rPr>
        <w:t xml:space="preserve"> </w:t>
      </w:r>
      <w:r w:rsidRPr="00DD7BD1">
        <w:rPr>
          <w:rFonts w:cs="Calibri"/>
          <w:color w:val="auto"/>
          <w:w w:val="110"/>
          <w:szCs w:val="22"/>
        </w:rPr>
        <w:t>more</w:t>
      </w:r>
      <w:r w:rsidRPr="00DD7BD1">
        <w:rPr>
          <w:rFonts w:cs="Calibri"/>
          <w:color w:val="auto"/>
          <w:spacing w:val="-13"/>
          <w:w w:val="110"/>
          <w:szCs w:val="22"/>
        </w:rPr>
        <w:t xml:space="preserve"> </w:t>
      </w:r>
      <w:r w:rsidRPr="00DD7BD1">
        <w:rPr>
          <w:rFonts w:cs="Calibri"/>
          <w:color w:val="auto"/>
          <w:w w:val="110"/>
          <w:szCs w:val="22"/>
        </w:rPr>
        <w:t>employees.</w:t>
      </w:r>
    </w:p>
    <w:p w14:paraId="0547971D" w14:textId="77777777" w:rsidR="00A85628" w:rsidRPr="00DD7BD1" w:rsidRDefault="00A85628" w:rsidP="00A85628">
      <w:pPr>
        <w:pStyle w:val="BodyText"/>
        <w:spacing w:after="0" w:line="240" w:lineRule="auto"/>
        <w:ind w:right="-180"/>
        <w:jc w:val="left"/>
        <w:rPr>
          <w:rFonts w:cs="Calibri"/>
          <w:color w:val="auto"/>
          <w:sz w:val="16"/>
          <w:szCs w:val="16"/>
        </w:rPr>
      </w:pPr>
    </w:p>
    <w:p w14:paraId="267CE5F7" w14:textId="77777777" w:rsidR="00A85628" w:rsidRPr="00DD7BD1" w:rsidRDefault="00A85628" w:rsidP="00A85628">
      <w:pPr>
        <w:pStyle w:val="BodyText"/>
        <w:spacing w:after="0" w:line="240" w:lineRule="auto"/>
        <w:ind w:right="-180"/>
        <w:jc w:val="left"/>
        <w:rPr>
          <w:rFonts w:cs="Calibri"/>
          <w:color w:val="auto"/>
          <w:szCs w:val="22"/>
        </w:rPr>
      </w:pPr>
      <w:r w:rsidRPr="00DD7BD1">
        <w:rPr>
          <w:rFonts w:cs="Calibri"/>
          <w:color w:val="auto"/>
          <w:w w:val="110"/>
          <w:szCs w:val="22"/>
        </w:rPr>
        <w:t>Confusion</w:t>
      </w:r>
      <w:r w:rsidRPr="00DD7BD1">
        <w:rPr>
          <w:rFonts w:cs="Calibri"/>
          <w:color w:val="auto"/>
          <w:spacing w:val="-15"/>
          <w:w w:val="110"/>
          <w:szCs w:val="22"/>
        </w:rPr>
        <w:t xml:space="preserve"> </w:t>
      </w:r>
      <w:r w:rsidRPr="00DD7BD1">
        <w:rPr>
          <w:rFonts w:cs="Calibri"/>
          <w:color w:val="auto"/>
          <w:w w:val="110"/>
          <w:szCs w:val="22"/>
        </w:rPr>
        <w:t>remains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determining</w:t>
      </w:r>
      <w:r w:rsidRPr="00DD7BD1">
        <w:rPr>
          <w:rFonts w:cs="Calibri"/>
          <w:color w:val="auto"/>
          <w:spacing w:val="-12"/>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employer</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10</w:t>
      </w:r>
      <w:r w:rsidRPr="00DD7BD1">
        <w:rPr>
          <w:rFonts w:cs="Calibri"/>
          <w:color w:val="auto"/>
          <w:spacing w:val="-12"/>
          <w:w w:val="110"/>
          <w:szCs w:val="22"/>
        </w:rPr>
        <w:t xml:space="preserve"> </w:t>
      </w:r>
      <w:r w:rsidRPr="00DD7BD1">
        <w:rPr>
          <w:rFonts w:cs="Calibri"/>
          <w:color w:val="auto"/>
          <w:w w:val="110"/>
          <w:szCs w:val="22"/>
        </w:rPr>
        <w:t>days</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must merely allow an employee to take the time off (and/or use any accrued paid leave).</w:t>
      </w:r>
    </w:p>
    <w:p w14:paraId="208EF19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spacing w:val="-2"/>
          <w:w w:val="110"/>
        </w:rPr>
        <w:t>Section</w:t>
      </w:r>
      <w:r w:rsidRPr="00DD7BD1">
        <w:rPr>
          <w:rFonts w:ascii="Calibri" w:hAnsi="Calibri" w:cs="Calibri"/>
          <w:spacing w:val="-12"/>
          <w:w w:val="110"/>
        </w:rPr>
        <w:t xml:space="preserve"> </w:t>
      </w:r>
      <w:r w:rsidRPr="00DD7BD1">
        <w:rPr>
          <w:rFonts w:ascii="Calibri" w:hAnsi="Calibri" w:cs="Calibri"/>
          <w:spacing w:val="-2"/>
          <w:w w:val="110"/>
        </w:rPr>
        <w:t>3</w:t>
      </w:r>
      <w:r w:rsidRPr="00DD7BD1">
        <w:rPr>
          <w:rFonts w:ascii="Calibri" w:hAnsi="Calibri" w:cs="Calibri"/>
          <w:spacing w:val="-9"/>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Act</w:t>
      </w:r>
      <w:r w:rsidRPr="00DD7BD1">
        <w:rPr>
          <w:rFonts w:ascii="Calibri" w:hAnsi="Calibri" w:cs="Calibri"/>
          <w:spacing w:val="-13"/>
          <w:w w:val="110"/>
        </w:rPr>
        <w:t xml:space="preserve"> </w:t>
      </w:r>
      <w:r w:rsidRPr="00DD7BD1">
        <w:rPr>
          <w:rFonts w:ascii="Calibri" w:hAnsi="Calibri" w:cs="Calibri"/>
          <w:spacing w:val="-2"/>
          <w:w w:val="110"/>
        </w:rPr>
        <w:t>states</w:t>
      </w:r>
      <w:r w:rsidRPr="00DD7BD1">
        <w:rPr>
          <w:rFonts w:ascii="Calibri" w:hAnsi="Calibri" w:cs="Calibri"/>
          <w:spacing w:val="-9"/>
          <w:w w:val="110"/>
        </w:rPr>
        <w:t xml:space="preserve"> </w:t>
      </w:r>
      <w:r w:rsidRPr="00DD7BD1">
        <w:rPr>
          <w:rFonts w:ascii="Calibri" w:hAnsi="Calibri" w:cs="Calibri"/>
          <w:spacing w:val="-2"/>
          <w:w w:val="110"/>
        </w:rPr>
        <w:t>that</w:t>
      </w:r>
      <w:r w:rsidRPr="00DD7BD1">
        <w:rPr>
          <w:rFonts w:ascii="Calibri" w:hAnsi="Calibri" w:cs="Calibri"/>
          <w:spacing w:val="-10"/>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Act</w:t>
      </w:r>
      <w:r w:rsidRPr="00DD7BD1">
        <w:rPr>
          <w:rFonts w:ascii="Calibri" w:hAnsi="Calibri" w:cs="Calibri"/>
          <w:spacing w:val="-11"/>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“intended</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provide</w:t>
      </w:r>
      <w:r w:rsidRPr="00DD7BD1">
        <w:rPr>
          <w:rFonts w:ascii="Calibri" w:hAnsi="Calibri" w:cs="Calibri"/>
          <w:spacing w:val="-9"/>
          <w:w w:val="110"/>
        </w:rPr>
        <w:t xml:space="preserve"> </w:t>
      </w:r>
      <w:r w:rsidRPr="00DD7BD1">
        <w:rPr>
          <w:rFonts w:ascii="Calibri" w:hAnsi="Calibri" w:cs="Calibri"/>
          <w:spacing w:val="-2"/>
          <w:w w:val="110"/>
        </w:rPr>
        <w:t>time</w:t>
      </w:r>
      <w:r w:rsidRPr="00DD7BD1">
        <w:rPr>
          <w:rFonts w:ascii="Calibri" w:hAnsi="Calibri" w:cs="Calibri"/>
          <w:spacing w:val="-11"/>
          <w:w w:val="110"/>
        </w:rPr>
        <w:t xml:space="preserve"> </w:t>
      </w:r>
      <w:r w:rsidRPr="00DD7BD1">
        <w:rPr>
          <w:rFonts w:ascii="Calibri" w:hAnsi="Calibri" w:cs="Calibri"/>
          <w:spacing w:val="-2"/>
          <w:w w:val="110"/>
        </w:rPr>
        <w:t>off</w:t>
      </w:r>
      <w:r w:rsidRPr="00DD7BD1">
        <w:rPr>
          <w:rFonts w:ascii="Calibri" w:hAnsi="Calibri" w:cs="Calibri"/>
          <w:spacing w:val="-13"/>
          <w:w w:val="110"/>
        </w:rPr>
        <w:t xml:space="preserve"> </w:t>
      </w:r>
      <w:r w:rsidRPr="00DD7BD1">
        <w:rPr>
          <w:rFonts w:ascii="Calibri" w:hAnsi="Calibri" w:cs="Calibri"/>
          <w:spacing w:val="-2"/>
          <w:w w:val="110"/>
        </w:rPr>
        <w:t>with</w:t>
      </w:r>
      <w:r w:rsidRPr="00DD7BD1">
        <w:rPr>
          <w:rFonts w:ascii="Calibri" w:hAnsi="Calibri" w:cs="Calibri"/>
          <w:spacing w:val="-9"/>
          <w:w w:val="110"/>
        </w:rPr>
        <w:t xml:space="preserve"> </w:t>
      </w:r>
      <w:r w:rsidRPr="00DD7BD1">
        <w:rPr>
          <w:rFonts w:ascii="Calibri" w:hAnsi="Calibri" w:cs="Calibri"/>
          <w:spacing w:val="-2"/>
          <w:w w:val="110"/>
        </w:rPr>
        <w:t>pay”</w:t>
      </w:r>
      <w:r w:rsidRPr="00DD7BD1">
        <w:rPr>
          <w:rFonts w:ascii="Calibri" w:hAnsi="Calibri" w:cs="Calibri"/>
          <w:spacing w:val="-13"/>
          <w:w w:val="110"/>
        </w:rPr>
        <w:t xml:space="preserve"> </w:t>
      </w:r>
      <w:r w:rsidRPr="00DD7BD1">
        <w:rPr>
          <w:rFonts w:ascii="Calibri" w:hAnsi="Calibri" w:cs="Calibri"/>
          <w:spacing w:val="-2"/>
          <w:w w:val="110"/>
        </w:rPr>
        <w:t>to</w:t>
      </w:r>
      <w:r w:rsidRPr="00DD7BD1">
        <w:rPr>
          <w:rFonts w:ascii="Calibri" w:hAnsi="Calibri" w:cs="Calibri"/>
          <w:spacing w:val="-11"/>
          <w:w w:val="110"/>
        </w:rPr>
        <w:t xml:space="preserve"> </w:t>
      </w:r>
      <w:r w:rsidRPr="00DD7BD1">
        <w:rPr>
          <w:rFonts w:ascii="Calibri" w:hAnsi="Calibri" w:cs="Calibri"/>
          <w:spacing w:val="-2"/>
          <w:w w:val="110"/>
        </w:rPr>
        <w:t>allow</w:t>
      </w:r>
      <w:r w:rsidRPr="00DD7BD1">
        <w:rPr>
          <w:rFonts w:ascii="Calibri" w:hAnsi="Calibri" w:cs="Calibri"/>
          <w:spacing w:val="-12"/>
          <w:w w:val="110"/>
        </w:rPr>
        <w:t xml:space="preserve"> </w:t>
      </w: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in</w:t>
      </w:r>
      <w:r w:rsidRPr="00DD7BD1">
        <w:rPr>
          <w:rFonts w:ascii="Calibri" w:hAnsi="Calibri" w:cs="Calibri"/>
          <w:spacing w:val="-10"/>
          <w:w w:val="110"/>
        </w:rPr>
        <w:t xml:space="preserve"> </w:t>
      </w:r>
      <w:r w:rsidRPr="00DD7BD1">
        <w:rPr>
          <w:rFonts w:ascii="Calibri" w:hAnsi="Calibri" w:cs="Calibri"/>
          <w:spacing w:val="-5"/>
          <w:w w:val="110"/>
        </w:rPr>
        <w:t xml:space="preserve">the </w:t>
      </w:r>
      <w:r w:rsidRPr="00DD7BD1">
        <w:rPr>
          <w:rFonts w:ascii="Calibri" w:hAnsi="Calibri" w:cs="Calibri"/>
          <w:w w:val="110"/>
        </w:rPr>
        <w:t>state</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donate</w:t>
      </w:r>
      <w:r w:rsidRPr="00DD7BD1">
        <w:rPr>
          <w:rFonts w:ascii="Calibri" w:hAnsi="Calibri" w:cs="Calibri"/>
          <w:spacing w:val="-11"/>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9"/>
          <w:w w:val="110"/>
        </w:rPr>
        <w:t xml:space="preserve"> </w:t>
      </w:r>
      <w:r w:rsidRPr="00DD7BD1">
        <w:rPr>
          <w:rFonts w:ascii="Calibri" w:hAnsi="Calibri" w:cs="Calibri"/>
          <w:w w:val="110"/>
        </w:rPr>
        <w:t>organ.</w:t>
      </w:r>
      <w:r w:rsidRPr="00DD7BD1">
        <w:rPr>
          <w:rFonts w:ascii="Calibri" w:hAnsi="Calibri" w:cs="Calibri"/>
          <w:spacing w:val="-12"/>
          <w:w w:val="110"/>
        </w:rPr>
        <w:t xml:space="preserve"> </w:t>
      </w:r>
      <w:r w:rsidRPr="00DD7BD1">
        <w:rPr>
          <w:rFonts w:ascii="Calibri" w:hAnsi="Calibri" w:cs="Calibri"/>
          <w:w w:val="110"/>
        </w:rPr>
        <w:t>But</w:t>
      </w:r>
      <w:r w:rsidRPr="00DD7BD1">
        <w:rPr>
          <w:rFonts w:ascii="Calibri" w:hAnsi="Calibri" w:cs="Calibri"/>
          <w:spacing w:val="-10"/>
          <w:w w:val="110"/>
        </w:rPr>
        <w:t xml:space="preserve"> </w:t>
      </w:r>
      <w:r w:rsidRPr="00DD7BD1">
        <w:rPr>
          <w:rFonts w:ascii="Calibri" w:hAnsi="Calibri" w:cs="Calibri"/>
          <w:w w:val="110"/>
        </w:rPr>
        <w:t>while</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intent</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1"/>
          <w:w w:val="110"/>
        </w:rPr>
        <w:t xml:space="preserve"> </w:t>
      </w:r>
      <w:r w:rsidRPr="00DD7BD1">
        <w:rPr>
          <w:rFonts w:ascii="Calibri" w:hAnsi="Calibri" w:cs="Calibri"/>
          <w:w w:val="110"/>
        </w:rPr>
        <w:t>stated,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actual</w:t>
      </w:r>
      <w:r w:rsidRPr="00DD7BD1">
        <w:rPr>
          <w:rFonts w:ascii="Calibri" w:hAnsi="Calibri" w:cs="Calibri"/>
          <w:spacing w:val="-11"/>
          <w:w w:val="110"/>
        </w:rPr>
        <w:t xml:space="preserve"> </w:t>
      </w:r>
      <w:r w:rsidRPr="00DD7BD1">
        <w:rPr>
          <w:rFonts w:ascii="Calibri" w:hAnsi="Calibri" w:cs="Calibri"/>
          <w:w w:val="110"/>
        </w:rPr>
        <w:t>language</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2"/>
          <w:w w:val="110"/>
        </w:rPr>
        <w:t xml:space="preserve"> </w:t>
      </w:r>
      <w:r w:rsidRPr="00DD7BD1">
        <w:rPr>
          <w:rFonts w:ascii="Calibri" w:hAnsi="Calibri" w:cs="Calibri"/>
          <w:w w:val="110"/>
        </w:rPr>
        <w:t>Act</w:t>
      </w:r>
      <w:r w:rsidRPr="00DD7BD1">
        <w:rPr>
          <w:rFonts w:ascii="Calibri" w:hAnsi="Calibri" w:cs="Calibri"/>
          <w:spacing w:val="-10"/>
          <w:w w:val="110"/>
        </w:rPr>
        <w:t xml:space="preserve"> </w:t>
      </w:r>
      <w:r w:rsidRPr="00DD7BD1">
        <w:rPr>
          <w:rFonts w:ascii="Calibri" w:hAnsi="Calibri" w:cs="Calibri"/>
          <w:w w:val="110"/>
        </w:rPr>
        <w:t>does not actually accomplish that intent.</w:t>
      </w:r>
    </w:p>
    <w:p w14:paraId="26D65AC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w w:val="110"/>
        </w:rPr>
        <w:t>Section</w:t>
      </w:r>
      <w:r w:rsidRPr="00DD7BD1">
        <w:rPr>
          <w:rFonts w:ascii="Calibri" w:hAnsi="Calibri" w:cs="Calibri"/>
          <w:spacing w:val="-17"/>
          <w:w w:val="110"/>
        </w:rPr>
        <w:t xml:space="preserve"> </w:t>
      </w:r>
      <w:r w:rsidRPr="00DD7BD1">
        <w:rPr>
          <w:rFonts w:ascii="Calibri" w:hAnsi="Calibri" w:cs="Calibri"/>
          <w:w w:val="110"/>
        </w:rPr>
        <w:t>10</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7"/>
          <w:w w:val="110"/>
        </w:rPr>
        <w:t xml:space="preserve"> </w:t>
      </w:r>
      <w:r w:rsidRPr="00DD7BD1">
        <w:rPr>
          <w:rFonts w:ascii="Calibri" w:hAnsi="Calibri" w:cs="Calibri"/>
          <w:w w:val="110"/>
        </w:rPr>
        <w:t>both</w:t>
      </w:r>
      <w:r w:rsidRPr="00DD7BD1">
        <w:rPr>
          <w:rFonts w:ascii="Calibri" w:hAnsi="Calibri" w:cs="Calibri"/>
          <w:spacing w:val="-16"/>
          <w:w w:val="110"/>
        </w:rPr>
        <w:t xml:space="preserve"> </w:t>
      </w:r>
      <w:r w:rsidRPr="00DD7BD1">
        <w:rPr>
          <w:rFonts w:ascii="Calibri" w:hAnsi="Calibri" w:cs="Calibri"/>
          <w:w w:val="110"/>
        </w:rPr>
        <w:t>in</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original</w:t>
      </w:r>
      <w:r w:rsidRPr="00DD7BD1">
        <w:rPr>
          <w:rFonts w:ascii="Calibri" w:hAnsi="Calibri" w:cs="Calibri"/>
          <w:spacing w:val="-17"/>
          <w:w w:val="110"/>
        </w:rPr>
        <w:t xml:space="preserve"> </w:t>
      </w:r>
      <w:r w:rsidRPr="00DD7BD1">
        <w:rPr>
          <w:rFonts w:ascii="Calibri" w:hAnsi="Calibri" w:cs="Calibri"/>
          <w:w w:val="110"/>
        </w:rPr>
        <w:t>(2023)</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6"/>
          <w:w w:val="110"/>
        </w:rPr>
        <w:t xml:space="preserve"> </w:t>
      </w:r>
      <w:r w:rsidRPr="00DD7BD1">
        <w:rPr>
          <w:rFonts w:ascii="Calibri" w:hAnsi="Calibri" w:cs="Calibri"/>
          <w:w w:val="110"/>
        </w:rPr>
        <w:t>amended</w:t>
      </w:r>
      <w:r w:rsidRPr="00DD7BD1">
        <w:rPr>
          <w:rFonts w:ascii="Calibri" w:hAnsi="Calibri" w:cs="Calibri"/>
          <w:spacing w:val="-17"/>
          <w:w w:val="110"/>
        </w:rPr>
        <w:t xml:space="preserve"> </w:t>
      </w:r>
      <w:r w:rsidRPr="00DD7BD1">
        <w:rPr>
          <w:rFonts w:ascii="Calibri" w:hAnsi="Calibri" w:cs="Calibri"/>
          <w:w w:val="110"/>
        </w:rPr>
        <w:t>versions,</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entitled</w:t>
      </w:r>
      <w:r w:rsidRPr="00DD7BD1">
        <w:rPr>
          <w:rFonts w:ascii="Calibri" w:hAnsi="Calibri" w:cs="Calibri"/>
          <w:spacing w:val="-17"/>
          <w:w w:val="110"/>
        </w:rPr>
        <w:t xml:space="preserve"> </w:t>
      </w:r>
      <w:r w:rsidRPr="00DD7BD1">
        <w:rPr>
          <w:rFonts w:ascii="Calibri" w:hAnsi="Calibri" w:cs="Calibri"/>
          <w:w w:val="110"/>
        </w:rPr>
        <w:t>“</w:t>
      </w:r>
      <w:r w:rsidRPr="00DD7BD1">
        <w:rPr>
          <w:rFonts w:ascii="Calibri" w:hAnsi="Calibri" w:cs="Calibri"/>
          <w:b/>
          <w:w w:val="110"/>
        </w:rPr>
        <w:t>Paid</w:t>
      </w:r>
      <w:r w:rsidRPr="00DD7BD1">
        <w:rPr>
          <w:rFonts w:ascii="Calibri" w:hAnsi="Calibri" w:cs="Calibri"/>
          <w:b/>
          <w:spacing w:val="-16"/>
          <w:w w:val="110"/>
        </w:rPr>
        <w:t xml:space="preserve"> </w:t>
      </w:r>
      <w:r w:rsidRPr="00DD7BD1">
        <w:rPr>
          <w:rFonts w:ascii="Calibri" w:hAnsi="Calibri" w:cs="Calibri"/>
          <w:b/>
          <w:w w:val="110"/>
        </w:rPr>
        <w:t>leave</w:t>
      </w:r>
      <w:r w:rsidRPr="00DD7BD1">
        <w:rPr>
          <w:rFonts w:ascii="Calibri" w:hAnsi="Calibri" w:cs="Calibri"/>
          <w:b/>
          <w:spacing w:val="-17"/>
          <w:w w:val="110"/>
        </w:rPr>
        <w:t xml:space="preserve"> </w:t>
      </w:r>
      <w:r w:rsidRPr="00DD7BD1">
        <w:rPr>
          <w:rFonts w:ascii="Calibri" w:hAnsi="Calibri" w:cs="Calibri"/>
          <w:b/>
          <w:w w:val="110"/>
        </w:rPr>
        <w:t>for</w:t>
      </w:r>
      <w:r w:rsidRPr="00DD7BD1">
        <w:rPr>
          <w:rFonts w:ascii="Calibri" w:hAnsi="Calibri" w:cs="Calibri"/>
          <w:b/>
          <w:spacing w:val="-17"/>
          <w:w w:val="110"/>
        </w:rPr>
        <w:t xml:space="preserve"> </w:t>
      </w:r>
      <w:r w:rsidRPr="00DD7BD1">
        <w:rPr>
          <w:rFonts w:ascii="Calibri" w:hAnsi="Calibri" w:cs="Calibri"/>
          <w:b/>
          <w:w w:val="110"/>
        </w:rPr>
        <w:t xml:space="preserve">blood </w:t>
      </w:r>
      <w:r w:rsidRPr="00DD7BD1">
        <w:rPr>
          <w:rFonts w:ascii="Calibri" w:hAnsi="Calibri" w:cs="Calibri"/>
          <w:b/>
        </w:rPr>
        <w:t>donation;</w:t>
      </w:r>
      <w:r w:rsidRPr="00DD7BD1">
        <w:rPr>
          <w:rFonts w:ascii="Calibri" w:hAnsi="Calibri" w:cs="Calibri"/>
          <w:b/>
          <w:spacing w:val="40"/>
        </w:rPr>
        <w:t xml:space="preserve"> </w:t>
      </w:r>
      <w:r w:rsidRPr="00DD7BD1">
        <w:rPr>
          <w:rFonts w:ascii="Calibri" w:hAnsi="Calibri" w:cs="Calibri"/>
          <w:b/>
        </w:rPr>
        <w:t>administration</w:t>
      </w:r>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40"/>
        </w:rPr>
        <w:t xml:space="preserve"> </w:t>
      </w:r>
      <w:r w:rsidRPr="00DD7BD1">
        <w:rPr>
          <w:rFonts w:ascii="Calibri" w:hAnsi="Calibri" w:cs="Calibri"/>
        </w:rPr>
        <w:t>no</w:t>
      </w:r>
      <w:r w:rsidRPr="00DD7BD1">
        <w:rPr>
          <w:rFonts w:ascii="Calibri" w:hAnsi="Calibri" w:cs="Calibri"/>
          <w:spacing w:val="40"/>
        </w:rPr>
        <w:t xml:space="preserve"> </w:t>
      </w:r>
      <w:r w:rsidRPr="00DD7BD1">
        <w:rPr>
          <w:rFonts w:ascii="Calibri" w:hAnsi="Calibri" w:cs="Calibri"/>
        </w:rPr>
        <w:t>reference</w:t>
      </w:r>
      <w:r w:rsidRPr="00DD7BD1">
        <w:rPr>
          <w:rFonts w:ascii="Calibri" w:hAnsi="Calibri" w:cs="Calibri"/>
          <w:spacing w:val="36"/>
        </w:rPr>
        <w:t xml:space="preserve"> </w:t>
      </w:r>
      <w:r w:rsidRPr="00DD7BD1">
        <w:rPr>
          <w:rFonts w:ascii="Calibri" w:hAnsi="Calibri" w:cs="Calibri"/>
        </w:rPr>
        <w:t>to</w:t>
      </w:r>
      <w:r w:rsidRPr="00DD7BD1">
        <w:rPr>
          <w:rFonts w:ascii="Calibri" w:hAnsi="Calibri" w:cs="Calibri"/>
          <w:spacing w:val="38"/>
        </w:rPr>
        <w:t xml:space="preserve"> </w:t>
      </w:r>
      <w:r w:rsidRPr="00DD7BD1">
        <w:rPr>
          <w:rFonts w:ascii="Calibri" w:hAnsi="Calibri" w:cs="Calibri"/>
        </w:rPr>
        <w:t>organ</w:t>
      </w:r>
      <w:r w:rsidRPr="00DD7BD1">
        <w:rPr>
          <w:rFonts w:ascii="Calibri" w:hAnsi="Calibri" w:cs="Calibri"/>
          <w:spacing w:val="38"/>
        </w:rPr>
        <w:t xml:space="preserve"> </w:t>
      </w:r>
      <w:r w:rsidRPr="00DD7BD1">
        <w:rPr>
          <w:rFonts w:ascii="Calibri" w:hAnsi="Calibri" w:cs="Calibri"/>
        </w:rPr>
        <w:t>donation.</w:t>
      </w:r>
      <w:r w:rsidRPr="00DD7BD1">
        <w:rPr>
          <w:rFonts w:ascii="Calibri" w:hAnsi="Calibri" w:cs="Calibri"/>
          <w:spacing w:val="40"/>
        </w:rPr>
        <w:t xml:space="preserve"> </w:t>
      </w:r>
      <w:r w:rsidRPr="00DD7BD1">
        <w:rPr>
          <w:rFonts w:ascii="Calibri" w:hAnsi="Calibri" w:cs="Calibri"/>
        </w:rPr>
        <w:t>Subsection</w:t>
      </w:r>
      <w:r w:rsidRPr="00DD7BD1">
        <w:rPr>
          <w:rFonts w:ascii="Calibri" w:hAnsi="Calibri" w:cs="Calibri"/>
          <w:spacing w:val="40"/>
        </w:rPr>
        <w:t xml:space="preserve"> </w:t>
      </w:r>
      <w:r w:rsidRPr="00DD7BD1">
        <w:rPr>
          <w:rFonts w:ascii="Calibri" w:hAnsi="Calibri" w:cs="Calibri"/>
        </w:rPr>
        <w:t>(a)</w:t>
      </w:r>
      <w:r w:rsidRPr="00DD7BD1">
        <w:rPr>
          <w:rFonts w:ascii="Calibri" w:hAnsi="Calibri" w:cs="Calibri"/>
          <w:spacing w:val="34"/>
        </w:rPr>
        <w:t xml:space="preserve"> </w:t>
      </w:r>
      <w:r w:rsidRPr="00DD7BD1">
        <w:rPr>
          <w:rFonts w:ascii="Calibri" w:hAnsi="Calibri" w:cs="Calibri"/>
        </w:rPr>
        <w:t>then</w:t>
      </w:r>
      <w:r w:rsidRPr="00DD7BD1">
        <w:rPr>
          <w:rFonts w:ascii="Calibri" w:hAnsi="Calibri" w:cs="Calibri"/>
          <w:spacing w:val="38"/>
        </w:rPr>
        <w:t xml:space="preserve"> </w:t>
      </w:r>
      <w:r w:rsidRPr="00DD7BD1">
        <w:rPr>
          <w:rFonts w:ascii="Calibri" w:hAnsi="Calibri" w:cs="Calibri"/>
        </w:rPr>
        <w:t>states</w:t>
      </w:r>
      <w:r w:rsidRPr="00DD7BD1">
        <w:rPr>
          <w:rFonts w:ascii="Calibri" w:hAnsi="Calibri" w:cs="Calibri"/>
          <w:spacing w:val="38"/>
        </w:rPr>
        <w:t xml:space="preserve"> </w:t>
      </w:r>
      <w:r w:rsidRPr="00DD7BD1">
        <w:rPr>
          <w:rFonts w:ascii="Calibri" w:hAnsi="Calibri" w:cs="Calibri"/>
        </w:rPr>
        <w:t>“</w:t>
      </w:r>
      <w:r w:rsidRPr="00DD7BD1">
        <w:rPr>
          <w:rFonts w:ascii="Calibri" w:hAnsi="Calibri" w:cs="Calibri"/>
          <w:i/>
        </w:rPr>
        <w:t>On</w:t>
      </w:r>
      <w:r w:rsidRPr="00DD7BD1">
        <w:rPr>
          <w:rFonts w:ascii="Calibri" w:hAnsi="Calibri" w:cs="Calibri"/>
          <w:i/>
          <w:spacing w:val="40"/>
        </w:rPr>
        <w:t xml:space="preserve"> </w:t>
      </w:r>
      <w:r w:rsidRPr="00DD7BD1">
        <w:rPr>
          <w:rFonts w:ascii="Calibri" w:hAnsi="Calibri" w:cs="Calibri"/>
          <w:i/>
        </w:rPr>
        <w:t>request,</w:t>
      </w:r>
      <w:r w:rsidRPr="00DD7BD1">
        <w:rPr>
          <w:rFonts w:ascii="Calibri" w:hAnsi="Calibri" w:cs="Calibri"/>
          <w:i/>
          <w:spacing w:val="40"/>
        </w:rPr>
        <w:t xml:space="preserve"> </w:t>
      </w:r>
      <w:r w:rsidRPr="00DD7BD1">
        <w:rPr>
          <w:rFonts w:ascii="Calibri" w:hAnsi="Calibri" w:cs="Calibri"/>
          <w:i/>
        </w:rPr>
        <w:t xml:space="preserve">a </w:t>
      </w:r>
      <w:r w:rsidRPr="00DD7BD1">
        <w:rPr>
          <w:rFonts w:ascii="Calibri" w:hAnsi="Calibri" w:cs="Calibri"/>
          <w:i/>
          <w:w w:val="110"/>
        </w:rPr>
        <w:t>participating</w:t>
      </w:r>
      <w:r w:rsidRPr="00DD7BD1">
        <w:rPr>
          <w:rFonts w:ascii="Calibri" w:hAnsi="Calibri" w:cs="Calibri"/>
          <w:i/>
          <w:spacing w:val="27"/>
          <w:w w:val="110"/>
        </w:rPr>
        <w:t xml:space="preserve"> </w:t>
      </w:r>
      <w:r w:rsidRPr="00DD7BD1">
        <w:rPr>
          <w:rFonts w:ascii="Calibri" w:hAnsi="Calibri" w:cs="Calibri"/>
          <w:i/>
          <w:w w:val="110"/>
        </w:rPr>
        <w:t>employee</w:t>
      </w:r>
      <w:r w:rsidRPr="00DD7BD1">
        <w:rPr>
          <w:rFonts w:ascii="Calibri" w:hAnsi="Calibri" w:cs="Calibri"/>
          <w:i/>
          <w:spacing w:val="27"/>
          <w:w w:val="110"/>
        </w:rPr>
        <w:t xml:space="preserve"> </w:t>
      </w:r>
      <w:r w:rsidRPr="00DD7BD1">
        <w:rPr>
          <w:rFonts w:ascii="Calibri" w:hAnsi="Calibri" w:cs="Calibri"/>
          <w:i/>
          <w:w w:val="110"/>
        </w:rPr>
        <w:t>subject</w:t>
      </w:r>
      <w:r w:rsidRPr="00DD7BD1">
        <w:rPr>
          <w:rFonts w:ascii="Calibri" w:hAnsi="Calibri" w:cs="Calibri"/>
          <w:i/>
          <w:spacing w:val="29"/>
          <w:w w:val="110"/>
        </w:rPr>
        <w:t xml:space="preserve"> </w:t>
      </w:r>
      <w:r w:rsidRPr="00DD7BD1">
        <w:rPr>
          <w:rFonts w:ascii="Calibri" w:hAnsi="Calibri" w:cs="Calibri"/>
          <w:i/>
          <w:w w:val="110"/>
        </w:rPr>
        <w:t>to</w:t>
      </w:r>
      <w:r w:rsidRPr="00DD7BD1">
        <w:rPr>
          <w:rFonts w:ascii="Calibri" w:hAnsi="Calibri" w:cs="Calibri"/>
          <w:i/>
          <w:spacing w:val="27"/>
          <w:w w:val="110"/>
        </w:rPr>
        <w:t xml:space="preserve"> </w:t>
      </w:r>
      <w:r w:rsidRPr="00DD7BD1">
        <w:rPr>
          <w:rFonts w:ascii="Calibri" w:hAnsi="Calibri" w:cs="Calibri"/>
          <w:i/>
          <w:w w:val="110"/>
        </w:rPr>
        <w:t>this</w:t>
      </w:r>
      <w:r w:rsidRPr="00DD7BD1">
        <w:rPr>
          <w:rFonts w:ascii="Calibri" w:hAnsi="Calibri" w:cs="Calibri"/>
          <w:i/>
          <w:spacing w:val="27"/>
          <w:w w:val="110"/>
        </w:rPr>
        <w:t xml:space="preserve"> </w:t>
      </w:r>
      <w:r w:rsidRPr="00DD7BD1">
        <w:rPr>
          <w:rFonts w:ascii="Calibri" w:hAnsi="Calibri" w:cs="Calibri"/>
          <w:i/>
          <w:w w:val="110"/>
        </w:rPr>
        <w:t>Act</w:t>
      </w:r>
      <w:r w:rsidRPr="00DD7BD1">
        <w:rPr>
          <w:rFonts w:ascii="Calibri" w:hAnsi="Calibri" w:cs="Calibri"/>
          <w:i/>
          <w:spacing w:val="29"/>
          <w:w w:val="110"/>
        </w:rPr>
        <w:t xml:space="preserve"> </w:t>
      </w:r>
      <w:r w:rsidRPr="00DD7BD1">
        <w:rPr>
          <w:rFonts w:ascii="Calibri" w:hAnsi="Calibri" w:cs="Calibri"/>
          <w:i/>
          <w:w w:val="110"/>
        </w:rPr>
        <w:t>may</w:t>
      </w:r>
      <w:r w:rsidRPr="00DD7BD1">
        <w:rPr>
          <w:rFonts w:ascii="Calibri" w:hAnsi="Calibri" w:cs="Calibri"/>
          <w:i/>
          <w:spacing w:val="27"/>
          <w:w w:val="110"/>
        </w:rPr>
        <w:t xml:space="preserve"> </w:t>
      </w:r>
      <w:r w:rsidRPr="00DD7BD1">
        <w:rPr>
          <w:rFonts w:ascii="Calibri" w:hAnsi="Calibri" w:cs="Calibri"/>
          <w:i/>
          <w:w w:val="110"/>
        </w:rPr>
        <w:t>be</w:t>
      </w:r>
      <w:r w:rsidRPr="00DD7BD1">
        <w:rPr>
          <w:rFonts w:ascii="Calibri" w:hAnsi="Calibri" w:cs="Calibri"/>
          <w:i/>
          <w:spacing w:val="27"/>
          <w:w w:val="110"/>
        </w:rPr>
        <w:t xml:space="preserve"> </w:t>
      </w:r>
      <w:r w:rsidRPr="00DD7BD1">
        <w:rPr>
          <w:rFonts w:ascii="Calibri" w:hAnsi="Calibri" w:cs="Calibri"/>
          <w:i/>
          <w:w w:val="110"/>
        </w:rPr>
        <w:t>entitled</w:t>
      </w:r>
      <w:r w:rsidRPr="00DD7BD1">
        <w:rPr>
          <w:rFonts w:ascii="Calibri" w:hAnsi="Calibri" w:cs="Calibri"/>
          <w:i/>
          <w:spacing w:val="27"/>
          <w:w w:val="110"/>
        </w:rPr>
        <w:t xml:space="preserve"> </w:t>
      </w:r>
      <w:r w:rsidRPr="00DD7BD1">
        <w:rPr>
          <w:rFonts w:ascii="Calibri" w:hAnsi="Calibri" w:cs="Calibri"/>
          <w:i/>
          <w:w w:val="110"/>
        </w:rPr>
        <w:t>to leave with pay to</w:t>
      </w:r>
      <w:r w:rsidRPr="00DD7BD1">
        <w:rPr>
          <w:rFonts w:ascii="Calibri" w:hAnsi="Calibri" w:cs="Calibri"/>
          <w:i/>
          <w:spacing w:val="27"/>
          <w:w w:val="110"/>
        </w:rPr>
        <w:t xml:space="preserve"> </w:t>
      </w:r>
      <w:r w:rsidRPr="00DD7BD1">
        <w:rPr>
          <w:rFonts w:ascii="Calibri" w:hAnsi="Calibri" w:cs="Calibri"/>
          <w:i/>
          <w:w w:val="110"/>
        </w:rPr>
        <w:t>donate blood</w:t>
      </w:r>
      <w:r w:rsidRPr="00DD7BD1">
        <w:rPr>
          <w:rFonts w:ascii="Calibri" w:hAnsi="Calibri" w:cs="Calibri"/>
          <w:i/>
          <w:spacing w:val="27"/>
          <w:w w:val="110"/>
        </w:rPr>
        <w:t xml:space="preserve"> </w:t>
      </w:r>
      <w:r w:rsidRPr="00DD7BD1">
        <w:rPr>
          <w:rFonts w:ascii="Calibri" w:hAnsi="Calibri" w:cs="Calibri"/>
          <w:i/>
          <w:w w:val="110"/>
        </w:rPr>
        <w:t>or an organ.</w:t>
      </w:r>
      <w:r w:rsidRPr="00DD7BD1">
        <w:rPr>
          <w:rFonts w:ascii="Calibri" w:hAnsi="Calibri" w:cs="Calibri"/>
          <w:w w:val="110"/>
        </w:rPr>
        <w:t>” Subsection</w:t>
      </w:r>
      <w:r w:rsidRPr="00DD7BD1">
        <w:rPr>
          <w:rFonts w:ascii="Calibri" w:hAnsi="Calibri" w:cs="Calibri"/>
          <w:spacing w:val="-5"/>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does</w:t>
      </w:r>
      <w:r w:rsidRPr="00DD7BD1">
        <w:rPr>
          <w:rFonts w:ascii="Calibri" w:hAnsi="Calibri" w:cs="Calibri"/>
          <w:spacing w:val="-4"/>
          <w:w w:val="110"/>
        </w:rPr>
        <w:t xml:space="preserve"> </w:t>
      </w:r>
      <w:r w:rsidRPr="00DD7BD1">
        <w:rPr>
          <w:rFonts w:ascii="Calibri" w:hAnsi="Calibri" w:cs="Calibri"/>
          <w:w w:val="110"/>
        </w:rPr>
        <w:t>not</w:t>
      </w:r>
      <w:r w:rsidRPr="00DD7BD1">
        <w:rPr>
          <w:rFonts w:ascii="Calibri" w:hAnsi="Calibri" w:cs="Calibri"/>
          <w:spacing w:val="-9"/>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leave</w:t>
      </w:r>
      <w:r w:rsidRPr="00DD7BD1">
        <w:rPr>
          <w:rFonts w:ascii="Calibri" w:hAnsi="Calibri" w:cs="Calibri"/>
          <w:spacing w:val="-1"/>
          <w:w w:val="110"/>
        </w:rPr>
        <w:t xml:space="preserve"> </w:t>
      </w:r>
      <w:r w:rsidRPr="00DD7BD1">
        <w:rPr>
          <w:rFonts w:ascii="Calibri" w:hAnsi="Calibri" w:cs="Calibri"/>
          <w:w w:val="110"/>
        </w:rPr>
        <w:t>must</w:t>
      </w:r>
      <w:r w:rsidRPr="00DD7BD1">
        <w:rPr>
          <w:rFonts w:ascii="Calibri" w:hAnsi="Calibri" w:cs="Calibri"/>
          <w:spacing w:val="-3"/>
          <w:w w:val="110"/>
        </w:rPr>
        <w:t xml:space="preserve"> </w:t>
      </w:r>
      <w:r w:rsidRPr="00DD7BD1">
        <w:rPr>
          <w:rFonts w:ascii="Calibri" w:hAnsi="Calibri" w:cs="Calibri"/>
          <w:w w:val="110"/>
        </w:rPr>
        <w:t>be</w:t>
      </w:r>
      <w:r w:rsidRPr="00DD7BD1">
        <w:rPr>
          <w:rFonts w:ascii="Calibri" w:hAnsi="Calibri" w:cs="Calibri"/>
          <w:spacing w:val="-4"/>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4"/>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an</w:t>
      </w:r>
      <w:r w:rsidRPr="00DD7BD1">
        <w:rPr>
          <w:rFonts w:ascii="Calibri" w:hAnsi="Calibri" w:cs="Calibri"/>
          <w:spacing w:val="-4"/>
          <w:w w:val="110"/>
        </w:rPr>
        <w:t xml:space="preserve"> </w:t>
      </w:r>
      <w:r w:rsidRPr="00DD7BD1">
        <w:rPr>
          <w:rFonts w:ascii="Calibri" w:hAnsi="Calibri" w:cs="Calibri"/>
          <w:w w:val="110"/>
        </w:rPr>
        <w:t>employee</w:t>
      </w:r>
      <w:r w:rsidRPr="00DD7BD1">
        <w:rPr>
          <w:rFonts w:ascii="Calibri" w:hAnsi="Calibri" w:cs="Calibri"/>
          <w:spacing w:val="-4"/>
          <w:w w:val="110"/>
        </w:rPr>
        <w:t xml:space="preserve"> </w:t>
      </w:r>
      <w:r w:rsidRPr="00DD7BD1">
        <w:rPr>
          <w:rFonts w:ascii="Calibri" w:hAnsi="Calibri" w:cs="Calibri"/>
          <w:w w:val="110"/>
        </w:rPr>
        <w:t>“may”</w:t>
      </w:r>
      <w:r w:rsidRPr="00DD7BD1">
        <w:rPr>
          <w:rFonts w:ascii="Calibri" w:hAnsi="Calibri" w:cs="Calibri"/>
          <w:spacing w:val="-4"/>
          <w:w w:val="110"/>
        </w:rPr>
        <w:t xml:space="preserve"> </w:t>
      </w:r>
      <w:r w:rsidRPr="00DD7BD1">
        <w:rPr>
          <w:rFonts w:ascii="Calibri" w:hAnsi="Calibri" w:cs="Calibri"/>
          <w:w w:val="110"/>
        </w:rPr>
        <w:t>be</w:t>
      </w:r>
      <w:r w:rsidRPr="00DD7BD1">
        <w:rPr>
          <w:rFonts w:ascii="Calibri" w:hAnsi="Calibri" w:cs="Calibri"/>
          <w:spacing w:val="-5"/>
          <w:w w:val="110"/>
        </w:rPr>
        <w:t xml:space="preserve"> </w:t>
      </w:r>
      <w:r w:rsidRPr="00DD7BD1">
        <w:rPr>
          <w:rFonts w:ascii="Calibri" w:hAnsi="Calibri" w:cs="Calibri"/>
          <w:w w:val="110"/>
        </w:rPr>
        <w:t>entitled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“leave with</w:t>
      </w:r>
      <w:r w:rsidRPr="00DD7BD1">
        <w:rPr>
          <w:rFonts w:ascii="Calibri" w:hAnsi="Calibri" w:cs="Calibri"/>
          <w:spacing w:val="-9"/>
          <w:w w:val="110"/>
        </w:rPr>
        <w:t xml:space="preserve"> </w:t>
      </w:r>
      <w:r w:rsidRPr="00DD7BD1">
        <w:rPr>
          <w:rFonts w:ascii="Calibri" w:hAnsi="Calibri" w:cs="Calibri"/>
          <w:w w:val="110"/>
        </w:rPr>
        <w:t>pay”</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organ</w:t>
      </w:r>
      <w:r w:rsidRPr="00DD7BD1">
        <w:rPr>
          <w:rFonts w:ascii="Calibri" w:hAnsi="Calibri" w:cs="Calibri"/>
          <w:spacing w:val="-11"/>
          <w:w w:val="110"/>
        </w:rPr>
        <w:t xml:space="preserve"> </w:t>
      </w:r>
      <w:r w:rsidRPr="00DD7BD1">
        <w:rPr>
          <w:rFonts w:ascii="Calibri" w:hAnsi="Calibri" w:cs="Calibri"/>
          <w:w w:val="110"/>
        </w:rPr>
        <w:t>donation.</w:t>
      </w:r>
      <w:r w:rsidRPr="00DD7BD1">
        <w:rPr>
          <w:rFonts w:ascii="Calibri" w:hAnsi="Calibri" w:cs="Calibri"/>
          <w:spacing w:val="-10"/>
          <w:w w:val="110"/>
        </w:rPr>
        <w:t xml:space="preserve"> </w:t>
      </w:r>
      <w:r w:rsidRPr="00DD7BD1">
        <w:rPr>
          <w:rFonts w:ascii="Calibri" w:hAnsi="Calibri" w:cs="Calibri"/>
          <w:w w:val="110"/>
        </w:rPr>
        <w:t>Subsection</w:t>
      </w:r>
      <w:r w:rsidRPr="00DD7BD1">
        <w:rPr>
          <w:rFonts w:ascii="Calibri" w:hAnsi="Calibri" w:cs="Calibri"/>
          <w:spacing w:val="-9"/>
          <w:w w:val="110"/>
        </w:rPr>
        <w:t xml:space="preserve"> </w:t>
      </w:r>
      <w:r w:rsidRPr="00DD7BD1">
        <w:rPr>
          <w:rFonts w:ascii="Calibri" w:hAnsi="Calibri" w:cs="Calibri"/>
          <w:w w:val="110"/>
        </w:rPr>
        <w:t>(b)</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2"/>
          <w:w w:val="110"/>
        </w:rPr>
        <w:t xml:space="preserve"> </w:t>
      </w:r>
      <w:r w:rsidRPr="00DD7BD1">
        <w:rPr>
          <w:rFonts w:ascii="Calibri" w:hAnsi="Calibri" w:cs="Calibri"/>
          <w:w w:val="110"/>
        </w:rPr>
        <w:t>both</w:t>
      </w:r>
      <w:r w:rsidRPr="00DD7BD1">
        <w:rPr>
          <w:rFonts w:ascii="Calibri" w:hAnsi="Calibri" w:cs="Calibri"/>
          <w:spacing w:val="-11"/>
          <w:w w:val="110"/>
        </w:rPr>
        <w:t xml:space="preserve"> </w:t>
      </w:r>
      <w:r w:rsidRPr="00DD7BD1">
        <w:rPr>
          <w:rFonts w:ascii="Calibri" w:hAnsi="Calibri" w:cs="Calibri"/>
          <w:w w:val="110"/>
        </w:rPr>
        <w:t>versions</w:t>
      </w:r>
      <w:r w:rsidRPr="00DD7BD1">
        <w:rPr>
          <w:rFonts w:ascii="Calibri" w:hAnsi="Calibri" w:cs="Calibri"/>
          <w:spacing w:val="-9"/>
          <w:w w:val="110"/>
        </w:rPr>
        <w:t xml:space="preserve"> </w:t>
      </w:r>
      <w:r w:rsidRPr="00DD7BD1">
        <w:rPr>
          <w:rFonts w:ascii="Calibri" w:hAnsi="Calibri" w:cs="Calibri"/>
          <w:w w:val="110"/>
        </w:rPr>
        <w:t>then</w:t>
      </w:r>
      <w:r w:rsidRPr="00DD7BD1">
        <w:rPr>
          <w:rFonts w:ascii="Calibri" w:hAnsi="Calibri" w:cs="Calibri"/>
          <w:spacing w:val="-9"/>
          <w:w w:val="110"/>
        </w:rPr>
        <w:t xml:space="preserve"> </w:t>
      </w:r>
      <w:r w:rsidRPr="00DD7BD1">
        <w:rPr>
          <w:rFonts w:ascii="Calibri" w:hAnsi="Calibri" w:cs="Calibri"/>
          <w:w w:val="110"/>
        </w:rPr>
        <w:t>references</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11"/>
          <w:w w:val="110"/>
        </w:rPr>
        <w:t xml:space="preserve"> </w:t>
      </w:r>
      <w:r w:rsidRPr="00DD7BD1">
        <w:rPr>
          <w:rFonts w:ascii="Calibri" w:hAnsi="Calibri" w:cs="Calibri"/>
          <w:w w:val="110"/>
        </w:rPr>
        <w:t>hour</w:t>
      </w:r>
      <w:r w:rsidRPr="00DD7BD1">
        <w:rPr>
          <w:rFonts w:ascii="Calibri" w:hAnsi="Calibri" w:cs="Calibri"/>
          <w:spacing w:val="-10"/>
          <w:w w:val="110"/>
        </w:rPr>
        <w:t xml:space="preserve"> </w:t>
      </w:r>
      <w:r w:rsidRPr="00DD7BD1">
        <w:rPr>
          <w:rFonts w:ascii="Calibri" w:hAnsi="Calibri" w:cs="Calibri"/>
          <w:w w:val="110"/>
        </w:rPr>
        <w:t>of leave</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blood</w:t>
      </w:r>
      <w:r w:rsidRPr="00DD7BD1">
        <w:rPr>
          <w:rFonts w:ascii="Calibri" w:hAnsi="Calibri" w:cs="Calibri"/>
          <w:spacing w:val="-16"/>
          <w:w w:val="110"/>
        </w:rPr>
        <w:t xml:space="preserve"> </w:t>
      </w:r>
      <w:r w:rsidRPr="00DD7BD1">
        <w:rPr>
          <w:rFonts w:ascii="Calibri" w:hAnsi="Calibri" w:cs="Calibri"/>
          <w:w w:val="110"/>
        </w:rPr>
        <w:t>donation</w:t>
      </w:r>
      <w:r w:rsidRPr="00DD7BD1">
        <w:rPr>
          <w:rFonts w:ascii="Calibri" w:hAnsi="Calibri" w:cs="Calibri"/>
          <w:spacing w:val="-16"/>
          <w:w w:val="110"/>
        </w:rPr>
        <w:t xml:space="preserve"> </w:t>
      </w:r>
      <w:r w:rsidRPr="00DD7BD1">
        <w:rPr>
          <w:rFonts w:ascii="Calibri" w:hAnsi="Calibri" w:cs="Calibri"/>
          <w:w w:val="110"/>
        </w:rPr>
        <w:t>up</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every</w:t>
      </w:r>
      <w:r w:rsidRPr="00DD7BD1">
        <w:rPr>
          <w:rFonts w:ascii="Calibri" w:hAnsi="Calibri" w:cs="Calibri"/>
          <w:spacing w:val="-16"/>
          <w:w w:val="110"/>
        </w:rPr>
        <w:t xml:space="preserve"> </w:t>
      </w:r>
      <w:r w:rsidRPr="00DD7BD1">
        <w:rPr>
          <w:rFonts w:ascii="Calibri" w:hAnsi="Calibri" w:cs="Calibri"/>
          <w:w w:val="110"/>
        </w:rPr>
        <w:t>56</w:t>
      </w:r>
      <w:r w:rsidRPr="00DD7BD1">
        <w:rPr>
          <w:rFonts w:ascii="Calibri" w:hAnsi="Calibri" w:cs="Calibri"/>
          <w:spacing w:val="-17"/>
          <w:w w:val="110"/>
        </w:rPr>
        <w:t xml:space="preserve"> </w:t>
      </w:r>
      <w:r w:rsidRPr="00DD7BD1">
        <w:rPr>
          <w:rFonts w:ascii="Calibri" w:hAnsi="Calibri" w:cs="Calibri"/>
          <w:w w:val="110"/>
        </w:rPr>
        <w:t>days,</w:t>
      </w:r>
      <w:r w:rsidRPr="00DD7BD1">
        <w:rPr>
          <w:rFonts w:ascii="Calibri" w:hAnsi="Calibri" w:cs="Calibri"/>
          <w:spacing w:val="-12"/>
          <w:w w:val="110"/>
        </w:rPr>
        <w:t xml:space="preserve"> </w:t>
      </w:r>
      <w:r w:rsidRPr="00DD7BD1">
        <w:rPr>
          <w:rFonts w:ascii="Calibri" w:hAnsi="Calibri" w:cs="Calibri"/>
          <w:w w:val="110"/>
        </w:rPr>
        <w:t>still</w:t>
      </w:r>
      <w:r w:rsidRPr="00DD7BD1">
        <w:rPr>
          <w:rFonts w:ascii="Calibri" w:hAnsi="Calibri" w:cs="Calibri"/>
          <w:spacing w:val="-17"/>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w:t>
      </w:r>
      <w:r w:rsidRPr="00DD7BD1">
        <w:rPr>
          <w:rFonts w:ascii="Calibri" w:hAnsi="Calibri" w:cs="Calibri"/>
          <w:spacing w:val="-14"/>
          <w:w w:val="110"/>
        </w:rPr>
        <w:t xml:space="preserve"> </w:t>
      </w:r>
      <w:r w:rsidRPr="00DD7BD1">
        <w:rPr>
          <w:rFonts w:ascii="Calibri" w:hAnsi="Calibri" w:cs="Calibri"/>
          <w:w w:val="110"/>
        </w:rPr>
        <w:t>reference</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hour</w:t>
      </w:r>
      <w:r w:rsidRPr="00DD7BD1">
        <w:rPr>
          <w:rFonts w:ascii="Calibri" w:hAnsi="Calibri" w:cs="Calibri"/>
          <w:spacing w:val="-15"/>
          <w:w w:val="110"/>
        </w:rPr>
        <w:t xml:space="preserve"> </w:t>
      </w:r>
      <w:r w:rsidRPr="00DD7BD1">
        <w:rPr>
          <w:rFonts w:ascii="Calibri" w:hAnsi="Calibri" w:cs="Calibri"/>
          <w:w w:val="110"/>
        </w:rPr>
        <w:t>being</w:t>
      </w:r>
      <w:r w:rsidRPr="00DD7BD1">
        <w:rPr>
          <w:rFonts w:ascii="Calibri" w:hAnsi="Calibri" w:cs="Calibri"/>
          <w:spacing w:val="-16"/>
          <w:w w:val="110"/>
        </w:rPr>
        <w:t xml:space="preserve"> </w:t>
      </w:r>
      <w:r w:rsidRPr="00DD7BD1">
        <w:rPr>
          <w:rFonts w:ascii="Calibri" w:hAnsi="Calibri" w:cs="Calibri"/>
          <w:w w:val="110"/>
        </w:rPr>
        <w:t>paid.</w:t>
      </w:r>
      <w:r w:rsidRPr="00DD7BD1">
        <w:rPr>
          <w:rFonts w:ascii="Calibri" w:hAnsi="Calibri" w:cs="Calibri"/>
          <w:spacing w:val="-17"/>
          <w:w w:val="110"/>
        </w:rPr>
        <w:t xml:space="preserve"> </w:t>
      </w:r>
      <w:r w:rsidRPr="00DD7BD1">
        <w:rPr>
          <w:rFonts w:ascii="Calibri" w:hAnsi="Calibri" w:cs="Calibri"/>
          <w:w w:val="110"/>
        </w:rPr>
        <w:t>Subsection</w:t>
      </w:r>
      <w:r w:rsidRPr="00DD7BD1">
        <w:rPr>
          <w:rFonts w:ascii="Calibri" w:hAnsi="Calibri" w:cs="Calibri"/>
          <w:spacing w:val="-16"/>
          <w:w w:val="110"/>
        </w:rPr>
        <w:t xml:space="preserve"> </w:t>
      </w:r>
      <w:r w:rsidRPr="00DD7BD1">
        <w:rPr>
          <w:rFonts w:ascii="Calibri" w:hAnsi="Calibri" w:cs="Calibri"/>
          <w:w w:val="110"/>
        </w:rPr>
        <w:t>(b-5) in the original version states “</w:t>
      </w:r>
      <w:r w:rsidRPr="00DD7BD1">
        <w:rPr>
          <w:rFonts w:ascii="Calibri" w:hAnsi="Calibri" w:cs="Calibri"/>
          <w:i/>
          <w:w w:val="110"/>
        </w:rPr>
        <w:t>An employee may use up to 10 days of leave in any 12-month period to serve as an</w:t>
      </w:r>
      <w:r w:rsidRPr="00DD7BD1">
        <w:rPr>
          <w:rFonts w:ascii="Calibri" w:hAnsi="Calibri" w:cs="Calibri"/>
          <w:i/>
          <w:spacing w:val="-3"/>
          <w:w w:val="110"/>
        </w:rPr>
        <w:t xml:space="preserve"> </w:t>
      </w:r>
      <w:r w:rsidRPr="00DD7BD1">
        <w:rPr>
          <w:rFonts w:ascii="Calibri" w:hAnsi="Calibri" w:cs="Calibri"/>
          <w:i/>
          <w:w w:val="110"/>
        </w:rPr>
        <w:t>organ</w:t>
      </w:r>
      <w:r w:rsidRPr="00DD7BD1">
        <w:rPr>
          <w:rFonts w:ascii="Calibri" w:hAnsi="Calibri" w:cs="Calibri"/>
          <w:i/>
          <w:spacing w:val="-3"/>
          <w:w w:val="110"/>
        </w:rPr>
        <w:t xml:space="preserve"> </w:t>
      </w:r>
      <w:r w:rsidRPr="00DD7BD1">
        <w:rPr>
          <w:rFonts w:ascii="Calibri" w:hAnsi="Calibri" w:cs="Calibri"/>
          <w:i/>
          <w:w w:val="110"/>
        </w:rPr>
        <w:t>donor.</w:t>
      </w:r>
      <w:r w:rsidRPr="00DD7BD1">
        <w:rPr>
          <w:rFonts w:ascii="Calibri" w:hAnsi="Calibri" w:cs="Calibri"/>
          <w:w w:val="110"/>
        </w:rPr>
        <w:t>”</w:t>
      </w:r>
      <w:r w:rsidRPr="00DD7BD1">
        <w:rPr>
          <w:rFonts w:ascii="Calibri" w:hAnsi="Calibri" w:cs="Calibri"/>
          <w:spacing w:val="-2"/>
          <w:w w:val="110"/>
        </w:rPr>
        <w:t xml:space="preserve"> </w:t>
      </w:r>
      <w:r w:rsidRPr="00DD7BD1">
        <w:rPr>
          <w:rFonts w:ascii="Calibri" w:hAnsi="Calibri" w:cs="Calibri"/>
          <w:w w:val="110"/>
        </w:rPr>
        <w:t>Once</w:t>
      </w:r>
      <w:r w:rsidRPr="00DD7BD1">
        <w:rPr>
          <w:rFonts w:ascii="Calibri" w:hAnsi="Calibri" w:cs="Calibri"/>
          <w:spacing w:val="-5"/>
          <w:w w:val="110"/>
        </w:rPr>
        <w:t xml:space="preserve"> </w:t>
      </w:r>
      <w:r w:rsidRPr="00DD7BD1">
        <w:rPr>
          <w:rFonts w:ascii="Calibri" w:hAnsi="Calibri" w:cs="Calibri"/>
          <w:w w:val="110"/>
        </w:rPr>
        <w:t>again,</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5"/>
          <w:w w:val="110"/>
        </w:rPr>
        <w:t xml:space="preserve"> </w:t>
      </w:r>
      <w:r w:rsidRPr="00DD7BD1">
        <w:rPr>
          <w:rFonts w:ascii="Calibri" w:hAnsi="Calibri" w:cs="Calibri"/>
          <w:w w:val="110"/>
        </w:rPr>
        <w:t>word</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does</w:t>
      </w:r>
      <w:r w:rsidRPr="00DD7BD1">
        <w:rPr>
          <w:rFonts w:ascii="Calibri" w:hAnsi="Calibri" w:cs="Calibri"/>
          <w:spacing w:val="-5"/>
          <w:w w:val="110"/>
        </w:rPr>
        <w:t xml:space="preserve"> </w:t>
      </w:r>
      <w:r w:rsidRPr="00DD7BD1">
        <w:rPr>
          <w:rFonts w:ascii="Calibri" w:hAnsi="Calibri" w:cs="Calibri"/>
          <w:w w:val="110"/>
        </w:rPr>
        <w:t>not</w:t>
      </w:r>
      <w:r w:rsidRPr="00DD7BD1">
        <w:rPr>
          <w:rFonts w:ascii="Calibri" w:hAnsi="Calibri" w:cs="Calibri"/>
          <w:spacing w:val="-7"/>
          <w:w w:val="110"/>
        </w:rPr>
        <w:t xml:space="preserve"> </w:t>
      </w:r>
      <w:r w:rsidRPr="00DD7BD1">
        <w:rPr>
          <w:rFonts w:ascii="Calibri" w:hAnsi="Calibri" w:cs="Calibri"/>
          <w:w w:val="110"/>
        </w:rPr>
        <w:t>appear,</w:t>
      </w:r>
      <w:r w:rsidRPr="00DD7BD1">
        <w:rPr>
          <w:rFonts w:ascii="Calibri" w:hAnsi="Calibri" w:cs="Calibri"/>
          <w:spacing w:val="-6"/>
          <w:w w:val="110"/>
        </w:rPr>
        <w:t xml:space="preserve"> </w:t>
      </w:r>
      <w:r w:rsidRPr="00DD7BD1">
        <w:rPr>
          <w:rFonts w:ascii="Calibri" w:hAnsi="Calibri" w:cs="Calibri"/>
          <w:w w:val="110"/>
        </w:rPr>
        <w:t>which</w:t>
      </w:r>
      <w:r w:rsidRPr="00DD7BD1">
        <w:rPr>
          <w:rFonts w:ascii="Calibri" w:hAnsi="Calibri" w:cs="Calibri"/>
          <w:spacing w:val="-6"/>
          <w:w w:val="110"/>
        </w:rPr>
        <w:t xml:space="preserve"> </w:t>
      </w:r>
      <w:r w:rsidRPr="00DD7BD1">
        <w:rPr>
          <w:rFonts w:ascii="Calibri" w:hAnsi="Calibri" w:cs="Calibri"/>
          <w:w w:val="110"/>
        </w:rPr>
        <w:t>would</w:t>
      </w:r>
      <w:r w:rsidRPr="00DD7BD1">
        <w:rPr>
          <w:rFonts w:ascii="Calibri" w:hAnsi="Calibri" w:cs="Calibri"/>
          <w:spacing w:val="-6"/>
          <w:w w:val="110"/>
        </w:rPr>
        <w:t xml:space="preserve"> </w:t>
      </w:r>
      <w:r w:rsidRPr="00DD7BD1">
        <w:rPr>
          <w:rFonts w:ascii="Calibri" w:hAnsi="Calibri" w:cs="Calibri"/>
          <w:w w:val="110"/>
        </w:rPr>
        <w:t>arguably</w:t>
      </w:r>
      <w:r w:rsidRPr="00DD7BD1">
        <w:rPr>
          <w:rFonts w:ascii="Calibri" w:hAnsi="Calibri" w:cs="Calibri"/>
          <w:spacing w:val="-5"/>
          <w:w w:val="110"/>
        </w:rPr>
        <w:t xml:space="preserve"> </w:t>
      </w:r>
      <w:r w:rsidRPr="00DD7BD1">
        <w:rPr>
          <w:rFonts w:ascii="Calibri" w:hAnsi="Calibri" w:cs="Calibri"/>
          <w:w w:val="110"/>
        </w:rPr>
        <w:t>imply</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leave need not be paid.</w:t>
      </w:r>
    </w:p>
    <w:p w14:paraId="0864B3D3" w14:textId="77777777" w:rsidR="00A85628" w:rsidRPr="00DD7BD1" w:rsidRDefault="00A85628">
      <w:pPr>
        <w:pStyle w:val="ListParagraph"/>
        <w:widowControl w:val="0"/>
        <w:numPr>
          <w:ilvl w:val="0"/>
          <w:numId w:val="245"/>
        </w:numPr>
        <w:autoSpaceDE w:val="0"/>
        <w:autoSpaceDN w:val="0"/>
        <w:spacing w:before="3" w:after="0" w:line="247" w:lineRule="auto"/>
        <w:ind w:left="720" w:right="813"/>
        <w:contextualSpacing w:val="0"/>
        <w:rPr>
          <w:rFonts w:ascii="Calibri" w:hAnsi="Calibri" w:cs="Calibri"/>
        </w:rPr>
      </w:pPr>
      <w:r w:rsidRPr="00DD7BD1">
        <w:rPr>
          <w:rFonts w:ascii="Calibri" w:hAnsi="Calibri" w:cs="Calibri"/>
          <w:w w:val="110"/>
        </w:rPr>
        <w:t>Amended Subsection</w:t>
      </w:r>
      <w:r w:rsidRPr="00DD7BD1">
        <w:rPr>
          <w:rFonts w:ascii="Calibri" w:hAnsi="Calibri" w:cs="Calibri"/>
          <w:spacing w:val="-4"/>
          <w:w w:val="110"/>
        </w:rPr>
        <w:t xml:space="preserve"> </w:t>
      </w:r>
      <w:r w:rsidRPr="00DD7BD1">
        <w:rPr>
          <w:rFonts w:ascii="Calibri" w:hAnsi="Calibri" w:cs="Calibri"/>
          <w:w w:val="110"/>
        </w:rPr>
        <w:t>(b-5)</w:t>
      </w:r>
      <w:r w:rsidRPr="00DD7BD1">
        <w:rPr>
          <w:rFonts w:ascii="Calibri" w:hAnsi="Calibri" w:cs="Calibri"/>
          <w:spacing w:val="-1"/>
          <w:w w:val="110"/>
        </w:rPr>
        <w:t xml:space="preserve"> </w:t>
      </w:r>
      <w:r w:rsidRPr="00DD7BD1">
        <w:rPr>
          <w:rFonts w:ascii="Calibri" w:hAnsi="Calibri" w:cs="Calibri"/>
          <w:w w:val="110"/>
        </w:rPr>
        <w:t>adds</w:t>
      </w:r>
      <w:r w:rsidRPr="00DD7BD1">
        <w:rPr>
          <w:rFonts w:ascii="Calibri" w:hAnsi="Calibri" w:cs="Calibri"/>
          <w:spacing w:val="-2"/>
          <w:w w:val="110"/>
        </w:rPr>
        <w:t xml:space="preserve"> </w:t>
      </w:r>
      <w:r w:rsidRPr="00DD7BD1">
        <w:rPr>
          <w:rFonts w:ascii="Calibri" w:hAnsi="Calibri" w:cs="Calibri"/>
          <w:w w:val="110"/>
        </w:rPr>
        <w:t>part-time</w:t>
      </w:r>
      <w:r w:rsidRPr="00DD7BD1">
        <w:rPr>
          <w:rFonts w:ascii="Calibri" w:hAnsi="Calibri" w:cs="Calibri"/>
          <w:spacing w:val="-4"/>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those who can</w:t>
      </w:r>
      <w:r w:rsidRPr="00DD7BD1">
        <w:rPr>
          <w:rFonts w:ascii="Calibri" w:hAnsi="Calibri" w:cs="Calibri"/>
          <w:spacing w:val="-4"/>
          <w:w w:val="110"/>
        </w:rPr>
        <w:t xml:space="preserve"> </w:t>
      </w:r>
      <w:r w:rsidRPr="00DD7BD1">
        <w:rPr>
          <w:rFonts w:ascii="Calibri" w:hAnsi="Calibri" w:cs="Calibri"/>
          <w:w w:val="110"/>
        </w:rPr>
        <w:t>take leave to donate an</w:t>
      </w:r>
      <w:r w:rsidRPr="00DD7BD1">
        <w:rPr>
          <w:rFonts w:ascii="Calibri" w:hAnsi="Calibri" w:cs="Calibri"/>
          <w:spacing w:val="-2"/>
          <w:w w:val="110"/>
        </w:rPr>
        <w:t xml:space="preserve"> </w:t>
      </w:r>
      <w:r w:rsidRPr="00DD7BD1">
        <w:rPr>
          <w:rFonts w:ascii="Calibri" w:hAnsi="Calibri" w:cs="Calibri"/>
          <w:w w:val="110"/>
        </w:rPr>
        <w:t>organ.</w:t>
      </w:r>
      <w:r w:rsidRPr="00DD7BD1">
        <w:rPr>
          <w:rFonts w:ascii="Calibri" w:hAnsi="Calibri" w:cs="Calibri"/>
          <w:spacing w:val="-1"/>
          <w:w w:val="110"/>
        </w:rPr>
        <w:t xml:space="preserve"> </w:t>
      </w:r>
      <w:r w:rsidRPr="00DD7BD1">
        <w:rPr>
          <w:rFonts w:ascii="Calibri" w:hAnsi="Calibri" w:cs="Calibri"/>
          <w:w w:val="110"/>
        </w:rPr>
        <w:t xml:space="preserve">It </w:t>
      </w:r>
      <w:r w:rsidRPr="00DD7BD1">
        <w:rPr>
          <w:rFonts w:ascii="Calibri" w:hAnsi="Calibri" w:cs="Calibri"/>
          <w:w w:val="115"/>
        </w:rPr>
        <w:t>also</w:t>
      </w:r>
      <w:r w:rsidRPr="00DD7BD1">
        <w:rPr>
          <w:rFonts w:ascii="Calibri" w:hAnsi="Calibri" w:cs="Calibri"/>
          <w:spacing w:val="-12"/>
          <w:w w:val="115"/>
        </w:rPr>
        <w:t xml:space="preserve"> </w:t>
      </w:r>
      <w:r w:rsidRPr="00DD7BD1">
        <w:rPr>
          <w:rFonts w:ascii="Calibri" w:hAnsi="Calibri" w:cs="Calibri"/>
          <w:w w:val="115"/>
        </w:rPr>
        <w:t>goes</w:t>
      </w:r>
      <w:r w:rsidRPr="00DD7BD1">
        <w:rPr>
          <w:rFonts w:ascii="Calibri" w:hAnsi="Calibri" w:cs="Calibri"/>
          <w:spacing w:val="-9"/>
          <w:w w:val="115"/>
        </w:rPr>
        <w:t xml:space="preserve"> </w:t>
      </w:r>
      <w:r w:rsidRPr="00DD7BD1">
        <w:rPr>
          <w:rFonts w:ascii="Calibri" w:hAnsi="Calibri" w:cs="Calibri"/>
          <w:w w:val="115"/>
        </w:rPr>
        <w:t>further</w:t>
      </w:r>
      <w:r w:rsidRPr="00DD7BD1">
        <w:rPr>
          <w:rFonts w:ascii="Calibri" w:hAnsi="Calibri" w:cs="Calibri"/>
          <w:spacing w:val="-10"/>
          <w:w w:val="115"/>
        </w:rPr>
        <w:t xml:space="preserve"> </w:t>
      </w:r>
      <w:r w:rsidRPr="00DD7BD1">
        <w:rPr>
          <w:rFonts w:ascii="Calibri" w:hAnsi="Calibri" w:cs="Calibri"/>
          <w:w w:val="115"/>
        </w:rPr>
        <w:t>and</w:t>
      </w:r>
      <w:r w:rsidRPr="00DD7BD1">
        <w:rPr>
          <w:rFonts w:ascii="Calibri" w:hAnsi="Calibri" w:cs="Calibri"/>
          <w:spacing w:val="-9"/>
          <w:w w:val="115"/>
        </w:rPr>
        <w:t xml:space="preserve"> </w:t>
      </w:r>
      <w:r w:rsidRPr="00DD7BD1">
        <w:rPr>
          <w:rFonts w:ascii="Calibri" w:hAnsi="Calibri" w:cs="Calibri"/>
          <w:w w:val="115"/>
        </w:rPr>
        <w:t>states:</w:t>
      </w:r>
      <w:r w:rsidRPr="00DD7BD1">
        <w:rPr>
          <w:rFonts w:ascii="Calibri" w:hAnsi="Calibri" w:cs="Calibri"/>
          <w:spacing w:val="-8"/>
          <w:w w:val="115"/>
        </w:rPr>
        <w:t xml:space="preserve"> </w:t>
      </w:r>
      <w:r w:rsidRPr="00DD7BD1">
        <w:rPr>
          <w:rFonts w:ascii="Calibri" w:hAnsi="Calibri" w:cs="Calibri"/>
          <w:i/>
          <w:w w:val="115"/>
        </w:rPr>
        <w:t>“For</w:t>
      </w:r>
      <w:r w:rsidRPr="00DD7BD1">
        <w:rPr>
          <w:rFonts w:ascii="Calibri" w:hAnsi="Calibri" w:cs="Calibri"/>
          <w:i/>
          <w:spacing w:val="-13"/>
          <w:w w:val="115"/>
        </w:rPr>
        <w:t xml:space="preserve"> </w:t>
      </w:r>
      <w:r w:rsidRPr="00DD7BD1">
        <w:rPr>
          <w:rFonts w:ascii="Calibri" w:hAnsi="Calibri" w:cs="Calibri"/>
          <w:i/>
          <w:w w:val="115"/>
        </w:rPr>
        <w:t>a</w:t>
      </w:r>
      <w:r w:rsidRPr="00DD7BD1">
        <w:rPr>
          <w:rFonts w:ascii="Calibri" w:hAnsi="Calibri" w:cs="Calibri"/>
          <w:i/>
          <w:spacing w:val="-12"/>
          <w:w w:val="115"/>
        </w:rPr>
        <w:t xml:space="preserve"> </w:t>
      </w:r>
      <w:r w:rsidRPr="00DD7BD1">
        <w:rPr>
          <w:rFonts w:ascii="Calibri" w:hAnsi="Calibri" w:cs="Calibri"/>
          <w:i/>
          <w:w w:val="115"/>
        </w:rPr>
        <w:t>part-time</w:t>
      </w:r>
      <w:r w:rsidRPr="00DD7BD1">
        <w:rPr>
          <w:rFonts w:ascii="Calibri" w:hAnsi="Calibri" w:cs="Calibri"/>
          <w:i/>
          <w:spacing w:val="-12"/>
          <w:w w:val="115"/>
        </w:rPr>
        <w:t xml:space="preserve"> </w:t>
      </w:r>
      <w:r w:rsidRPr="00DD7BD1">
        <w:rPr>
          <w:rFonts w:ascii="Calibri" w:hAnsi="Calibri" w:cs="Calibri"/>
          <w:i/>
          <w:w w:val="115"/>
        </w:rPr>
        <w:t>employee</w:t>
      </w:r>
      <w:r w:rsidRPr="00DD7BD1">
        <w:rPr>
          <w:rFonts w:ascii="Calibri" w:hAnsi="Calibri" w:cs="Calibri"/>
          <w:i/>
          <w:spacing w:val="-10"/>
          <w:w w:val="115"/>
        </w:rPr>
        <w:t xml:space="preserve"> </w:t>
      </w:r>
      <w:r w:rsidRPr="00DD7BD1">
        <w:rPr>
          <w:rFonts w:ascii="Calibri" w:hAnsi="Calibri" w:cs="Calibri"/>
          <w:i/>
          <w:w w:val="115"/>
        </w:rPr>
        <w:t>using</w:t>
      </w:r>
      <w:r w:rsidRPr="00DD7BD1">
        <w:rPr>
          <w:rFonts w:ascii="Calibri" w:hAnsi="Calibri" w:cs="Calibri"/>
          <w:i/>
          <w:spacing w:val="-14"/>
          <w:w w:val="115"/>
        </w:rPr>
        <w:t xml:space="preserve"> </w:t>
      </w:r>
      <w:r w:rsidRPr="00DD7BD1">
        <w:rPr>
          <w:rFonts w:ascii="Calibri" w:hAnsi="Calibri" w:cs="Calibri"/>
          <w:i/>
          <w:w w:val="115"/>
        </w:rPr>
        <w:t>leave</w:t>
      </w:r>
      <w:r w:rsidRPr="00DD7BD1">
        <w:rPr>
          <w:rFonts w:ascii="Calibri" w:hAnsi="Calibri" w:cs="Calibri"/>
          <w:i/>
          <w:spacing w:val="-12"/>
          <w:w w:val="115"/>
        </w:rPr>
        <w:t xml:space="preserve"> </w:t>
      </w:r>
      <w:r w:rsidRPr="00DD7BD1">
        <w:rPr>
          <w:rFonts w:ascii="Calibri" w:hAnsi="Calibri" w:cs="Calibri"/>
          <w:i/>
          <w:w w:val="115"/>
        </w:rPr>
        <w:t>under</w:t>
      </w:r>
      <w:r w:rsidRPr="00DD7BD1">
        <w:rPr>
          <w:rFonts w:ascii="Calibri" w:hAnsi="Calibri" w:cs="Calibri"/>
          <w:i/>
          <w:spacing w:val="-10"/>
          <w:w w:val="115"/>
        </w:rPr>
        <w:t xml:space="preserve"> </w:t>
      </w:r>
      <w:r w:rsidRPr="00DD7BD1">
        <w:rPr>
          <w:rFonts w:ascii="Calibri" w:hAnsi="Calibri" w:cs="Calibri"/>
          <w:i/>
          <w:w w:val="115"/>
        </w:rPr>
        <w:t>this</w:t>
      </w:r>
      <w:r w:rsidRPr="00DD7BD1">
        <w:rPr>
          <w:rFonts w:ascii="Calibri" w:hAnsi="Calibri" w:cs="Calibri"/>
          <w:i/>
          <w:spacing w:val="-10"/>
          <w:w w:val="115"/>
        </w:rPr>
        <w:t xml:space="preserve"> </w:t>
      </w:r>
      <w:r w:rsidRPr="00DD7BD1">
        <w:rPr>
          <w:rFonts w:ascii="Calibri" w:hAnsi="Calibri" w:cs="Calibri"/>
          <w:i/>
          <w:w w:val="115"/>
        </w:rPr>
        <w:t>subsection,</w:t>
      </w:r>
      <w:r w:rsidRPr="00DD7BD1">
        <w:rPr>
          <w:rFonts w:ascii="Calibri" w:hAnsi="Calibri" w:cs="Calibri"/>
          <w:i/>
          <w:spacing w:val="-9"/>
          <w:w w:val="115"/>
        </w:rPr>
        <w:t xml:space="preserve"> </w:t>
      </w:r>
      <w:r w:rsidRPr="00DD7BD1">
        <w:rPr>
          <w:rFonts w:ascii="Calibri" w:hAnsi="Calibri" w:cs="Calibri"/>
          <w:i/>
          <w:w w:val="115"/>
        </w:rPr>
        <w:t>the</w:t>
      </w:r>
      <w:r w:rsidRPr="00DD7BD1">
        <w:rPr>
          <w:rFonts w:ascii="Calibri" w:hAnsi="Calibri" w:cs="Calibri"/>
          <w:i/>
          <w:spacing w:val="-10"/>
          <w:w w:val="115"/>
        </w:rPr>
        <w:t xml:space="preserve"> </w:t>
      </w:r>
      <w:r w:rsidRPr="00DD7BD1">
        <w:rPr>
          <w:rFonts w:ascii="Calibri" w:hAnsi="Calibri" w:cs="Calibri"/>
          <w:i/>
          <w:w w:val="115"/>
        </w:rPr>
        <w:t>employer</w:t>
      </w:r>
      <w:r w:rsidRPr="00DD7BD1">
        <w:rPr>
          <w:rFonts w:ascii="Calibri" w:hAnsi="Calibri" w:cs="Calibri"/>
          <w:i/>
          <w:spacing w:val="-10"/>
          <w:w w:val="115"/>
        </w:rPr>
        <w:t xml:space="preserve"> </w:t>
      </w:r>
      <w:r w:rsidRPr="00DD7BD1">
        <w:rPr>
          <w:rFonts w:ascii="Calibri" w:hAnsi="Calibri" w:cs="Calibri"/>
          <w:i/>
          <w:w w:val="115"/>
        </w:rPr>
        <w:t>shall calculate the daily average pay the</w:t>
      </w:r>
      <w:r w:rsidRPr="00DD7BD1">
        <w:rPr>
          <w:rFonts w:ascii="Calibri" w:hAnsi="Calibri" w:cs="Calibri"/>
          <w:i/>
          <w:spacing w:val="-1"/>
          <w:w w:val="115"/>
        </w:rPr>
        <w:t xml:space="preserve"> </w:t>
      </w:r>
      <w:r w:rsidRPr="00DD7BD1">
        <w:rPr>
          <w:rFonts w:ascii="Calibri" w:hAnsi="Calibri" w:cs="Calibri"/>
          <w:i/>
          <w:w w:val="115"/>
        </w:rPr>
        <w:t>part-time employee received during his or her previous 2 months of employment and</w:t>
      </w:r>
      <w:r w:rsidRPr="00DD7BD1">
        <w:rPr>
          <w:rFonts w:ascii="Calibri" w:hAnsi="Calibri" w:cs="Calibri"/>
          <w:i/>
          <w:spacing w:val="-3"/>
          <w:w w:val="115"/>
        </w:rPr>
        <w:t xml:space="preserve"> </w:t>
      </w:r>
      <w:r w:rsidRPr="00DD7BD1">
        <w:rPr>
          <w:rFonts w:ascii="Calibri" w:hAnsi="Calibri" w:cs="Calibri"/>
          <w:i/>
          <w:w w:val="115"/>
        </w:rPr>
        <w:t>compensate</w:t>
      </w:r>
      <w:r w:rsidRPr="00DD7BD1">
        <w:rPr>
          <w:rFonts w:ascii="Calibri" w:hAnsi="Calibri" w:cs="Calibri"/>
          <w:i/>
          <w:spacing w:val="-1"/>
          <w:w w:val="115"/>
        </w:rPr>
        <w:t xml:space="preserve"> </w:t>
      </w:r>
      <w:r w:rsidRPr="00DD7BD1">
        <w:rPr>
          <w:rFonts w:ascii="Calibri" w:hAnsi="Calibri" w:cs="Calibri"/>
          <w:i/>
          <w:w w:val="115"/>
        </w:rPr>
        <w:t>the part-time</w:t>
      </w:r>
      <w:r w:rsidRPr="00DD7BD1">
        <w:rPr>
          <w:rFonts w:ascii="Calibri" w:hAnsi="Calibri" w:cs="Calibri"/>
          <w:i/>
          <w:spacing w:val="-3"/>
          <w:w w:val="115"/>
        </w:rPr>
        <w:t xml:space="preserve"> </w:t>
      </w:r>
      <w:r w:rsidRPr="00DD7BD1">
        <w:rPr>
          <w:rFonts w:ascii="Calibri" w:hAnsi="Calibri" w:cs="Calibri"/>
          <w:i/>
          <w:w w:val="115"/>
        </w:rPr>
        <w:t>employee in the</w:t>
      </w:r>
      <w:r w:rsidRPr="00DD7BD1">
        <w:rPr>
          <w:rFonts w:ascii="Calibri" w:hAnsi="Calibri" w:cs="Calibri"/>
          <w:i/>
          <w:spacing w:val="-3"/>
          <w:w w:val="115"/>
        </w:rPr>
        <w:t xml:space="preserve"> </w:t>
      </w:r>
      <w:r w:rsidRPr="00DD7BD1">
        <w:rPr>
          <w:rFonts w:ascii="Calibri" w:hAnsi="Calibri" w:cs="Calibri"/>
          <w:i/>
          <w:w w:val="115"/>
        </w:rPr>
        <w:t>amount</w:t>
      </w:r>
      <w:r w:rsidRPr="00DD7BD1">
        <w:rPr>
          <w:rFonts w:ascii="Calibri" w:hAnsi="Calibri" w:cs="Calibri"/>
          <w:i/>
          <w:spacing w:val="-2"/>
          <w:w w:val="115"/>
        </w:rPr>
        <w:t xml:space="preserve"> </w:t>
      </w:r>
      <w:r w:rsidRPr="00DD7BD1">
        <w:rPr>
          <w:rFonts w:ascii="Calibri" w:hAnsi="Calibri" w:cs="Calibri"/>
          <w:i/>
          <w:w w:val="115"/>
        </w:rPr>
        <w:t>of the</w:t>
      </w:r>
      <w:r w:rsidRPr="00DD7BD1">
        <w:rPr>
          <w:rFonts w:ascii="Calibri" w:hAnsi="Calibri" w:cs="Calibri"/>
          <w:i/>
          <w:spacing w:val="-3"/>
          <w:w w:val="115"/>
        </w:rPr>
        <w:t xml:space="preserve"> </w:t>
      </w:r>
      <w:r w:rsidRPr="00DD7BD1">
        <w:rPr>
          <w:rFonts w:ascii="Calibri" w:hAnsi="Calibri" w:cs="Calibri"/>
          <w:i/>
          <w:w w:val="115"/>
        </w:rPr>
        <w:t>daily</w:t>
      </w:r>
      <w:r w:rsidRPr="00DD7BD1">
        <w:rPr>
          <w:rFonts w:ascii="Calibri" w:hAnsi="Calibri" w:cs="Calibri"/>
          <w:i/>
          <w:spacing w:val="-3"/>
          <w:w w:val="115"/>
        </w:rPr>
        <w:t xml:space="preserve"> </w:t>
      </w:r>
      <w:r w:rsidRPr="00DD7BD1">
        <w:rPr>
          <w:rFonts w:ascii="Calibri" w:hAnsi="Calibri" w:cs="Calibri"/>
          <w:i/>
          <w:w w:val="115"/>
        </w:rPr>
        <w:t>average</w:t>
      </w:r>
      <w:r w:rsidRPr="00DD7BD1">
        <w:rPr>
          <w:rFonts w:ascii="Calibri" w:hAnsi="Calibri" w:cs="Calibri"/>
          <w:i/>
          <w:spacing w:val="-1"/>
          <w:w w:val="115"/>
        </w:rPr>
        <w:t xml:space="preserve"> </w:t>
      </w:r>
      <w:r w:rsidRPr="00DD7BD1">
        <w:rPr>
          <w:rFonts w:ascii="Calibri" w:hAnsi="Calibri" w:cs="Calibri"/>
          <w:i/>
          <w:w w:val="115"/>
        </w:rPr>
        <w:t>pay for</w:t>
      </w:r>
      <w:r w:rsidRPr="00DD7BD1">
        <w:rPr>
          <w:rFonts w:ascii="Calibri" w:hAnsi="Calibri" w:cs="Calibri"/>
          <w:i/>
          <w:spacing w:val="-2"/>
          <w:w w:val="115"/>
        </w:rPr>
        <w:t xml:space="preserve"> </w:t>
      </w:r>
      <w:r w:rsidRPr="00DD7BD1">
        <w:rPr>
          <w:rFonts w:ascii="Calibri" w:hAnsi="Calibri" w:cs="Calibri"/>
          <w:i/>
          <w:w w:val="115"/>
        </w:rPr>
        <w:t>the</w:t>
      </w:r>
      <w:r w:rsidRPr="00DD7BD1">
        <w:rPr>
          <w:rFonts w:ascii="Calibri" w:hAnsi="Calibri" w:cs="Calibri"/>
          <w:i/>
          <w:spacing w:val="-3"/>
          <w:w w:val="115"/>
        </w:rPr>
        <w:t xml:space="preserve"> </w:t>
      </w:r>
      <w:r w:rsidRPr="00DD7BD1">
        <w:rPr>
          <w:rFonts w:ascii="Calibri" w:hAnsi="Calibri" w:cs="Calibri"/>
          <w:i/>
          <w:w w:val="115"/>
        </w:rPr>
        <w:t xml:space="preserve">leave </w:t>
      </w:r>
      <w:r w:rsidRPr="00DD7BD1">
        <w:rPr>
          <w:rFonts w:ascii="Calibri" w:hAnsi="Calibri" w:cs="Calibri"/>
          <w:i/>
          <w:w w:val="110"/>
        </w:rPr>
        <w:t>days used.</w:t>
      </w:r>
      <w:r w:rsidRPr="00DD7BD1">
        <w:rPr>
          <w:rFonts w:ascii="Calibri" w:hAnsi="Calibri" w:cs="Calibri"/>
          <w:w w:val="110"/>
        </w:rPr>
        <w:t xml:space="preserve">” Nothing in this subsection references providing pay to full-time employees, and the original language remains the same, stating that an employee “may use up to 10 days of leave” without reference </w:t>
      </w:r>
      <w:r w:rsidRPr="00DD7BD1">
        <w:rPr>
          <w:rFonts w:ascii="Calibri" w:hAnsi="Calibri" w:cs="Calibri"/>
          <w:w w:val="115"/>
        </w:rPr>
        <w:t>to</w:t>
      </w:r>
      <w:r w:rsidRPr="00DD7BD1">
        <w:rPr>
          <w:rFonts w:ascii="Calibri" w:hAnsi="Calibri" w:cs="Calibri"/>
          <w:spacing w:val="-5"/>
          <w:w w:val="115"/>
        </w:rPr>
        <w:t xml:space="preserve"> </w:t>
      </w:r>
      <w:r w:rsidRPr="00DD7BD1">
        <w:rPr>
          <w:rFonts w:ascii="Calibri" w:hAnsi="Calibri" w:cs="Calibri"/>
          <w:w w:val="115"/>
        </w:rPr>
        <w:t>the</w:t>
      </w:r>
      <w:r w:rsidRPr="00DD7BD1">
        <w:rPr>
          <w:rFonts w:ascii="Calibri" w:hAnsi="Calibri" w:cs="Calibri"/>
          <w:spacing w:val="-5"/>
          <w:w w:val="115"/>
        </w:rPr>
        <w:t xml:space="preserve"> </w:t>
      </w:r>
      <w:r w:rsidRPr="00DD7BD1">
        <w:rPr>
          <w:rFonts w:ascii="Calibri" w:hAnsi="Calibri" w:cs="Calibri"/>
          <w:w w:val="115"/>
        </w:rPr>
        <w:t>leave</w:t>
      </w:r>
      <w:r w:rsidRPr="00DD7BD1">
        <w:rPr>
          <w:rFonts w:ascii="Calibri" w:hAnsi="Calibri" w:cs="Calibri"/>
          <w:spacing w:val="-9"/>
          <w:w w:val="115"/>
        </w:rPr>
        <w:t xml:space="preserve"> </w:t>
      </w:r>
      <w:r w:rsidRPr="00DD7BD1">
        <w:rPr>
          <w:rFonts w:ascii="Calibri" w:hAnsi="Calibri" w:cs="Calibri"/>
          <w:w w:val="115"/>
        </w:rPr>
        <w:t>being</w:t>
      </w:r>
      <w:r w:rsidRPr="00DD7BD1">
        <w:rPr>
          <w:rFonts w:ascii="Calibri" w:hAnsi="Calibri" w:cs="Calibri"/>
          <w:spacing w:val="-8"/>
          <w:w w:val="115"/>
        </w:rPr>
        <w:t xml:space="preserve"> </w:t>
      </w:r>
      <w:r w:rsidRPr="00DD7BD1">
        <w:rPr>
          <w:rFonts w:ascii="Calibri" w:hAnsi="Calibri" w:cs="Calibri"/>
          <w:w w:val="115"/>
        </w:rPr>
        <w:t>paid</w:t>
      </w:r>
      <w:r w:rsidRPr="00DD7BD1">
        <w:rPr>
          <w:rFonts w:ascii="Calibri" w:hAnsi="Calibri" w:cs="Calibri"/>
          <w:spacing w:val="-9"/>
          <w:w w:val="115"/>
        </w:rPr>
        <w:t xml:space="preserve"> </w:t>
      </w:r>
      <w:r w:rsidRPr="00DD7BD1">
        <w:rPr>
          <w:rFonts w:ascii="Calibri" w:hAnsi="Calibri" w:cs="Calibri"/>
          <w:w w:val="115"/>
        </w:rPr>
        <w:t>or</w:t>
      </w:r>
      <w:r w:rsidRPr="00DD7BD1">
        <w:rPr>
          <w:rFonts w:ascii="Calibri" w:hAnsi="Calibri" w:cs="Calibri"/>
          <w:spacing w:val="-10"/>
          <w:w w:val="115"/>
        </w:rPr>
        <w:t xml:space="preserve"> </w:t>
      </w:r>
      <w:r w:rsidRPr="00DD7BD1">
        <w:rPr>
          <w:rFonts w:ascii="Calibri" w:hAnsi="Calibri" w:cs="Calibri"/>
          <w:w w:val="115"/>
        </w:rPr>
        <w:t>unpaid.</w:t>
      </w:r>
    </w:p>
    <w:p w14:paraId="1A5355FC" w14:textId="77777777" w:rsidR="00A85628" w:rsidRPr="00DD7BD1" w:rsidRDefault="00A85628" w:rsidP="00A85628">
      <w:pPr>
        <w:pStyle w:val="BodyText"/>
        <w:spacing w:before="203" w:line="247" w:lineRule="auto"/>
        <w:ind w:right="-270"/>
        <w:jc w:val="left"/>
        <w:rPr>
          <w:rFonts w:cs="Calibri"/>
          <w:color w:val="auto"/>
          <w:szCs w:val="22"/>
        </w:rPr>
      </w:pPr>
      <w:r w:rsidRPr="00DD7BD1">
        <w:rPr>
          <w:rFonts w:cs="Calibri"/>
          <w:color w:val="auto"/>
          <w:w w:val="110"/>
          <w:szCs w:val="22"/>
        </w:rPr>
        <w:t>As</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9"/>
          <w:w w:val="110"/>
          <w:szCs w:val="22"/>
        </w:rPr>
        <w:t xml:space="preserve"> </w:t>
      </w:r>
      <w:r w:rsidRPr="00DD7BD1">
        <w:rPr>
          <w:rFonts w:cs="Calibri"/>
          <w:color w:val="auto"/>
          <w:w w:val="110"/>
          <w:szCs w:val="22"/>
        </w:rPr>
        <w:t>stands,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only</w:t>
      </w:r>
      <w:r w:rsidRPr="00DD7BD1">
        <w:rPr>
          <w:rFonts w:cs="Calibri"/>
          <w:color w:val="auto"/>
          <w:spacing w:val="-5"/>
          <w:w w:val="110"/>
          <w:szCs w:val="22"/>
        </w:rPr>
        <w:t xml:space="preserve"> </w:t>
      </w:r>
      <w:r w:rsidRPr="00DD7BD1">
        <w:rPr>
          <w:rFonts w:cs="Calibri"/>
          <w:color w:val="auto"/>
          <w:w w:val="110"/>
          <w:szCs w:val="22"/>
        </w:rPr>
        <w:t>references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substantive</w:t>
      </w:r>
      <w:r w:rsidRPr="00DD7BD1">
        <w:rPr>
          <w:rFonts w:cs="Calibri"/>
          <w:color w:val="auto"/>
          <w:spacing w:val="-7"/>
          <w:w w:val="110"/>
          <w:szCs w:val="22"/>
        </w:rPr>
        <w:t xml:space="preserve"> </w:t>
      </w:r>
      <w:r w:rsidRPr="00DD7BD1">
        <w:rPr>
          <w:rFonts w:cs="Calibri"/>
          <w:color w:val="auto"/>
          <w:w w:val="110"/>
          <w:szCs w:val="22"/>
        </w:rPr>
        <w:t>portion</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(i.e.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title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subsection and</w:t>
      </w:r>
      <w:r w:rsidRPr="00DD7BD1">
        <w:rPr>
          <w:rFonts w:cs="Calibri"/>
          <w:color w:val="auto"/>
          <w:spacing w:val="-4"/>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introductory</w:t>
      </w:r>
      <w:r w:rsidRPr="00DD7BD1">
        <w:rPr>
          <w:rFonts w:cs="Calibri"/>
          <w:color w:val="auto"/>
          <w:spacing w:val="-4"/>
          <w:w w:val="110"/>
          <w:szCs w:val="22"/>
        </w:rPr>
        <w:t xml:space="preserve"> </w:t>
      </w:r>
      <w:r w:rsidRPr="00DD7BD1">
        <w:rPr>
          <w:rFonts w:cs="Calibri"/>
          <w:color w:val="auto"/>
          <w:w w:val="110"/>
          <w:szCs w:val="22"/>
        </w:rPr>
        <w:t>language</w:t>
      </w:r>
      <w:r w:rsidRPr="00DD7BD1">
        <w:rPr>
          <w:rFonts w:cs="Calibri"/>
          <w:color w:val="auto"/>
          <w:spacing w:val="-4"/>
          <w:w w:val="110"/>
          <w:szCs w:val="22"/>
        </w:rPr>
        <w:t xml:space="preserve"> </w:t>
      </w:r>
      <w:r w:rsidRPr="00DD7BD1">
        <w:rPr>
          <w:rFonts w:cs="Calibri"/>
          <w:color w:val="auto"/>
          <w:w w:val="110"/>
          <w:szCs w:val="22"/>
        </w:rPr>
        <w:t>about</w:t>
      </w:r>
      <w:r w:rsidRPr="00DD7BD1">
        <w:rPr>
          <w:rFonts w:cs="Calibri"/>
          <w:color w:val="auto"/>
          <w:spacing w:val="-5"/>
          <w:w w:val="110"/>
          <w:szCs w:val="22"/>
        </w:rPr>
        <w:t xml:space="preserve"> </w:t>
      </w:r>
      <w:r w:rsidRPr="00DD7BD1">
        <w:rPr>
          <w:rFonts w:cs="Calibri"/>
          <w:color w:val="auto"/>
          <w:w w:val="110"/>
          <w:szCs w:val="22"/>
        </w:rPr>
        <w:t>intent)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amended</w:t>
      </w:r>
      <w:r w:rsidRPr="00DD7BD1">
        <w:rPr>
          <w:rFonts w:cs="Calibri"/>
          <w:color w:val="auto"/>
          <w:spacing w:val="-7"/>
          <w:w w:val="110"/>
          <w:szCs w:val="22"/>
        </w:rPr>
        <w:t xml:space="preserve"> </w:t>
      </w:r>
      <w:r w:rsidRPr="00DD7BD1">
        <w:rPr>
          <w:rFonts w:cs="Calibri"/>
          <w:color w:val="auto"/>
          <w:w w:val="110"/>
          <w:szCs w:val="22"/>
        </w:rPr>
        <w:t>subsection</w:t>
      </w:r>
      <w:r w:rsidRPr="00DD7BD1">
        <w:rPr>
          <w:rFonts w:cs="Calibri"/>
          <w:color w:val="auto"/>
          <w:spacing w:val="-7"/>
          <w:w w:val="110"/>
          <w:szCs w:val="22"/>
        </w:rPr>
        <w:t xml:space="preserve"> </w:t>
      </w:r>
      <w:r w:rsidRPr="00DD7BD1">
        <w:rPr>
          <w:rFonts w:cs="Calibri"/>
          <w:color w:val="auto"/>
          <w:w w:val="110"/>
          <w:szCs w:val="22"/>
        </w:rPr>
        <w:t>(b-5)</w:t>
      </w:r>
      <w:r w:rsidRPr="00DD7BD1">
        <w:rPr>
          <w:rFonts w:cs="Calibri"/>
          <w:color w:val="auto"/>
          <w:spacing w:val="-8"/>
          <w:w w:val="110"/>
          <w:szCs w:val="22"/>
        </w:rPr>
        <w:t xml:space="preserve"> </w:t>
      </w:r>
      <w:r w:rsidRPr="00DD7BD1">
        <w:rPr>
          <w:rFonts w:cs="Calibri"/>
          <w:color w:val="auto"/>
          <w:w w:val="110"/>
          <w:szCs w:val="22"/>
        </w:rPr>
        <w:t>relating</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how</w:t>
      </w:r>
      <w:r w:rsidRPr="00DD7BD1">
        <w:rPr>
          <w:rFonts w:cs="Calibri"/>
          <w:color w:val="auto"/>
          <w:spacing w:val="-5"/>
          <w:w w:val="110"/>
          <w:szCs w:val="22"/>
        </w:rPr>
        <w:t xml:space="preserve"> </w:t>
      </w:r>
      <w:r w:rsidRPr="00DD7BD1">
        <w:rPr>
          <w:rFonts w:cs="Calibri"/>
          <w:color w:val="auto"/>
          <w:w w:val="110"/>
          <w:szCs w:val="22"/>
        </w:rPr>
        <w:t>to calculate</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part-time</w:t>
      </w:r>
      <w:r w:rsidRPr="00DD7BD1">
        <w:rPr>
          <w:rFonts w:cs="Calibri"/>
          <w:color w:val="auto"/>
          <w:spacing w:val="-6"/>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subsection</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stating</w:t>
      </w:r>
      <w:r w:rsidRPr="00DD7BD1">
        <w:rPr>
          <w:rFonts w:cs="Calibri"/>
          <w:color w:val="auto"/>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leave with</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Therefore,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wonder</w:t>
      </w:r>
      <w:r w:rsidRPr="00DD7BD1">
        <w:rPr>
          <w:rFonts w:cs="Calibri"/>
          <w:color w:val="auto"/>
          <w:spacing w:val="-18"/>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3"/>
          <w:w w:val="110"/>
          <w:szCs w:val="22"/>
        </w:rPr>
        <w:t xml:space="preserve"> </w:t>
      </w:r>
      <w:r w:rsidRPr="00DD7BD1">
        <w:rPr>
          <w:rFonts w:cs="Calibri"/>
          <w:color w:val="auto"/>
          <w:w w:val="110"/>
          <w:szCs w:val="22"/>
        </w:rPr>
        <w:t>paid</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who donate</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top</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whatever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5"/>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2"/>
          <w:w w:val="110"/>
          <w:szCs w:val="22"/>
        </w:rPr>
        <w:t xml:space="preserve"> </w:t>
      </w:r>
      <w:r w:rsidRPr="00DD7BD1">
        <w:rPr>
          <w:rFonts w:cs="Calibri"/>
          <w:color w:val="auto"/>
          <w:w w:val="110"/>
          <w:szCs w:val="22"/>
        </w:rPr>
        <w:t>they</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merely</w:t>
      </w:r>
      <w:r w:rsidRPr="00DD7BD1">
        <w:rPr>
          <w:rFonts w:cs="Calibri"/>
          <w:color w:val="auto"/>
          <w:spacing w:val="-12"/>
          <w:w w:val="110"/>
          <w:szCs w:val="22"/>
        </w:rPr>
        <w:t xml:space="preserve"> </w:t>
      </w:r>
      <w:r w:rsidRPr="00DD7BD1">
        <w:rPr>
          <w:rFonts w:cs="Calibri"/>
          <w:color w:val="auto"/>
          <w:w w:val="110"/>
          <w:szCs w:val="22"/>
        </w:rPr>
        <w:t>allow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10 days of leave and allow employees to use accrued paid leave and pay them accordingly.</w:t>
      </w:r>
    </w:p>
    <w:p w14:paraId="0A165E18" w14:textId="14B52FE3" w:rsidR="00A85628" w:rsidRPr="00DD7BD1" w:rsidRDefault="00A85628" w:rsidP="006208B6">
      <w:pPr>
        <w:pStyle w:val="BodyText"/>
        <w:spacing w:after="0" w:line="240" w:lineRule="auto"/>
        <w:ind w:right="-270"/>
        <w:jc w:val="left"/>
        <w:rPr>
          <w:rFonts w:cs="Calibri"/>
          <w:color w:val="auto"/>
          <w:szCs w:val="22"/>
        </w:rPr>
      </w:pPr>
      <w:r w:rsidRPr="00DD7BD1">
        <w:rPr>
          <w:rFonts w:cs="Calibri"/>
          <w:color w:val="auto"/>
          <w:w w:val="110"/>
          <w:szCs w:val="22"/>
        </w:rPr>
        <w:lastRenderedPageBreak/>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wondering</w:t>
      </w:r>
      <w:r w:rsidRPr="00DD7BD1">
        <w:rPr>
          <w:rFonts w:cs="Calibri"/>
          <w:color w:val="auto"/>
          <w:spacing w:val="-13"/>
          <w:w w:val="110"/>
          <w:szCs w:val="22"/>
        </w:rPr>
        <w:t xml:space="preserve"> </w:t>
      </w:r>
      <w:r w:rsidRPr="00DD7BD1">
        <w:rPr>
          <w:rFonts w:cs="Calibri"/>
          <w:color w:val="auto"/>
          <w:w w:val="110"/>
          <w:szCs w:val="22"/>
        </w:rPr>
        <w:t>whether</w:t>
      </w:r>
      <w:r w:rsidRPr="00DD7BD1">
        <w:rPr>
          <w:rFonts w:cs="Calibri"/>
          <w:color w:val="auto"/>
          <w:spacing w:val="-14"/>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proofErr w:type="gramStart"/>
      <w:r w:rsidRPr="00DD7BD1">
        <w:rPr>
          <w:rFonts w:cs="Calibri"/>
          <w:color w:val="auto"/>
          <w:w w:val="110"/>
          <w:szCs w:val="22"/>
        </w:rPr>
        <w:t>actually</w:t>
      </w:r>
      <w:r w:rsidRPr="00DD7BD1">
        <w:rPr>
          <w:rFonts w:cs="Calibri"/>
          <w:color w:val="auto"/>
          <w:spacing w:val="-13"/>
          <w:w w:val="110"/>
          <w:szCs w:val="22"/>
        </w:rPr>
        <w:t xml:space="preserve"> </w:t>
      </w:r>
      <w:r w:rsidRPr="00DD7BD1">
        <w:rPr>
          <w:rFonts w:cs="Calibri"/>
          <w:color w:val="auto"/>
          <w:w w:val="110"/>
          <w:szCs w:val="22"/>
        </w:rPr>
        <w:t>must</w:t>
      </w:r>
      <w:proofErr w:type="gramEnd"/>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who</w:t>
      </w:r>
      <w:r w:rsidRPr="00DD7BD1">
        <w:rPr>
          <w:rFonts w:cs="Calibri"/>
          <w:color w:val="auto"/>
          <w:spacing w:val="-15"/>
          <w:w w:val="110"/>
          <w:szCs w:val="22"/>
        </w:rPr>
        <w:t xml:space="preserve"> </w:t>
      </w:r>
      <w:r w:rsidRPr="00DD7BD1">
        <w:rPr>
          <w:rFonts w:cs="Calibri"/>
          <w:color w:val="auto"/>
          <w:w w:val="110"/>
          <w:szCs w:val="22"/>
        </w:rPr>
        <w:t>donate</w:t>
      </w:r>
      <w:r w:rsidRPr="00DD7BD1">
        <w:rPr>
          <w:rFonts w:cs="Calibri"/>
          <w:color w:val="auto"/>
          <w:spacing w:val="-15"/>
          <w:w w:val="110"/>
          <w:szCs w:val="22"/>
        </w:rPr>
        <w:t xml:space="preserve"> </w:t>
      </w:r>
      <w:r w:rsidRPr="00DD7BD1">
        <w:rPr>
          <w:rFonts w:cs="Calibri"/>
          <w:color w:val="auto"/>
          <w:w w:val="110"/>
          <w:szCs w:val="22"/>
        </w:rPr>
        <w:t>blood</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organs</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top of whatever other paid leave they provide.</w:t>
      </w:r>
      <w:r w:rsidR="00176D45" w:rsidRPr="00DD7BD1">
        <w:rPr>
          <w:rFonts w:cs="Calibri"/>
          <w:color w:val="auto"/>
          <w:w w:val="110"/>
          <w:szCs w:val="22"/>
        </w:rPr>
        <w:t xml:space="preserve"> ETC with the December 2025 HR WIRE will also be publishing an updated IL State Handbook Addendum with revised policy language addressing regulatory changes.</w:t>
      </w:r>
    </w:p>
    <w:p w14:paraId="3735E362" w14:textId="77777777" w:rsidR="006208B6" w:rsidRPr="00DD7BD1" w:rsidRDefault="006208B6" w:rsidP="006208B6">
      <w:pPr>
        <w:pStyle w:val="Heading1"/>
        <w:spacing w:before="0" w:beforeAutospacing="0" w:after="0" w:afterAutospacing="0"/>
        <w:ind w:right="-180" w:hanging="89"/>
        <w:jc w:val="center"/>
        <w:rPr>
          <w:rFonts w:ascii="Calibri" w:hAnsi="Calibri" w:cs="Calibri"/>
          <w:kern w:val="0"/>
          <w:sz w:val="22"/>
          <w:szCs w:val="22"/>
          <w:shd w:val="clear" w:color="auto" w:fill="FFFFFF"/>
        </w:rPr>
      </w:pPr>
      <w:bookmarkStart w:id="89" w:name="_Hlk212642808"/>
    </w:p>
    <w:p w14:paraId="17248561" w14:textId="7806C80F" w:rsidR="00A85628" w:rsidRPr="00DD7BD1" w:rsidRDefault="00A85628" w:rsidP="006208B6">
      <w:pPr>
        <w:pStyle w:val="Heading1"/>
        <w:spacing w:before="0" w:beforeAutospacing="0" w:after="0" w:afterAutospacing="0"/>
        <w:ind w:right="-180" w:hanging="89"/>
        <w:jc w:val="center"/>
        <w:rPr>
          <w:rFonts w:ascii="Calibri" w:hAnsi="Calibri" w:cs="Calibri"/>
        </w:rPr>
      </w:pPr>
      <w:r w:rsidRPr="00DD7BD1">
        <w:rPr>
          <w:rFonts w:ascii="Calibri" w:hAnsi="Calibri" w:cs="Calibri"/>
          <w:kern w:val="0"/>
          <w:sz w:val="28"/>
          <w:szCs w:val="28"/>
          <w:shd w:val="clear" w:color="auto" w:fill="FFFFFF"/>
        </w:rPr>
        <w:t>Updated State Regulations: Neonatal Intensive Care Leave, Military, Funeral Honors and Paid Break Time for Nursing Mothers</w:t>
      </w:r>
      <w:bookmarkEnd w:id="89"/>
    </w:p>
    <w:p w14:paraId="6F1D98BA"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employment</w:t>
      </w:r>
      <w:r w:rsidRPr="00DD7BD1">
        <w:rPr>
          <w:rFonts w:cs="Calibri"/>
          <w:color w:val="auto"/>
          <w:spacing w:val="-18"/>
          <w:w w:val="110"/>
          <w:szCs w:val="22"/>
        </w:rPr>
        <w:t xml:space="preserve"> </w:t>
      </w:r>
      <w:r w:rsidRPr="00DD7BD1">
        <w:rPr>
          <w:rFonts w:cs="Calibri"/>
          <w:color w:val="auto"/>
          <w:w w:val="110"/>
          <w:szCs w:val="22"/>
        </w:rPr>
        <w:t>laws</w:t>
      </w:r>
      <w:r w:rsidRPr="00DD7BD1">
        <w:rPr>
          <w:rFonts w:cs="Calibri"/>
          <w:color w:val="auto"/>
          <w:spacing w:val="-16"/>
          <w:w w:val="110"/>
          <w:szCs w:val="22"/>
        </w:rPr>
        <w:t xml:space="preserve"> </w:t>
      </w:r>
      <w:proofErr w:type="gramStart"/>
      <w:r w:rsidRPr="00DD7BD1">
        <w:rPr>
          <w:rFonts w:cs="Calibri"/>
          <w:color w:val="auto"/>
          <w:w w:val="110"/>
          <w:szCs w:val="22"/>
        </w:rPr>
        <w:t>requires</w:t>
      </w:r>
      <w:proofErr w:type="gramEnd"/>
      <w:r w:rsidRPr="00DD7BD1">
        <w:rPr>
          <w:rFonts w:cs="Calibri"/>
          <w:color w:val="auto"/>
          <w:spacing w:val="-17"/>
          <w:w w:val="110"/>
          <w:szCs w:val="22"/>
        </w:rPr>
        <w:t xml:space="preserve"> </w:t>
      </w:r>
      <w:r w:rsidRPr="00DD7BD1">
        <w:rPr>
          <w:rFonts w:cs="Calibri"/>
          <w:color w:val="auto"/>
          <w:w w:val="110"/>
          <w:szCs w:val="22"/>
        </w:rPr>
        <w:t>covered</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unpaid</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5"/>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parents</w:t>
      </w:r>
      <w:r w:rsidRPr="00DD7BD1">
        <w:rPr>
          <w:rFonts w:cs="Calibri"/>
          <w:color w:val="auto"/>
          <w:spacing w:val="-15"/>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child in neonatal</w:t>
      </w:r>
      <w:r w:rsidRPr="00DD7BD1">
        <w:rPr>
          <w:rFonts w:cs="Calibri"/>
          <w:color w:val="auto"/>
          <w:spacing w:val="-2"/>
          <w:w w:val="110"/>
          <w:szCs w:val="22"/>
        </w:rPr>
        <w:t xml:space="preserve"> </w:t>
      </w:r>
      <w:r w:rsidRPr="00DD7BD1">
        <w:rPr>
          <w:rFonts w:cs="Calibri"/>
          <w:color w:val="auto"/>
          <w:w w:val="110"/>
          <w:szCs w:val="22"/>
        </w:rPr>
        <w:t>care,</w:t>
      </w:r>
      <w:r w:rsidRPr="00DD7BD1">
        <w:rPr>
          <w:rFonts w:cs="Calibri"/>
          <w:color w:val="auto"/>
          <w:spacing w:val="-3"/>
          <w:w w:val="110"/>
          <w:szCs w:val="22"/>
        </w:rPr>
        <w:t xml:space="preserve"> </w:t>
      </w:r>
      <w:r w:rsidRPr="00DD7BD1">
        <w:rPr>
          <w:rFonts w:cs="Calibri"/>
          <w:color w:val="auto"/>
          <w:w w:val="110"/>
          <w:szCs w:val="22"/>
        </w:rPr>
        <w:t>paid leave for</w:t>
      </w:r>
      <w:r w:rsidRPr="00DD7BD1">
        <w:rPr>
          <w:rFonts w:cs="Calibri"/>
          <w:color w:val="auto"/>
          <w:spacing w:val="-3"/>
          <w:w w:val="110"/>
          <w:szCs w:val="22"/>
        </w:rPr>
        <w:t xml:space="preserve"> </w:t>
      </w:r>
      <w:r w:rsidRPr="00DD7BD1">
        <w:rPr>
          <w:rFonts w:cs="Calibri"/>
          <w:color w:val="auto"/>
          <w:w w:val="110"/>
          <w:szCs w:val="22"/>
        </w:rPr>
        <w:t>military funeral</w:t>
      </w:r>
      <w:r w:rsidRPr="00DD7BD1">
        <w:rPr>
          <w:rFonts w:cs="Calibri"/>
          <w:color w:val="auto"/>
          <w:spacing w:val="-5"/>
          <w:w w:val="110"/>
          <w:szCs w:val="22"/>
        </w:rPr>
        <w:t xml:space="preserve"> </w:t>
      </w:r>
      <w:r w:rsidRPr="00DD7BD1">
        <w:rPr>
          <w:rFonts w:cs="Calibri"/>
          <w:color w:val="auto"/>
          <w:w w:val="110"/>
          <w:szCs w:val="22"/>
        </w:rPr>
        <w:t>honors,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paid break</w:t>
      </w:r>
      <w:r w:rsidRPr="00DD7BD1">
        <w:rPr>
          <w:rFonts w:cs="Calibri"/>
          <w:color w:val="auto"/>
          <w:spacing w:val="-2"/>
          <w:w w:val="110"/>
          <w:szCs w:val="22"/>
        </w:rPr>
        <w:t xml:space="preserve"> </w:t>
      </w:r>
      <w:r w:rsidRPr="00DD7BD1">
        <w:rPr>
          <w:rFonts w:cs="Calibri"/>
          <w:color w:val="auto"/>
          <w:w w:val="110"/>
          <w:szCs w:val="22"/>
        </w:rPr>
        <w:t>time for</w:t>
      </w:r>
      <w:r w:rsidRPr="00DD7BD1">
        <w:rPr>
          <w:rFonts w:cs="Calibri"/>
          <w:color w:val="auto"/>
          <w:spacing w:val="-5"/>
          <w:w w:val="110"/>
          <w:szCs w:val="22"/>
        </w:rPr>
        <w:t xml:space="preserve"> </w:t>
      </w:r>
      <w:r w:rsidRPr="00DD7BD1">
        <w:rPr>
          <w:rFonts w:cs="Calibri"/>
          <w:color w:val="auto"/>
          <w:w w:val="110"/>
          <w:szCs w:val="22"/>
        </w:rPr>
        <w:t>nursing</w:t>
      </w:r>
      <w:r w:rsidRPr="00DD7BD1">
        <w:rPr>
          <w:rFonts w:cs="Calibri"/>
          <w:color w:val="auto"/>
          <w:spacing w:val="-2"/>
          <w:w w:val="110"/>
          <w:szCs w:val="22"/>
        </w:rPr>
        <w:t xml:space="preserve"> </w:t>
      </w:r>
      <w:r w:rsidRPr="00DD7BD1">
        <w:rPr>
          <w:rFonts w:cs="Calibri"/>
          <w:color w:val="auto"/>
          <w:w w:val="110"/>
          <w:szCs w:val="22"/>
        </w:rPr>
        <w:t>mothers.</w:t>
      </w:r>
    </w:p>
    <w:p w14:paraId="7A53CA9E" w14:textId="77777777" w:rsidR="00E6323F" w:rsidRPr="00DD7BD1" w:rsidRDefault="00E6323F" w:rsidP="00A85628">
      <w:pPr>
        <w:pStyle w:val="Heading4"/>
        <w:spacing w:before="0" w:line="240" w:lineRule="auto"/>
        <w:ind w:right="-274"/>
        <w:rPr>
          <w:rFonts w:ascii="Calibri" w:eastAsia="Times New Roman" w:hAnsi="Calibri" w:cs="Calibri"/>
          <w:b/>
          <w:bCs/>
          <w:i w:val="0"/>
          <w:iCs w:val="0"/>
          <w:color w:val="auto"/>
        </w:rPr>
      </w:pPr>
    </w:p>
    <w:p w14:paraId="5D790424" w14:textId="29B0AFC4"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Nursing Mothers Breaktime – Eff</w:t>
      </w:r>
      <w:r w:rsidRPr="00DD7BD1">
        <w:rPr>
          <w:rFonts w:ascii="Calibri" w:hAnsi="Calibri" w:cs="Calibri"/>
          <w:color w:val="C00000"/>
          <w:spacing w:val="-11"/>
        </w:rPr>
        <w:t xml:space="preserve"> </w:t>
      </w:r>
      <w:r w:rsidRPr="00DD7BD1">
        <w:rPr>
          <w:rFonts w:ascii="Calibri" w:hAnsi="Calibri" w:cs="Calibri"/>
          <w:b/>
          <w:bCs/>
          <w:i w:val="0"/>
          <w:iCs w:val="0"/>
          <w:color w:val="C00000"/>
          <w:spacing w:val="-2"/>
        </w:rPr>
        <w:t>Jan</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06A0BA90" w14:textId="22BE89E9"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Workplace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compensate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for breaks taken to</w:t>
      </w:r>
      <w:r w:rsidRPr="00DD7BD1">
        <w:rPr>
          <w:rFonts w:cs="Calibri"/>
          <w:color w:val="auto"/>
          <w:spacing w:val="-2"/>
          <w:w w:val="110"/>
          <w:szCs w:val="22"/>
        </w:rPr>
        <w:t xml:space="preserve"> </w:t>
      </w:r>
      <w:r w:rsidRPr="00DD7BD1">
        <w:rPr>
          <w:rFonts w:cs="Calibri"/>
          <w:color w:val="auto"/>
          <w:w w:val="110"/>
          <w:szCs w:val="22"/>
        </w:rPr>
        <w:t>express</w:t>
      </w:r>
      <w:r w:rsidRPr="00DD7BD1">
        <w:rPr>
          <w:rFonts w:cs="Calibri"/>
          <w:color w:val="auto"/>
          <w:spacing w:val="-4"/>
          <w:w w:val="110"/>
          <w:szCs w:val="22"/>
        </w:rPr>
        <w:t xml:space="preserve"> </w:t>
      </w:r>
      <w:r w:rsidRPr="00DD7BD1">
        <w:rPr>
          <w:rFonts w:cs="Calibri"/>
          <w:color w:val="auto"/>
          <w:w w:val="110"/>
          <w:szCs w:val="22"/>
        </w:rPr>
        <w:t>breast</w:t>
      </w:r>
      <w:r w:rsidRPr="00DD7BD1">
        <w:rPr>
          <w:rFonts w:cs="Calibri"/>
          <w:color w:val="auto"/>
          <w:spacing w:val="-3"/>
          <w:w w:val="110"/>
          <w:szCs w:val="22"/>
        </w:rPr>
        <w:t xml:space="preserve"> </w:t>
      </w:r>
      <w:r w:rsidRPr="00DD7BD1">
        <w:rPr>
          <w:rFonts w:cs="Calibri"/>
          <w:color w:val="auto"/>
          <w:w w:val="110"/>
          <w:szCs w:val="22"/>
        </w:rPr>
        <w:t>milk. Under</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hyperlink r:id="rId720">
        <w:r w:rsidRPr="00DD7BD1">
          <w:rPr>
            <w:rFonts w:cs="Calibri"/>
            <w:color w:val="0000FF"/>
            <w:w w:val="110"/>
            <w:szCs w:val="22"/>
          </w:rPr>
          <w:t>amended</w:t>
        </w:r>
        <w:r w:rsidRPr="00DD7BD1">
          <w:rPr>
            <w:rFonts w:cs="Calibri"/>
            <w:color w:val="0000FF"/>
            <w:spacing w:val="-3"/>
            <w:w w:val="110"/>
            <w:szCs w:val="22"/>
          </w:rPr>
          <w:t xml:space="preserve"> </w:t>
        </w:r>
        <w:r w:rsidRPr="00DD7BD1">
          <w:rPr>
            <w:rFonts w:cs="Calibri"/>
            <w:color w:val="0000FF"/>
            <w:w w:val="110"/>
            <w:szCs w:val="22"/>
          </w:rPr>
          <w:t>Act</w:t>
        </w:r>
        <w:r w:rsidRPr="00DD7BD1">
          <w:rPr>
            <w:rFonts w:cs="Calibri"/>
            <w:w w:val="110"/>
            <w:szCs w:val="22"/>
          </w:rPr>
          <w:t>,</w:t>
        </w:r>
      </w:hyperlink>
      <w:r w:rsidRPr="00DD7BD1">
        <w:rPr>
          <w:rFonts w:cs="Calibri"/>
          <w:spacing w:val="-1"/>
          <w:w w:val="110"/>
          <w:szCs w:val="22"/>
        </w:rPr>
        <w:t xml:space="preserve"> </w:t>
      </w:r>
      <w:r w:rsidRPr="00DD7BD1">
        <w:rPr>
          <w:rFonts w:cs="Calibri"/>
          <w:color w:val="auto"/>
          <w:w w:val="110"/>
          <w:szCs w:val="22"/>
        </w:rPr>
        <w:t>as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2"/>
          <w:w w:val="110"/>
          <w:szCs w:val="22"/>
        </w:rPr>
        <w:t xml:space="preserve"> </w:t>
      </w:r>
      <w:r w:rsidRPr="00DD7BD1">
        <w:rPr>
          <w:rFonts w:cs="Calibri"/>
          <w:color w:val="auto"/>
          <w:w w:val="110"/>
          <w:szCs w:val="22"/>
        </w:rPr>
        <w:t>January 1,</w:t>
      </w:r>
      <w:r w:rsidRPr="00DD7BD1">
        <w:rPr>
          <w:rFonts w:cs="Calibri"/>
          <w:color w:val="auto"/>
          <w:spacing w:val="-3"/>
          <w:w w:val="110"/>
          <w:szCs w:val="22"/>
        </w:rPr>
        <w:t xml:space="preserve"> </w:t>
      </w:r>
      <w:r w:rsidRPr="00DD7BD1">
        <w:rPr>
          <w:rFonts w:cs="Calibri"/>
          <w:color w:val="auto"/>
          <w:w w:val="110"/>
          <w:szCs w:val="22"/>
        </w:rPr>
        <w:t>2026,</w:t>
      </w:r>
      <w:r w:rsidRPr="00DD7BD1">
        <w:rPr>
          <w:rFonts w:cs="Calibri"/>
          <w:color w:val="auto"/>
          <w:spacing w:val="-3"/>
          <w:w w:val="110"/>
          <w:szCs w:val="22"/>
        </w:rPr>
        <w:t xml:space="preserve"> </w:t>
      </w:r>
      <w:r w:rsidRPr="00DD7BD1">
        <w:rPr>
          <w:rFonts w:cs="Calibri"/>
          <w:color w:val="auto"/>
          <w:w w:val="110"/>
          <w:szCs w:val="22"/>
        </w:rPr>
        <w:t>employers</w:t>
      </w:r>
      <w:r w:rsidRPr="00DD7BD1">
        <w:rPr>
          <w:rFonts w:cs="Calibri"/>
          <w:color w:val="auto"/>
          <w:spacing w:val="-2"/>
          <w:w w:val="110"/>
          <w:szCs w:val="22"/>
        </w:rPr>
        <w:t xml:space="preserve"> </w:t>
      </w:r>
      <w:r w:rsidRPr="00DD7BD1">
        <w:rPr>
          <w:rFonts w:cs="Calibri"/>
          <w:color w:val="auto"/>
          <w:w w:val="110"/>
          <w:szCs w:val="22"/>
        </w:rPr>
        <w:t>now</w:t>
      </w:r>
      <w:r w:rsidRPr="00DD7BD1">
        <w:rPr>
          <w:rFonts w:cs="Calibri"/>
          <w:color w:val="auto"/>
          <w:spacing w:val="-1"/>
          <w:w w:val="110"/>
          <w:szCs w:val="22"/>
        </w:rPr>
        <w:t xml:space="preserve"> </w:t>
      </w:r>
      <w:r w:rsidRPr="00DD7BD1">
        <w:rPr>
          <w:rFonts w:cs="Calibri"/>
          <w:color w:val="auto"/>
          <w:w w:val="110"/>
          <w:szCs w:val="22"/>
        </w:rPr>
        <w:t>must compensate</w:t>
      </w:r>
      <w:r w:rsidRPr="00DD7BD1">
        <w:rPr>
          <w:rFonts w:cs="Calibri"/>
          <w:color w:val="auto"/>
          <w:spacing w:val="-8"/>
          <w:w w:val="110"/>
          <w:szCs w:val="22"/>
        </w:rPr>
        <w:t xml:space="preserve"> </w:t>
      </w:r>
      <w:r w:rsidRPr="00DD7BD1">
        <w:rPr>
          <w:rFonts w:cs="Calibri"/>
          <w:color w:val="auto"/>
          <w:w w:val="110"/>
          <w:szCs w:val="22"/>
        </w:rPr>
        <w:t>nursing</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such</w:t>
      </w:r>
      <w:r w:rsidRPr="00DD7BD1">
        <w:rPr>
          <w:rFonts w:cs="Calibri"/>
          <w:color w:val="auto"/>
          <w:spacing w:val="-11"/>
          <w:w w:val="110"/>
          <w:szCs w:val="22"/>
        </w:rPr>
        <w:t xml:space="preserve"> </w:t>
      </w:r>
      <w:r w:rsidRPr="00DD7BD1">
        <w:rPr>
          <w:rFonts w:cs="Calibri"/>
          <w:color w:val="auto"/>
          <w:w w:val="110"/>
          <w:szCs w:val="22"/>
        </w:rPr>
        <w:t>break</w:t>
      </w:r>
      <w:r w:rsidRPr="00DD7BD1">
        <w:rPr>
          <w:rFonts w:cs="Calibri"/>
          <w:color w:val="auto"/>
          <w:spacing w:val="-10"/>
          <w:w w:val="110"/>
          <w:szCs w:val="22"/>
        </w:rPr>
        <w:t xml:space="preserve"> </w:t>
      </w:r>
      <w:r w:rsidRPr="00DD7BD1">
        <w:rPr>
          <w:rFonts w:cs="Calibri"/>
          <w:color w:val="auto"/>
          <w:w w:val="110"/>
          <w:szCs w:val="22"/>
        </w:rPr>
        <w:t>time</w:t>
      </w:r>
      <w:r w:rsidRPr="00DD7BD1">
        <w:rPr>
          <w:rFonts w:cs="Calibri"/>
          <w:color w:val="auto"/>
          <w:spacing w:val="-10"/>
          <w:w w:val="110"/>
          <w:szCs w:val="22"/>
        </w:rPr>
        <w:t xml:space="preserve"> </w:t>
      </w:r>
      <w:r w:rsidRPr="00DD7BD1">
        <w:rPr>
          <w:rFonts w:cs="Calibri"/>
          <w:color w:val="auto"/>
          <w:w w:val="110"/>
          <w:szCs w:val="22"/>
        </w:rPr>
        <w:t>at</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regular</w:t>
      </w:r>
      <w:r w:rsidRPr="00DD7BD1">
        <w:rPr>
          <w:rFonts w:cs="Calibri"/>
          <w:color w:val="auto"/>
          <w:spacing w:val="-9"/>
          <w:w w:val="110"/>
          <w:szCs w:val="22"/>
        </w:rPr>
        <w:t xml:space="preserve"> </w:t>
      </w:r>
      <w:r w:rsidRPr="00DD7BD1">
        <w:rPr>
          <w:rFonts w:cs="Calibri"/>
          <w:color w:val="auto"/>
          <w:w w:val="110"/>
          <w:szCs w:val="22"/>
        </w:rPr>
        <w:t>rate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compensation.</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8"/>
          <w:w w:val="110"/>
          <w:szCs w:val="22"/>
        </w:rPr>
        <w:t xml:space="preserve"> </w:t>
      </w:r>
      <w:r w:rsidRPr="00DD7BD1">
        <w:rPr>
          <w:rFonts w:cs="Calibri"/>
          <w:color w:val="auto"/>
          <w:w w:val="110"/>
          <w:szCs w:val="22"/>
        </w:rPr>
        <w:t>also may</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paid</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such</w:t>
      </w:r>
      <w:r w:rsidRPr="00DD7BD1">
        <w:rPr>
          <w:rFonts w:cs="Calibri"/>
          <w:color w:val="auto"/>
          <w:spacing w:val="-8"/>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time</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otherwise</w:t>
      </w:r>
      <w:r w:rsidRPr="00DD7BD1">
        <w:rPr>
          <w:rFonts w:cs="Calibri"/>
          <w:color w:val="auto"/>
          <w:spacing w:val="-9"/>
          <w:w w:val="110"/>
          <w:szCs w:val="22"/>
        </w:rPr>
        <w:t xml:space="preserve"> </w:t>
      </w:r>
      <w:r w:rsidRPr="00DD7BD1">
        <w:rPr>
          <w:rFonts w:cs="Calibri"/>
          <w:color w:val="auto"/>
          <w:w w:val="110"/>
          <w:szCs w:val="22"/>
        </w:rPr>
        <w:t>reduce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 xml:space="preserve">employee’s compensation during the break time. </w:t>
      </w:r>
      <w:r w:rsidRPr="00DD7BD1">
        <w:rPr>
          <w:rFonts w:cs="Calibri"/>
          <w:color w:val="auto"/>
          <w:szCs w:val="22"/>
        </w:rPr>
        <w:t>ETC</w:t>
      </w:r>
      <w:r w:rsidRPr="00DD7BD1">
        <w:rPr>
          <w:rFonts w:cs="Calibri"/>
          <w:color w:val="auto"/>
          <w:spacing w:val="37"/>
          <w:szCs w:val="22"/>
        </w:rPr>
        <w:t xml:space="preserve"> </w:t>
      </w:r>
      <w:r w:rsidRPr="00DD7BD1">
        <w:rPr>
          <w:rFonts w:cs="Calibri"/>
          <w:color w:val="auto"/>
          <w:szCs w:val="22"/>
        </w:rPr>
        <w:t>will</w:t>
      </w:r>
      <w:r w:rsidRPr="00DD7BD1">
        <w:rPr>
          <w:rFonts w:cs="Calibri"/>
          <w:color w:val="auto"/>
          <w:spacing w:val="33"/>
          <w:szCs w:val="22"/>
        </w:rPr>
        <w:t xml:space="preserve"> </w:t>
      </w:r>
      <w:r w:rsidRPr="00DD7BD1">
        <w:rPr>
          <w:rFonts w:cs="Calibri"/>
          <w:color w:val="auto"/>
          <w:szCs w:val="22"/>
        </w:rPr>
        <w:t>continue</w:t>
      </w:r>
      <w:r w:rsidRPr="00DD7BD1">
        <w:rPr>
          <w:rFonts w:cs="Calibri"/>
          <w:color w:val="auto"/>
          <w:spacing w:val="38"/>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monitor</w:t>
      </w:r>
      <w:r w:rsidRPr="00DD7BD1">
        <w:rPr>
          <w:rFonts w:cs="Calibri"/>
          <w:color w:val="auto"/>
          <w:spacing w:val="36"/>
          <w:szCs w:val="22"/>
        </w:rPr>
        <w:t xml:space="preserve"> </w:t>
      </w:r>
      <w:r w:rsidRPr="00DD7BD1">
        <w:rPr>
          <w:rFonts w:cs="Calibri"/>
          <w:color w:val="auto"/>
          <w:szCs w:val="22"/>
        </w:rPr>
        <w:t>any</w:t>
      </w:r>
      <w:r w:rsidRPr="00DD7BD1">
        <w:rPr>
          <w:rFonts w:cs="Calibri"/>
          <w:color w:val="auto"/>
          <w:spacing w:val="33"/>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employment</w:t>
      </w:r>
      <w:r w:rsidRPr="00DD7BD1">
        <w:rPr>
          <w:rFonts w:cs="Calibri"/>
          <w:color w:val="auto"/>
          <w:spacing w:val="30"/>
          <w:szCs w:val="22"/>
        </w:rPr>
        <w:t xml:space="preserve"> </w:t>
      </w:r>
      <w:r w:rsidRPr="00DD7BD1">
        <w:rPr>
          <w:rFonts w:cs="Calibri"/>
          <w:color w:val="auto"/>
          <w:szCs w:val="22"/>
        </w:rPr>
        <w:t>obligations</w:t>
      </w:r>
      <w:r w:rsidRPr="00DD7BD1">
        <w:rPr>
          <w:rFonts w:cs="Calibri"/>
          <w:color w:val="auto"/>
          <w:spacing w:val="34"/>
          <w:szCs w:val="22"/>
        </w:rPr>
        <w:t xml:space="preserve"> </w:t>
      </w:r>
      <w:r w:rsidRPr="00DD7BD1">
        <w:rPr>
          <w:rFonts w:cs="Calibri"/>
          <w:color w:val="auto"/>
          <w:szCs w:val="22"/>
        </w:rPr>
        <w:t>under</w:t>
      </w:r>
      <w:r w:rsidRPr="00DD7BD1">
        <w:rPr>
          <w:rFonts w:cs="Calibri"/>
          <w:color w:val="auto"/>
          <w:spacing w:val="35"/>
          <w:szCs w:val="22"/>
        </w:rPr>
        <w:t xml:space="preserve"> </w:t>
      </w:r>
      <w:r w:rsidRPr="00DD7BD1">
        <w:rPr>
          <w:rFonts w:cs="Calibri"/>
          <w:color w:val="auto"/>
          <w:szCs w:val="22"/>
        </w:rPr>
        <w:t>Illinois</w:t>
      </w:r>
      <w:r w:rsidRPr="00DD7BD1">
        <w:rPr>
          <w:rFonts w:cs="Calibri"/>
          <w:color w:val="auto"/>
          <w:spacing w:val="34"/>
          <w:szCs w:val="22"/>
        </w:rPr>
        <w:t xml:space="preserve"> </w:t>
      </w:r>
      <w:r w:rsidRPr="00DD7BD1">
        <w:rPr>
          <w:rFonts w:cs="Calibri"/>
          <w:color w:val="auto"/>
          <w:spacing w:val="-4"/>
          <w:szCs w:val="22"/>
        </w:rPr>
        <w:t>law.</w:t>
      </w:r>
      <w:r w:rsidR="00152D3B" w:rsidRPr="00DD7BD1">
        <w:rPr>
          <w:rFonts w:cs="Calibri"/>
          <w:color w:val="auto"/>
          <w:spacing w:val="-4"/>
          <w:szCs w:val="22"/>
        </w:rPr>
        <w:t xml:space="preserve">  </w:t>
      </w:r>
      <w:r w:rsidR="00152D3B" w:rsidRPr="00DD7BD1">
        <w:rPr>
          <w:rFonts w:cs="Calibri"/>
          <w:color w:val="auto"/>
          <w:w w:val="110"/>
          <w:szCs w:val="22"/>
        </w:rPr>
        <w:t>ETC’s released of the IL State Handbook Addendum for Dec 2025, includes language addressing the above.</w:t>
      </w:r>
    </w:p>
    <w:p w14:paraId="5F21E5DA" w14:textId="77777777" w:rsidR="00A85628" w:rsidRPr="00DD7BD1" w:rsidRDefault="00A85628" w:rsidP="00A85628">
      <w:pPr>
        <w:pStyle w:val="Heading4"/>
        <w:spacing w:before="0"/>
        <w:ind w:right="-274"/>
        <w:rPr>
          <w:rFonts w:ascii="Calibri" w:hAnsi="Calibri" w:cs="Calibri"/>
          <w:i w:val="0"/>
          <w:iCs w:val="0"/>
          <w:spacing w:val="-2"/>
          <w:sz w:val="16"/>
          <w:szCs w:val="16"/>
        </w:rPr>
      </w:pPr>
    </w:p>
    <w:p w14:paraId="327BB73C" w14:textId="77777777"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Neonatal Intensive Care L</w:t>
      </w:r>
      <w:r w:rsidRPr="00DD7BD1">
        <w:rPr>
          <w:rFonts w:ascii="Calibri" w:eastAsia="Times New Roman" w:hAnsi="Calibri" w:cs="Calibri"/>
          <w:b/>
          <w:bCs/>
          <w:color w:val="auto"/>
        </w:rPr>
        <w:t>eave</w:t>
      </w:r>
      <w:r w:rsidRPr="00DD7BD1">
        <w:rPr>
          <w:rFonts w:ascii="Calibri" w:hAnsi="Calibri" w:cs="Calibri"/>
          <w:spacing w:val="-7"/>
        </w:rPr>
        <w:t xml:space="preserve"> </w:t>
      </w:r>
      <w:r w:rsidRPr="00DD7BD1">
        <w:rPr>
          <w:rFonts w:ascii="Calibri" w:hAnsi="Calibri" w:cs="Calibri"/>
          <w:spacing w:val="-2"/>
        </w:rPr>
        <w:t>–</w:t>
      </w:r>
      <w:r w:rsidRPr="00DD7BD1">
        <w:rPr>
          <w:rFonts w:ascii="Calibri" w:hAnsi="Calibri" w:cs="Calibri"/>
          <w:spacing w:val="-12"/>
        </w:rPr>
        <w:t xml:space="preserve"> </w:t>
      </w:r>
      <w:r w:rsidRPr="00DD7BD1">
        <w:rPr>
          <w:rFonts w:ascii="Calibri" w:hAnsi="Calibri" w:cs="Calibri"/>
          <w:b/>
          <w:bCs/>
          <w:i w:val="0"/>
          <w:iCs w:val="0"/>
          <w:color w:val="auto"/>
          <w:spacing w:val="-2"/>
        </w:rPr>
        <w:t>Eff</w:t>
      </w:r>
      <w:r w:rsidRPr="00DD7BD1">
        <w:rPr>
          <w:rFonts w:ascii="Calibri" w:hAnsi="Calibri" w:cs="Calibri"/>
          <w:b/>
          <w:bCs/>
          <w:i w:val="0"/>
          <w:iCs w:val="0"/>
          <w:color w:val="auto"/>
          <w:spacing w:val="-12"/>
        </w:rPr>
        <w:t xml:space="preserve"> </w:t>
      </w:r>
      <w:r w:rsidRPr="00DD7BD1">
        <w:rPr>
          <w:rFonts w:ascii="Calibri" w:hAnsi="Calibri" w:cs="Calibri"/>
          <w:b/>
          <w:bCs/>
          <w:i w:val="0"/>
          <w:iCs w:val="0"/>
          <w:color w:val="C00000"/>
          <w:spacing w:val="-2"/>
        </w:rPr>
        <w:t>June</w:t>
      </w:r>
      <w:r w:rsidRPr="00DD7BD1">
        <w:rPr>
          <w:rFonts w:ascii="Calibri" w:hAnsi="Calibri" w:cs="Calibri"/>
          <w:b/>
          <w:bCs/>
          <w:i w:val="0"/>
          <w:iCs w:val="0"/>
          <w:color w:val="C00000"/>
          <w:spacing w:val="-12"/>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4F3146DF"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Effective</w:t>
      </w:r>
      <w:r w:rsidRPr="00DD7BD1">
        <w:rPr>
          <w:rFonts w:cs="Calibri"/>
          <w:color w:val="auto"/>
          <w:spacing w:val="-11"/>
          <w:w w:val="110"/>
          <w:szCs w:val="22"/>
        </w:rPr>
        <w:t xml:space="preserve"> </w:t>
      </w:r>
      <w:r w:rsidRPr="00DD7BD1">
        <w:rPr>
          <w:rFonts w:cs="Calibri"/>
          <w:color w:val="auto"/>
          <w:w w:val="110"/>
          <w:szCs w:val="22"/>
        </w:rPr>
        <w:t>June</w:t>
      </w:r>
      <w:r w:rsidRPr="00DD7BD1">
        <w:rPr>
          <w:rFonts w:cs="Calibri"/>
          <w:color w:val="auto"/>
          <w:spacing w:val="-11"/>
          <w:w w:val="110"/>
          <w:szCs w:val="22"/>
        </w:rPr>
        <w:t xml:space="preserve"> </w:t>
      </w:r>
      <w:r w:rsidRPr="00DD7BD1">
        <w:rPr>
          <w:rFonts w:cs="Calibri"/>
          <w:color w:val="auto"/>
          <w:w w:val="110"/>
          <w:szCs w:val="22"/>
        </w:rPr>
        <w:t>1,</w:t>
      </w:r>
      <w:r w:rsidRPr="00DD7BD1">
        <w:rPr>
          <w:rFonts w:cs="Calibri"/>
          <w:color w:val="auto"/>
          <w:spacing w:val="-13"/>
          <w:w w:val="110"/>
          <w:szCs w:val="22"/>
        </w:rPr>
        <w:t xml:space="preserve"> </w:t>
      </w:r>
      <w:r w:rsidRPr="00DD7BD1">
        <w:rPr>
          <w:rFonts w:cs="Calibri"/>
          <w:color w:val="auto"/>
          <w:w w:val="110"/>
          <w:szCs w:val="22"/>
        </w:rPr>
        <w:t>2026,</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10"/>
          <w:w w:val="110"/>
          <w:szCs w:val="22"/>
        </w:rPr>
        <w:t xml:space="preserve"> </w:t>
      </w:r>
      <w:r w:rsidRPr="00DD7BD1">
        <w:rPr>
          <w:rFonts w:cs="Calibri"/>
          <w:color w:val="auto"/>
          <w:w w:val="110"/>
          <w:szCs w:val="22"/>
        </w:rPr>
        <w:t>least</w:t>
      </w:r>
      <w:r w:rsidRPr="00DD7BD1">
        <w:rPr>
          <w:rFonts w:cs="Calibri"/>
          <w:color w:val="auto"/>
          <w:spacing w:val="-14"/>
          <w:w w:val="110"/>
          <w:szCs w:val="22"/>
        </w:rPr>
        <w:t xml:space="preserve"> </w:t>
      </w:r>
      <w:r w:rsidRPr="00DD7BD1">
        <w:rPr>
          <w:rFonts w:cs="Calibri"/>
          <w:color w:val="auto"/>
          <w:w w:val="110"/>
          <w:szCs w:val="22"/>
        </w:rPr>
        <w:t>sixteen</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are</w:t>
      </w:r>
      <w:r w:rsidRPr="00DD7BD1">
        <w:rPr>
          <w:rFonts w:cs="Calibri"/>
          <w:color w:val="auto"/>
          <w:spacing w:val="-9"/>
          <w:w w:val="110"/>
          <w:szCs w:val="22"/>
        </w:rPr>
        <w:t xml:space="preserve"> </w:t>
      </w:r>
      <w:r w:rsidRPr="00DD7BD1">
        <w:rPr>
          <w:rFonts w:cs="Calibri"/>
          <w:color w:val="auto"/>
          <w:w w:val="110"/>
          <w:szCs w:val="22"/>
        </w:rPr>
        <w:t>required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provide</w:t>
      </w:r>
      <w:r w:rsidRPr="00DD7BD1">
        <w:rPr>
          <w:rFonts w:cs="Calibri"/>
          <w:color w:val="auto"/>
          <w:spacing w:val="-11"/>
          <w:w w:val="110"/>
          <w:szCs w:val="22"/>
        </w:rPr>
        <w:t xml:space="preserve"> </w:t>
      </w:r>
      <w:r w:rsidRPr="00DD7BD1">
        <w:rPr>
          <w:rFonts w:cs="Calibri"/>
          <w:color w:val="auto"/>
          <w:w w:val="110"/>
          <w:szCs w:val="22"/>
        </w:rPr>
        <w:t>unpaid</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 xml:space="preserve">to </w:t>
      </w:r>
      <w:r w:rsidRPr="00DD7BD1">
        <w:rPr>
          <w:rFonts w:cs="Calibri"/>
          <w:color w:val="auto"/>
          <w:spacing w:val="-2"/>
          <w:w w:val="115"/>
          <w:szCs w:val="22"/>
        </w:rPr>
        <w:t>employees</w:t>
      </w:r>
      <w:r w:rsidRPr="00DD7BD1">
        <w:rPr>
          <w:rFonts w:cs="Calibri"/>
          <w:color w:val="auto"/>
          <w:spacing w:val="-11"/>
          <w:w w:val="115"/>
          <w:szCs w:val="22"/>
        </w:rPr>
        <w:t xml:space="preserve"> </w:t>
      </w:r>
      <w:r w:rsidRPr="00DD7BD1">
        <w:rPr>
          <w:rFonts w:cs="Calibri"/>
          <w:color w:val="auto"/>
          <w:spacing w:val="-2"/>
          <w:w w:val="115"/>
          <w:szCs w:val="22"/>
        </w:rPr>
        <w:t>to</w:t>
      </w:r>
      <w:r w:rsidRPr="00DD7BD1">
        <w:rPr>
          <w:rFonts w:cs="Calibri"/>
          <w:color w:val="auto"/>
          <w:spacing w:val="-13"/>
          <w:w w:val="115"/>
          <w:szCs w:val="22"/>
        </w:rPr>
        <w:t xml:space="preserve"> </w:t>
      </w:r>
      <w:r w:rsidRPr="00DD7BD1">
        <w:rPr>
          <w:rFonts w:cs="Calibri"/>
          <w:color w:val="auto"/>
          <w:spacing w:val="-2"/>
          <w:w w:val="115"/>
          <w:szCs w:val="22"/>
        </w:rPr>
        <w:t>use</w:t>
      </w:r>
      <w:r w:rsidRPr="00DD7BD1">
        <w:rPr>
          <w:rFonts w:cs="Calibri"/>
          <w:color w:val="auto"/>
          <w:spacing w:val="-11"/>
          <w:w w:val="115"/>
          <w:szCs w:val="22"/>
        </w:rPr>
        <w:t xml:space="preserve"> </w:t>
      </w:r>
      <w:r w:rsidRPr="00DD7BD1">
        <w:rPr>
          <w:rFonts w:cs="Calibri"/>
          <w:color w:val="auto"/>
          <w:spacing w:val="-2"/>
          <w:w w:val="115"/>
          <w:szCs w:val="22"/>
        </w:rPr>
        <w:t>while</w:t>
      </w:r>
      <w:r w:rsidRPr="00DD7BD1">
        <w:rPr>
          <w:rFonts w:cs="Calibri"/>
          <w:color w:val="auto"/>
          <w:spacing w:val="-11"/>
          <w:w w:val="115"/>
          <w:szCs w:val="22"/>
        </w:rPr>
        <w:t xml:space="preserve"> </w:t>
      </w:r>
      <w:r w:rsidRPr="00DD7BD1">
        <w:rPr>
          <w:rFonts w:cs="Calibri"/>
          <w:color w:val="auto"/>
          <w:spacing w:val="-2"/>
          <w:w w:val="115"/>
          <w:szCs w:val="22"/>
        </w:rPr>
        <w:t>their</w:t>
      </w:r>
      <w:r w:rsidRPr="00DD7BD1">
        <w:rPr>
          <w:rFonts w:cs="Calibri"/>
          <w:color w:val="auto"/>
          <w:spacing w:val="-12"/>
          <w:w w:val="115"/>
          <w:szCs w:val="22"/>
        </w:rPr>
        <w:t xml:space="preserve"> </w:t>
      </w:r>
      <w:r w:rsidRPr="00DD7BD1">
        <w:rPr>
          <w:rFonts w:cs="Calibri"/>
          <w:color w:val="auto"/>
          <w:spacing w:val="-2"/>
          <w:w w:val="115"/>
          <w:szCs w:val="22"/>
        </w:rPr>
        <w:t>child</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3"/>
          <w:w w:val="115"/>
          <w:szCs w:val="22"/>
        </w:rPr>
        <w:t xml:space="preserve"> </w:t>
      </w:r>
      <w:r w:rsidRPr="00DD7BD1">
        <w:rPr>
          <w:rFonts w:cs="Calibri"/>
          <w:color w:val="auto"/>
          <w:spacing w:val="-2"/>
          <w:w w:val="115"/>
          <w:szCs w:val="22"/>
        </w:rPr>
        <w:t>patient</w:t>
      </w:r>
      <w:r w:rsidRPr="00DD7BD1">
        <w:rPr>
          <w:rFonts w:cs="Calibri"/>
          <w:color w:val="auto"/>
          <w:spacing w:val="-16"/>
          <w:w w:val="115"/>
          <w:szCs w:val="22"/>
        </w:rPr>
        <w:t xml:space="preserve"> </w:t>
      </w:r>
      <w:r w:rsidRPr="00DD7BD1">
        <w:rPr>
          <w:rFonts w:cs="Calibri"/>
          <w:color w:val="auto"/>
          <w:spacing w:val="-2"/>
          <w:w w:val="115"/>
          <w:szCs w:val="22"/>
        </w:rPr>
        <w:t>in</w:t>
      </w:r>
      <w:r w:rsidRPr="00DD7BD1">
        <w:rPr>
          <w:rFonts w:cs="Calibri"/>
          <w:color w:val="auto"/>
          <w:spacing w:val="-12"/>
          <w:w w:val="115"/>
          <w:szCs w:val="22"/>
        </w:rPr>
        <w:t xml:space="preserve"> </w:t>
      </w:r>
      <w:r w:rsidRPr="00DD7BD1">
        <w:rPr>
          <w:rFonts w:cs="Calibri"/>
          <w:color w:val="auto"/>
          <w:spacing w:val="-2"/>
          <w:w w:val="115"/>
          <w:szCs w:val="22"/>
        </w:rPr>
        <w:t>a</w:t>
      </w:r>
      <w:r w:rsidRPr="00DD7BD1">
        <w:rPr>
          <w:rFonts w:cs="Calibri"/>
          <w:color w:val="auto"/>
          <w:spacing w:val="-14"/>
          <w:w w:val="115"/>
          <w:szCs w:val="22"/>
        </w:rPr>
        <w:t xml:space="preserve"> </w:t>
      </w:r>
      <w:r w:rsidRPr="00DD7BD1">
        <w:rPr>
          <w:rFonts w:cs="Calibri"/>
          <w:color w:val="auto"/>
          <w:spacing w:val="-2"/>
          <w:w w:val="115"/>
          <w:szCs w:val="22"/>
        </w:rPr>
        <w:t>neonatal</w:t>
      </w:r>
      <w:r w:rsidRPr="00DD7BD1">
        <w:rPr>
          <w:rFonts w:cs="Calibri"/>
          <w:color w:val="auto"/>
          <w:spacing w:val="-13"/>
          <w:w w:val="115"/>
          <w:szCs w:val="22"/>
        </w:rPr>
        <w:t xml:space="preserve"> </w:t>
      </w:r>
      <w:r w:rsidRPr="00DD7BD1">
        <w:rPr>
          <w:rFonts w:cs="Calibri"/>
          <w:color w:val="auto"/>
          <w:spacing w:val="-2"/>
          <w:w w:val="115"/>
          <w:szCs w:val="22"/>
        </w:rPr>
        <w:t>intensive</w:t>
      </w:r>
      <w:r w:rsidRPr="00DD7BD1">
        <w:rPr>
          <w:rFonts w:cs="Calibri"/>
          <w:color w:val="auto"/>
          <w:spacing w:val="-11"/>
          <w:w w:val="115"/>
          <w:szCs w:val="22"/>
        </w:rPr>
        <w:t xml:space="preserve"> </w:t>
      </w:r>
      <w:r w:rsidRPr="00DD7BD1">
        <w:rPr>
          <w:rFonts w:cs="Calibri"/>
          <w:color w:val="auto"/>
          <w:spacing w:val="-2"/>
          <w:w w:val="115"/>
          <w:szCs w:val="22"/>
        </w:rPr>
        <w:t>care</w:t>
      </w:r>
      <w:r w:rsidRPr="00DD7BD1">
        <w:rPr>
          <w:rFonts w:cs="Calibri"/>
          <w:color w:val="auto"/>
          <w:spacing w:val="-17"/>
          <w:w w:val="115"/>
          <w:szCs w:val="22"/>
        </w:rPr>
        <w:t xml:space="preserve"> </w:t>
      </w:r>
      <w:r w:rsidRPr="00DD7BD1">
        <w:rPr>
          <w:rFonts w:cs="Calibri"/>
          <w:color w:val="auto"/>
          <w:spacing w:val="-2"/>
          <w:w w:val="115"/>
          <w:szCs w:val="22"/>
        </w:rPr>
        <w:t>unit.</w:t>
      </w:r>
    </w:p>
    <w:p w14:paraId="3078BD31"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Under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hyperlink r:id="rId721">
        <w:r w:rsidRPr="00DD7BD1">
          <w:rPr>
            <w:rFonts w:cs="Calibri"/>
            <w:color w:val="0000FF"/>
            <w:w w:val="110"/>
            <w:szCs w:val="22"/>
            <w:u w:val="single" w:color="0000FF"/>
          </w:rPr>
          <w:t>Family</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Neonatal</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Intensive</w:t>
        </w:r>
        <w:r w:rsidRPr="00DD7BD1">
          <w:rPr>
            <w:rFonts w:cs="Calibri"/>
            <w:color w:val="0000FF"/>
            <w:spacing w:val="-14"/>
            <w:w w:val="110"/>
            <w:szCs w:val="22"/>
            <w:u w:val="single" w:color="0000FF"/>
          </w:rPr>
          <w:t xml:space="preserve"> </w:t>
        </w:r>
        <w:r w:rsidRPr="00DD7BD1">
          <w:rPr>
            <w:rFonts w:cs="Calibri"/>
            <w:color w:val="0000FF"/>
            <w:w w:val="110"/>
            <w:szCs w:val="22"/>
            <w:u w:val="single" w:color="0000FF"/>
          </w:rPr>
          <w:t>Care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Leave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Act</w:t>
        </w:r>
        <w:r w:rsidRPr="00DD7BD1">
          <w:rPr>
            <w:rFonts w:cs="Calibri"/>
            <w:w w:val="110"/>
            <w:szCs w:val="22"/>
          </w:rPr>
          <w:t>,</w:t>
        </w:r>
      </w:hyperlink>
      <w:r w:rsidRPr="00DD7BD1">
        <w:rPr>
          <w:rFonts w:cs="Calibri"/>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16</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50</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may</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6"/>
          <w:w w:val="110"/>
          <w:szCs w:val="22"/>
        </w:rPr>
        <w:t xml:space="preserve"> </w:t>
      </w:r>
      <w:r w:rsidRPr="00DD7BD1">
        <w:rPr>
          <w:rFonts w:cs="Calibri"/>
          <w:color w:val="auto"/>
          <w:w w:val="110"/>
          <w:szCs w:val="22"/>
        </w:rPr>
        <w:t>up to 10 days of leave, while employees of employers with at least 51 employees may use up to 20 days of leave.</w:t>
      </w:r>
    </w:p>
    <w:p w14:paraId="22FED506" w14:textId="77777777" w:rsidR="00A85628" w:rsidRPr="00DD7BD1" w:rsidRDefault="00A85628" w:rsidP="00A85628">
      <w:pPr>
        <w:pStyle w:val="BodyText"/>
        <w:spacing w:after="0" w:line="240" w:lineRule="auto"/>
        <w:ind w:right="-274"/>
        <w:jc w:val="left"/>
        <w:rPr>
          <w:rFonts w:cs="Calibri"/>
          <w:color w:val="auto"/>
          <w:sz w:val="16"/>
          <w:szCs w:val="16"/>
        </w:rPr>
      </w:pPr>
    </w:p>
    <w:p w14:paraId="253F00F4"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7"/>
          <w:w w:val="110"/>
          <w:szCs w:val="22"/>
        </w:rPr>
        <w:t xml:space="preserve"> </w:t>
      </w:r>
      <w:r w:rsidRPr="00DD7BD1">
        <w:rPr>
          <w:rFonts w:cs="Calibri"/>
          <w:color w:val="auto"/>
          <w:w w:val="110"/>
          <w:szCs w:val="22"/>
        </w:rPr>
        <w:t>continuously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intermittently,</w:t>
      </w:r>
      <w:r w:rsidRPr="00DD7BD1">
        <w:rPr>
          <w:rFonts w:cs="Calibri"/>
          <w:color w:val="auto"/>
          <w:spacing w:val="-6"/>
          <w:w w:val="110"/>
          <w:szCs w:val="22"/>
        </w:rPr>
        <w:t xml:space="preserve"> </w:t>
      </w:r>
      <w:r w:rsidRPr="00DD7BD1">
        <w:rPr>
          <w:rFonts w:cs="Calibri"/>
          <w:color w:val="auto"/>
          <w:w w:val="110"/>
          <w:szCs w:val="22"/>
        </w:rPr>
        <w:t>though</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at least</w:t>
      </w:r>
      <w:r w:rsidRPr="00DD7BD1">
        <w:rPr>
          <w:rFonts w:cs="Calibri"/>
          <w:color w:val="auto"/>
          <w:spacing w:val="-12"/>
          <w:w w:val="110"/>
          <w:szCs w:val="22"/>
        </w:rPr>
        <w:t xml:space="preserve"> </w:t>
      </w:r>
      <w:r w:rsidRPr="00DD7BD1">
        <w:rPr>
          <w:rFonts w:cs="Calibri"/>
          <w:color w:val="auto"/>
          <w:w w:val="110"/>
          <w:szCs w:val="22"/>
        </w:rPr>
        <w:t>two-hour</w:t>
      </w:r>
      <w:r w:rsidRPr="00DD7BD1">
        <w:rPr>
          <w:rFonts w:cs="Calibri"/>
          <w:color w:val="auto"/>
          <w:spacing w:val="-15"/>
          <w:w w:val="110"/>
          <w:szCs w:val="22"/>
        </w:rPr>
        <w:t xml:space="preserve"> </w:t>
      </w:r>
      <w:r w:rsidRPr="00DD7BD1">
        <w:rPr>
          <w:rFonts w:cs="Calibri"/>
          <w:color w:val="auto"/>
          <w:w w:val="110"/>
          <w:szCs w:val="22"/>
        </w:rPr>
        <w:t>increments.</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bill</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maintain</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3"/>
          <w:w w:val="110"/>
          <w:szCs w:val="22"/>
        </w:rPr>
        <w:t xml:space="preserve"> </w:t>
      </w:r>
      <w:r w:rsidRPr="00DD7BD1">
        <w:rPr>
          <w:rFonts w:cs="Calibri"/>
          <w:color w:val="auto"/>
          <w:w w:val="110"/>
          <w:szCs w:val="22"/>
        </w:rPr>
        <w:t>health</w:t>
      </w:r>
      <w:r w:rsidRPr="00DD7BD1">
        <w:rPr>
          <w:rFonts w:cs="Calibri"/>
          <w:color w:val="auto"/>
          <w:spacing w:val="-12"/>
          <w:w w:val="110"/>
          <w:szCs w:val="22"/>
        </w:rPr>
        <w:t xml:space="preserve"> </w:t>
      </w:r>
      <w:r w:rsidRPr="00DD7BD1">
        <w:rPr>
          <w:rFonts w:cs="Calibri"/>
          <w:color w:val="auto"/>
          <w:w w:val="110"/>
          <w:szCs w:val="22"/>
        </w:rPr>
        <w:t>insurance</w:t>
      </w:r>
      <w:r w:rsidRPr="00DD7BD1">
        <w:rPr>
          <w:rFonts w:cs="Calibri"/>
          <w:color w:val="auto"/>
          <w:spacing w:val="-16"/>
          <w:w w:val="110"/>
          <w:szCs w:val="22"/>
        </w:rPr>
        <w:t xml:space="preserve"> </w:t>
      </w:r>
      <w:r w:rsidRPr="00DD7BD1">
        <w:rPr>
          <w:rFonts w:cs="Calibri"/>
          <w:color w:val="auto"/>
          <w:w w:val="110"/>
          <w:szCs w:val="22"/>
        </w:rPr>
        <w:t>benefits</w:t>
      </w:r>
      <w:r w:rsidRPr="00DD7BD1">
        <w:rPr>
          <w:rFonts w:cs="Calibri"/>
          <w:color w:val="auto"/>
          <w:spacing w:val="-13"/>
          <w:w w:val="110"/>
          <w:szCs w:val="22"/>
        </w:rPr>
        <w:t xml:space="preserve"> </w:t>
      </w:r>
      <w:r w:rsidRPr="00DD7BD1">
        <w:rPr>
          <w:rFonts w:cs="Calibri"/>
          <w:color w:val="auto"/>
          <w:w w:val="110"/>
          <w:szCs w:val="22"/>
        </w:rPr>
        <w:t>while he</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she</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reinstate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his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her</w:t>
      </w:r>
      <w:r w:rsidRPr="00DD7BD1">
        <w:rPr>
          <w:rFonts w:cs="Calibri"/>
          <w:color w:val="auto"/>
          <w:spacing w:val="-6"/>
          <w:w w:val="110"/>
          <w:szCs w:val="22"/>
        </w:rPr>
        <w:t xml:space="preserve"> </w:t>
      </w:r>
      <w:r w:rsidRPr="00DD7BD1">
        <w:rPr>
          <w:rFonts w:cs="Calibri"/>
          <w:color w:val="auto"/>
          <w:w w:val="110"/>
          <w:szCs w:val="22"/>
        </w:rPr>
        <w:t>former</w:t>
      </w:r>
      <w:r w:rsidRPr="00DD7BD1">
        <w:rPr>
          <w:rFonts w:cs="Calibri"/>
          <w:color w:val="auto"/>
          <w:spacing w:val="-6"/>
          <w:w w:val="110"/>
          <w:szCs w:val="22"/>
        </w:rPr>
        <w:t xml:space="preserve"> </w:t>
      </w:r>
      <w:r w:rsidRPr="00DD7BD1">
        <w:rPr>
          <w:rFonts w:cs="Calibri"/>
          <w:color w:val="auto"/>
          <w:w w:val="110"/>
          <w:szCs w:val="22"/>
        </w:rPr>
        <w:t>position</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substantially</w:t>
      </w:r>
      <w:r w:rsidRPr="00DD7BD1">
        <w:rPr>
          <w:rFonts w:cs="Calibri"/>
          <w:color w:val="auto"/>
          <w:spacing w:val="-5"/>
          <w:w w:val="110"/>
          <w:szCs w:val="22"/>
        </w:rPr>
        <w:t xml:space="preserve"> </w:t>
      </w:r>
      <w:r w:rsidRPr="00DD7BD1">
        <w:rPr>
          <w:rFonts w:cs="Calibri"/>
          <w:color w:val="auto"/>
          <w:w w:val="110"/>
          <w:szCs w:val="22"/>
        </w:rPr>
        <w:t>equivalent position once the leave ends. Employers are prohibited from taking any adverse action against an employee exercising</w:t>
      </w:r>
      <w:r w:rsidRPr="00DD7BD1">
        <w:rPr>
          <w:rFonts w:cs="Calibri"/>
          <w:color w:val="auto"/>
          <w:spacing w:val="-14"/>
          <w:w w:val="110"/>
          <w:szCs w:val="22"/>
        </w:rPr>
        <w:t xml:space="preserve"> </w:t>
      </w:r>
      <w:r w:rsidRPr="00DD7BD1">
        <w:rPr>
          <w:rFonts w:cs="Calibri"/>
          <w:color w:val="auto"/>
          <w:w w:val="110"/>
          <w:szCs w:val="22"/>
        </w:rPr>
        <w:t>his</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her</w:t>
      </w:r>
      <w:r w:rsidRPr="00DD7BD1">
        <w:rPr>
          <w:rFonts w:cs="Calibri"/>
          <w:color w:val="auto"/>
          <w:spacing w:val="-15"/>
          <w:w w:val="110"/>
          <w:szCs w:val="22"/>
        </w:rPr>
        <w:t xml:space="preserve"> </w:t>
      </w:r>
      <w:r w:rsidRPr="00DD7BD1">
        <w:rPr>
          <w:rFonts w:cs="Calibri"/>
          <w:color w:val="auto"/>
          <w:w w:val="110"/>
          <w:szCs w:val="22"/>
        </w:rPr>
        <w:t>right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neonatal</w:t>
      </w:r>
      <w:r w:rsidRPr="00DD7BD1">
        <w:rPr>
          <w:rFonts w:cs="Calibri"/>
          <w:color w:val="auto"/>
          <w:spacing w:val="-14"/>
          <w:w w:val="110"/>
          <w:szCs w:val="22"/>
        </w:rPr>
        <w:t xml:space="preserve"> </w:t>
      </w:r>
      <w:r w:rsidRPr="00DD7BD1">
        <w:rPr>
          <w:rFonts w:cs="Calibri"/>
          <w:color w:val="auto"/>
          <w:w w:val="110"/>
          <w:szCs w:val="22"/>
        </w:rPr>
        <w:t>intensive</w:t>
      </w:r>
      <w:r w:rsidRPr="00DD7BD1">
        <w:rPr>
          <w:rFonts w:cs="Calibri"/>
          <w:color w:val="auto"/>
          <w:spacing w:val="-12"/>
          <w:w w:val="110"/>
          <w:szCs w:val="22"/>
        </w:rPr>
        <w:t xml:space="preserve"> </w:t>
      </w:r>
      <w:r w:rsidRPr="00DD7BD1">
        <w:rPr>
          <w:rFonts w:cs="Calibri"/>
          <w:color w:val="auto"/>
          <w:w w:val="110"/>
          <w:szCs w:val="22"/>
        </w:rPr>
        <w:t>care</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who</w:t>
      </w:r>
      <w:r w:rsidRPr="00DD7BD1">
        <w:rPr>
          <w:rFonts w:cs="Calibri"/>
          <w:color w:val="auto"/>
          <w:spacing w:val="-14"/>
          <w:w w:val="110"/>
          <w:szCs w:val="22"/>
        </w:rPr>
        <w:t xml:space="preserve"> </w:t>
      </w:r>
      <w:r w:rsidRPr="00DD7BD1">
        <w:rPr>
          <w:rFonts w:cs="Calibri"/>
          <w:color w:val="auto"/>
          <w:w w:val="110"/>
          <w:szCs w:val="22"/>
        </w:rPr>
        <w:t>violate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subject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civil penalty up to $5,000 per employee affected.</w:t>
      </w:r>
    </w:p>
    <w:p w14:paraId="4D4BC3C4" w14:textId="77777777" w:rsidR="00F9575D" w:rsidRPr="00DD7BD1" w:rsidRDefault="00F9575D" w:rsidP="00A85628">
      <w:pPr>
        <w:pStyle w:val="Heading1"/>
        <w:spacing w:before="0" w:beforeAutospacing="0" w:after="0" w:afterAutospacing="0"/>
        <w:ind w:right="356"/>
        <w:jc w:val="center"/>
        <w:rPr>
          <w:rFonts w:ascii="Calibri" w:hAnsi="Calibri" w:cs="Calibri"/>
          <w:kern w:val="0"/>
          <w:sz w:val="22"/>
          <w:szCs w:val="22"/>
          <w:shd w:val="clear" w:color="auto" w:fill="FFFFFF"/>
        </w:rPr>
      </w:pPr>
    </w:p>
    <w:p w14:paraId="0DC82199" w14:textId="7940FD8B" w:rsidR="00A85628" w:rsidRPr="00DD7BD1" w:rsidRDefault="00A85628" w:rsidP="00A85628">
      <w:pPr>
        <w:pStyle w:val="Heading1"/>
        <w:spacing w:before="0" w:beforeAutospacing="0" w:after="0" w:afterAutospacing="0"/>
        <w:ind w:right="356"/>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 xml:space="preserve">State’s Military Leave Law – Eff </w:t>
      </w:r>
      <w:r w:rsidRPr="00DD7BD1">
        <w:rPr>
          <w:rFonts w:ascii="Calibri" w:hAnsi="Calibri" w:cs="Calibri"/>
          <w:color w:val="C00000"/>
          <w:kern w:val="0"/>
          <w:sz w:val="28"/>
          <w:szCs w:val="28"/>
          <w:shd w:val="clear" w:color="auto" w:fill="FFFFFF"/>
        </w:rPr>
        <w:t>Aug 1, 2025</w:t>
      </w:r>
    </w:p>
    <w:p w14:paraId="51BDB1FD" w14:textId="77777777" w:rsidR="00A85628" w:rsidRPr="00DD7BD1"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Calibri" w:hAnsi="Calibri" w:cs="Calibri"/>
        </w:rPr>
      </w:pPr>
      <w:r w:rsidRPr="00DD7BD1">
        <w:rPr>
          <w:rFonts w:ascii="Calibri" w:hAnsi="Calibri" w:cs="Calibri"/>
          <w:w w:val="105"/>
        </w:rPr>
        <w:t xml:space="preserve">Illinois </w:t>
      </w:r>
      <w:r w:rsidRPr="00DD7BD1">
        <w:rPr>
          <w:rFonts w:ascii="Calibri" w:hAnsi="Calibri" w:cs="Calibri"/>
          <w:w w:val="105"/>
          <w:u w:val="single"/>
        </w:rPr>
        <w:t>employers with 51 or more employees</w:t>
      </w:r>
      <w:r w:rsidRPr="00DD7BD1">
        <w:rPr>
          <w:rFonts w:ascii="Calibri" w:hAnsi="Calibri" w:cs="Calibri"/>
          <w:w w:val="105"/>
        </w:rPr>
        <w:t xml:space="preserve"> are now required to provide </w:t>
      </w:r>
      <w:r w:rsidRPr="00DD7BD1">
        <w:rPr>
          <w:rFonts w:ascii="Calibri" w:hAnsi="Calibri" w:cs="Calibri"/>
          <w:b/>
          <w:i/>
          <w:w w:val="105"/>
        </w:rPr>
        <w:t>paid</w:t>
      </w:r>
      <w:r w:rsidRPr="00DD7BD1">
        <w:rPr>
          <w:rFonts w:ascii="Calibri" w:hAnsi="Calibri" w:cs="Calibri"/>
          <w:b/>
          <w:i/>
          <w:spacing w:val="-2"/>
          <w:w w:val="105"/>
        </w:rPr>
        <w:t xml:space="preserve"> </w:t>
      </w:r>
      <w:r w:rsidRPr="00DD7BD1">
        <w:rPr>
          <w:rFonts w:ascii="Calibri" w:hAnsi="Calibri" w:cs="Calibri"/>
          <w:b/>
          <w:w w:val="105"/>
        </w:rPr>
        <w:t xml:space="preserve">leave </w:t>
      </w:r>
      <w:r w:rsidRPr="00DD7BD1">
        <w:rPr>
          <w:rFonts w:ascii="Calibri" w:hAnsi="Calibri" w:cs="Calibri"/>
          <w:w w:val="105"/>
        </w:rPr>
        <w:t>to employees who participate</w:t>
      </w:r>
      <w:r w:rsidRPr="00DD7BD1">
        <w:rPr>
          <w:rFonts w:ascii="Calibri" w:hAnsi="Calibri" w:cs="Calibri"/>
          <w:spacing w:val="-7"/>
          <w:w w:val="105"/>
        </w:rPr>
        <w:t xml:space="preserve"> </w:t>
      </w:r>
      <w:r w:rsidRPr="00DD7BD1">
        <w:rPr>
          <w:rFonts w:ascii="Calibri" w:hAnsi="Calibri" w:cs="Calibri"/>
          <w:w w:val="105"/>
        </w:rPr>
        <w:t>in</w:t>
      </w:r>
      <w:r w:rsidRPr="00DD7BD1">
        <w:rPr>
          <w:rFonts w:ascii="Calibri" w:hAnsi="Calibri" w:cs="Calibri"/>
          <w:spacing w:val="-10"/>
          <w:w w:val="105"/>
        </w:rPr>
        <w:t xml:space="preserve"> </w:t>
      </w:r>
      <w:r w:rsidRPr="00DD7BD1">
        <w:rPr>
          <w:rFonts w:ascii="Calibri" w:hAnsi="Calibri" w:cs="Calibri"/>
          <w:w w:val="105"/>
        </w:rPr>
        <w:t>a</w:t>
      </w:r>
      <w:r w:rsidRPr="00DD7BD1">
        <w:rPr>
          <w:rFonts w:ascii="Calibri" w:hAnsi="Calibri" w:cs="Calibri"/>
          <w:spacing w:val="-9"/>
          <w:w w:val="105"/>
        </w:rPr>
        <w:t xml:space="preserve"> </w:t>
      </w:r>
      <w:r w:rsidRPr="00DD7BD1">
        <w:rPr>
          <w:rFonts w:ascii="Calibri" w:hAnsi="Calibri" w:cs="Calibri"/>
          <w:b/>
          <w:w w:val="105"/>
        </w:rPr>
        <w:t>military</w:t>
      </w:r>
      <w:r w:rsidRPr="00DD7BD1">
        <w:rPr>
          <w:rFonts w:ascii="Calibri" w:hAnsi="Calibri" w:cs="Calibri"/>
          <w:b/>
          <w:spacing w:val="-8"/>
          <w:w w:val="105"/>
        </w:rPr>
        <w:t xml:space="preserve"> </w:t>
      </w:r>
      <w:r w:rsidRPr="00DD7BD1">
        <w:rPr>
          <w:rFonts w:ascii="Calibri" w:hAnsi="Calibri" w:cs="Calibri"/>
          <w:b/>
          <w:w w:val="105"/>
        </w:rPr>
        <w:t>funeral</w:t>
      </w:r>
      <w:r w:rsidRPr="00DD7BD1">
        <w:rPr>
          <w:rFonts w:ascii="Calibri" w:hAnsi="Calibri" w:cs="Calibri"/>
          <w:b/>
          <w:spacing w:val="-11"/>
          <w:w w:val="105"/>
        </w:rPr>
        <w:t xml:space="preserve"> </w:t>
      </w:r>
      <w:r w:rsidRPr="00DD7BD1">
        <w:rPr>
          <w:rFonts w:ascii="Calibri" w:hAnsi="Calibri" w:cs="Calibri"/>
          <w:b/>
          <w:w w:val="105"/>
        </w:rPr>
        <w:t>honors</w:t>
      </w:r>
      <w:r w:rsidRPr="00DD7BD1">
        <w:rPr>
          <w:rFonts w:ascii="Calibri" w:hAnsi="Calibri" w:cs="Calibri"/>
          <w:b/>
          <w:spacing w:val="-10"/>
          <w:w w:val="105"/>
        </w:rPr>
        <w:t xml:space="preserve"> </w:t>
      </w:r>
      <w:r w:rsidRPr="00DD7BD1">
        <w:rPr>
          <w:rFonts w:ascii="Calibri" w:hAnsi="Calibri" w:cs="Calibri"/>
          <w:b/>
          <w:w w:val="105"/>
        </w:rPr>
        <w:t>detail</w:t>
      </w:r>
      <w:r w:rsidRPr="00DD7BD1">
        <w:rPr>
          <w:rFonts w:ascii="Calibri" w:hAnsi="Calibri" w:cs="Calibri"/>
          <w:b/>
        </w:rPr>
        <w:tab/>
      </w:r>
      <w:r w:rsidRPr="00DD7BD1">
        <w:rPr>
          <w:rFonts w:ascii="Calibri" w:hAnsi="Calibri" w:cs="Calibri"/>
          <w:w w:val="105"/>
        </w:rPr>
        <w:t>(</w:t>
      </w:r>
      <w:hyperlink r:id="rId722">
        <w:r w:rsidRPr="00DD7BD1">
          <w:rPr>
            <w:rFonts w:ascii="Calibri" w:hAnsi="Calibri" w:cs="Calibri"/>
            <w:color w:val="0000FF"/>
            <w:w w:val="105"/>
            <w:u w:val="single" w:color="0000FF"/>
          </w:rPr>
          <w:t>Public Act 104-0078</w:t>
        </w:r>
      </w:hyperlink>
      <w:r w:rsidRPr="00DD7BD1">
        <w:rPr>
          <w:rFonts w:ascii="Calibri" w:hAnsi="Calibri" w:cs="Calibri"/>
          <w:w w:val="105"/>
        </w:rPr>
        <w:t>)</w:t>
      </w:r>
    </w:p>
    <w:p w14:paraId="756214B8" w14:textId="77777777" w:rsidR="00A85628" w:rsidRPr="00DD7BD1"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can</w:t>
      </w:r>
      <w:r w:rsidRPr="00DD7BD1">
        <w:rPr>
          <w:rFonts w:ascii="Calibri" w:hAnsi="Calibri" w:cs="Calibri"/>
          <w:spacing w:val="-11"/>
          <w:w w:val="110"/>
        </w:rPr>
        <w:t xml:space="preserve"> </w:t>
      </w:r>
      <w:r w:rsidRPr="00DD7BD1">
        <w:rPr>
          <w:rFonts w:ascii="Calibri" w:hAnsi="Calibri" w:cs="Calibri"/>
          <w:spacing w:val="-2"/>
          <w:w w:val="110"/>
        </w:rPr>
        <w:t>take</w:t>
      </w:r>
      <w:r w:rsidRPr="00DD7BD1">
        <w:rPr>
          <w:rFonts w:ascii="Calibri" w:hAnsi="Calibri" w:cs="Calibri"/>
          <w:spacing w:val="-10"/>
          <w:w w:val="110"/>
        </w:rPr>
        <w:t xml:space="preserve"> </w:t>
      </w:r>
      <w:r w:rsidRPr="00DD7BD1">
        <w:rPr>
          <w:rFonts w:ascii="Calibri" w:hAnsi="Calibri" w:cs="Calibri"/>
          <w:spacing w:val="-2"/>
          <w:w w:val="110"/>
        </w:rPr>
        <w:t>up</w:t>
      </w:r>
      <w:r w:rsidRPr="00DD7BD1">
        <w:rPr>
          <w:rFonts w:ascii="Calibri" w:hAnsi="Calibri" w:cs="Calibri"/>
          <w:spacing w:val="-10"/>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eight</w:t>
      </w:r>
      <w:r w:rsidRPr="00DD7BD1">
        <w:rPr>
          <w:rFonts w:ascii="Calibri" w:hAnsi="Calibri" w:cs="Calibri"/>
          <w:spacing w:val="-8"/>
          <w:w w:val="110"/>
        </w:rPr>
        <w:t xml:space="preserve"> </w:t>
      </w:r>
      <w:r w:rsidRPr="00DD7BD1">
        <w:rPr>
          <w:rFonts w:ascii="Calibri" w:hAnsi="Calibri" w:cs="Calibri"/>
          <w:spacing w:val="-2"/>
          <w:w w:val="110"/>
          <w:u w:val="single"/>
        </w:rPr>
        <w:t>(8)</w:t>
      </w:r>
      <w:r w:rsidRPr="00DD7BD1">
        <w:rPr>
          <w:rFonts w:ascii="Calibri" w:hAnsi="Calibri" w:cs="Calibri"/>
          <w:spacing w:val="-10"/>
          <w:w w:val="110"/>
          <w:u w:val="single"/>
        </w:rPr>
        <w:t xml:space="preserve"> </w:t>
      </w:r>
      <w:r w:rsidRPr="00DD7BD1">
        <w:rPr>
          <w:rFonts w:ascii="Calibri" w:hAnsi="Calibri" w:cs="Calibri"/>
          <w:spacing w:val="-2"/>
          <w:w w:val="110"/>
          <w:u w:val="single"/>
        </w:rPr>
        <w:t>hours</w:t>
      </w:r>
      <w:r w:rsidRPr="00DD7BD1">
        <w:rPr>
          <w:rFonts w:ascii="Calibri" w:hAnsi="Calibri" w:cs="Calibri"/>
          <w:spacing w:val="-10"/>
          <w:w w:val="110"/>
          <w:u w:val="single"/>
        </w:rPr>
        <w:t xml:space="preserve"> </w:t>
      </w:r>
      <w:r w:rsidRPr="00DD7BD1">
        <w:rPr>
          <w:rFonts w:ascii="Calibri" w:hAnsi="Calibri" w:cs="Calibri"/>
          <w:spacing w:val="-2"/>
          <w:w w:val="110"/>
          <w:u w:val="single"/>
        </w:rPr>
        <w:t>per</w:t>
      </w:r>
      <w:r w:rsidRPr="00DD7BD1">
        <w:rPr>
          <w:rFonts w:ascii="Calibri" w:hAnsi="Calibri" w:cs="Calibri"/>
          <w:spacing w:val="-11"/>
          <w:w w:val="110"/>
          <w:u w:val="single"/>
        </w:rPr>
        <w:t xml:space="preserve"> </w:t>
      </w:r>
      <w:r w:rsidRPr="00DD7BD1">
        <w:rPr>
          <w:rFonts w:ascii="Calibri" w:hAnsi="Calibri" w:cs="Calibri"/>
          <w:spacing w:val="-2"/>
          <w:w w:val="110"/>
          <w:u w:val="single"/>
        </w:rPr>
        <w:t>month</w:t>
      </w:r>
      <w:r w:rsidRPr="00DD7BD1">
        <w:rPr>
          <w:rFonts w:ascii="Calibri" w:hAnsi="Calibri" w:cs="Calibri"/>
          <w:spacing w:val="-2"/>
          <w:w w:val="110"/>
        </w:rPr>
        <w:t>—but</w:t>
      </w:r>
      <w:r w:rsidRPr="00DD7BD1">
        <w:rPr>
          <w:rFonts w:ascii="Calibri" w:hAnsi="Calibri" w:cs="Calibri"/>
          <w:spacing w:val="-13"/>
          <w:w w:val="110"/>
        </w:rPr>
        <w:t xml:space="preserve"> </w:t>
      </w:r>
      <w:r w:rsidRPr="00DD7BD1">
        <w:rPr>
          <w:rFonts w:ascii="Calibri" w:hAnsi="Calibri" w:cs="Calibri"/>
          <w:spacing w:val="-2"/>
          <w:w w:val="110"/>
        </w:rPr>
        <w:t>not</w:t>
      </w:r>
      <w:r w:rsidRPr="00DD7BD1">
        <w:rPr>
          <w:rFonts w:ascii="Calibri" w:hAnsi="Calibri" w:cs="Calibri"/>
          <w:spacing w:val="-13"/>
          <w:w w:val="110"/>
        </w:rPr>
        <w:t xml:space="preserve"> </w:t>
      </w:r>
      <w:r w:rsidRPr="00DD7BD1">
        <w:rPr>
          <w:rFonts w:ascii="Calibri" w:hAnsi="Calibri" w:cs="Calibri"/>
          <w:spacing w:val="-2"/>
          <w:w w:val="110"/>
        </w:rPr>
        <w:t>more</w:t>
      </w:r>
      <w:r w:rsidRPr="00DD7BD1">
        <w:rPr>
          <w:rFonts w:ascii="Calibri" w:hAnsi="Calibri" w:cs="Calibri"/>
          <w:spacing w:val="-10"/>
          <w:w w:val="110"/>
        </w:rPr>
        <w:t xml:space="preserve"> </w:t>
      </w:r>
      <w:r w:rsidRPr="00DD7BD1">
        <w:rPr>
          <w:rFonts w:ascii="Calibri" w:hAnsi="Calibri" w:cs="Calibri"/>
          <w:spacing w:val="-2"/>
          <w:w w:val="110"/>
        </w:rPr>
        <w:t>than</w:t>
      </w:r>
      <w:r w:rsidRPr="00DD7BD1">
        <w:rPr>
          <w:rFonts w:ascii="Calibri" w:hAnsi="Calibri" w:cs="Calibri"/>
          <w:spacing w:val="-10"/>
          <w:w w:val="110"/>
        </w:rPr>
        <w:t xml:space="preserve"> </w:t>
      </w:r>
      <w:r w:rsidRPr="00DD7BD1">
        <w:rPr>
          <w:rFonts w:ascii="Calibri" w:hAnsi="Calibri" w:cs="Calibri"/>
          <w:spacing w:val="-2"/>
          <w:w w:val="110"/>
        </w:rPr>
        <w:t>40</w:t>
      </w:r>
      <w:r w:rsidRPr="00DD7BD1">
        <w:rPr>
          <w:rFonts w:ascii="Calibri" w:hAnsi="Calibri" w:cs="Calibri"/>
          <w:spacing w:val="-10"/>
          <w:w w:val="110"/>
        </w:rPr>
        <w:t xml:space="preserve"> </w:t>
      </w:r>
      <w:r w:rsidRPr="00DD7BD1">
        <w:rPr>
          <w:rFonts w:ascii="Calibri" w:hAnsi="Calibri" w:cs="Calibri"/>
          <w:spacing w:val="-2"/>
          <w:w w:val="110"/>
        </w:rPr>
        <w:t>hours</w:t>
      </w:r>
      <w:r w:rsidRPr="00DD7BD1">
        <w:rPr>
          <w:rFonts w:ascii="Calibri" w:hAnsi="Calibri" w:cs="Calibri"/>
          <w:spacing w:val="-10"/>
          <w:w w:val="110"/>
        </w:rPr>
        <w:t xml:space="preserve"> </w:t>
      </w:r>
      <w:r w:rsidRPr="00DD7BD1">
        <w:rPr>
          <w:rFonts w:ascii="Calibri" w:hAnsi="Calibri" w:cs="Calibri"/>
          <w:spacing w:val="-2"/>
          <w:w w:val="110"/>
        </w:rPr>
        <w:t>per</w:t>
      </w:r>
      <w:r w:rsidRPr="00DD7BD1">
        <w:rPr>
          <w:rFonts w:ascii="Calibri" w:hAnsi="Calibri" w:cs="Calibri"/>
          <w:spacing w:val="-11"/>
          <w:w w:val="110"/>
        </w:rPr>
        <w:t xml:space="preserve"> </w:t>
      </w:r>
      <w:r w:rsidRPr="00DD7BD1">
        <w:rPr>
          <w:rFonts w:ascii="Calibri" w:hAnsi="Calibri" w:cs="Calibri"/>
          <w:spacing w:val="-2"/>
          <w:w w:val="110"/>
        </w:rPr>
        <w:t>calendar</w:t>
      </w:r>
      <w:r w:rsidRPr="00DD7BD1">
        <w:rPr>
          <w:rFonts w:ascii="Calibri" w:hAnsi="Calibri" w:cs="Calibri"/>
          <w:spacing w:val="-14"/>
          <w:w w:val="110"/>
        </w:rPr>
        <w:t xml:space="preserve"> </w:t>
      </w:r>
      <w:r w:rsidRPr="00DD7BD1">
        <w:rPr>
          <w:rFonts w:ascii="Calibri" w:hAnsi="Calibri" w:cs="Calibri"/>
          <w:spacing w:val="-2"/>
          <w:w w:val="110"/>
        </w:rPr>
        <w:t xml:space="preserve">year—to </w:t>
      </w:r>
      <w:r w:rsidRPr="00DD7BD1">
        <w:rPr>
          <w:rFonts w:ascii="Calibri" w:hAnsi="Calibri" w:cs="Calibri"/>
          <w:w w:val="110"/>
        </w:rPr>
        <w:t>participate in these funeral activities.</w:t>
      </w:r>
    </w:p>
    <w:p w14:paraId="4EC1C091" w14:textId="77777777" w:rsidR="00A85628" w:rsidRPr="00DD7BD1"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u w:val="single"/>
        </w:rPr>
        <w:t>can’t</w:t>
      </w:r>
      <w:r w:rsidRPr="00DD7BD1">
        <w:rPr>
          <w:rFonts w:ascii="Calibri" w:hAnsi="Calibri" w:cs="Calibri"/>
          <w:spacing w:val="-9"/>
          <w:w w:val="110"/>
          <w:u w:val="single"/>
        </w:rPr>
        <w:t xml:space="preserve"> </w:t>
      </w:r>
      <w:r w:rsidRPr="00DD7BD1">
        <w:rPr>
          <w:rFonts w:ascii="Calibri" w:hAnsi="Calibri" w:cs="Calibri"/>
          <w:spacing w:val="-2"/>
          <w:w w:val="110"/>
          <w:u w:val="single"/>
        </w:rPr>
        <w:t>be</w:t>
      </w:r>
      <w:r w:rsidRPr="00DD7BD1">
        <w:rPr>
          <w:rFonts w:ascii="Calibri" w:hAnsi="Calibri" w:cs="Calibri"/>
          <w:spacing w:val="-6"/>
          <w:w w:val="110"/>
          <w:u w:val="single"/>
        </w:rPr>
        <w:t xml:space="preserve"> </w:t>
      </w:r>
      <w:r w:rsidRPr="00DD7BD1">
        <w:rPr>
          <w:rFonts w:ascii="Calibri" w:hAnsi="Calibri" w:cs="Calibri"/>
          <w:spacing w:val="-2"/>
          <w:w w:val="110"/>
          <w:u w:val="single"/>
        </w:rPr>
        <w:t>required</w:t>
      </w:r>
      <w:r w:rsidRPr="00DD7BD1">
        <w:rPr>
          <w:rFonts w:ascii="Calibri" w:hAnsi="Calibri" w:cs="Calibri"/>
          <w:spacing w:val="-6"/>
          <w:w w:val="110"/>
          <w:u w:val="single"/>
        </w:rPr>
        <w:t xml:space="preserve"> </w:t>
      </w:r>
      <w:r w:rsidRPr="00DD7BD1">
        <w:rPr>
          <w:rFonts w:ascii="Calibri" w:hAnsi="Calibri" w:cs="Calibri"/>
          <w:spacing w:val="-2"/>
          <w:w w:val="110"/>
          <w:u w:val="single"/>
        </w:rPr>
        <w:t>to</w:t>
      </w:r>
      <w:r w:rsidRPr="00DD7BD1">
        <w:rPr>
          <w:rFonts w:ascii="Calibri" w:hAnsi="Calibri" w:cs="Calibri"/>
          <w:spacing w:val="-6"/>
          <w:w w:val="110"/>
          <w:u w:val="single"/>
        </w:rPr>
        <w:t xml:space="preserve"> </w:t>
      </w:r>
      <w:r w:rsidRPr="00DD7BD1">
        <w:rPr>
          <w:rFonts w:ascii="Calibri" w:hAnsi="Calibri" w:cs="Calibri"/>
          <w:spacing w:val="-2"/>
          <w:w w:val="110"/>
          <w:u w:val="single"/>
        </w:rPr>
        <w:t>use</w:t>
      </w:r>
      <w:r w:rsidRPr="00DD7BD1">
        <w:rPr>
          <w:rFonts w:ascii="Calibri" w:hAnsi="Calibri" w:cs="Calibri"/>
          <w:spacing w:val="-10"/>
          <w:w w:val="110"/>
          <w:u w:val="single"/>
        </w:rPr>
        <w:t xml:space="preserve"> </w:t>
      </w:r>
      <w:r w:rsidRPr="00DD7BD1">
        <w:rPr>
          <w:rFonts w:ascii="Calibri" w:hAnsi="Calibri" w:cs="Calibri"/>
          <w:spacing w:val="-2"/>
          <w:w w:val="110"/>
          <w:u w:val="single"/>
        </w:rPr>
        <w:t>other</w:t>
      </w:r>
      <w:r w:rsidRPr="00DD7BD1">
        <w:rPr>
          <w:rFonts w:ascii="Calibri" w:hAnsi="Calibri" w:cs="Calibri"/>
          <w:spacing w:val="-9"/>
          <w:w w:val="110"/>
          <w:u w:val="single"/>
        </w:rPr>
        <w:t xml:space="preserve"> </w:t>
      </w:r>
      <w:r w:rsidRPr="00DD7BD1">
        <w:rPr>
          <w:rFonts w:ascii="Calibri" w:hAnsi="Calibri" w:cs="Calibri"/>
          <w:spacing w:val="-2"/>
          <w:w w:val="110"/>
          <w:u w:val="single"/>
        </w:rPr>
        <w:t>forms</w:t>
      </w:r>
      <w:r w:rsidRPr="00DD7BD1">
        <w:rPr>
          <w:rFonts w:ascii="Calibri" w:hAnsi="Calibri" w:cs="Calibri"/>
          <w:spacing w:val="-9"/>
          <w:w w:val="110"/>
          <w:u w:val="single"/>
        </w:rPr>
        <w:t xml:space="preserve"> </w:t>
      </w:r>
      <w:r w:rsidRPr="00DD7BD1">
        <w:rPr>
          <w:rFonts w:ascii="Calibri" w:hAnsi="Calibri" w:cs="Calibri"/>
          <w:spacing w:val="-2"/>
          <w:w w:val="110"/>
          <w:u w:val="single"/>
        </w:rPr>
        <w:t>of</w:t>
      </w:r>
      <w:r w:rsidRPr="00DD7BD1">
        <w:rPr>
          <w:rFonts w:ascii="Calibri" w:hAnsi="Calibri" w:cs="Calibri"/>
          <w:spacing w:val="-9"/>
          <w:w w:val="110"/>
          <w:u w:val="single"/>
        </w:rPr>
        <w:t xml:space="preserve"> </w:t>
      </w:r>
      <w:r w:rsidRPr="00DD7BD1">
        <w:rPr>
          <w:rFonts w:ascii="Calibri" w:hAnsi="Calibri" w:cs="Calibri"/>
          <w:spacing w:val="-2"/>
          <w:w w:val="110"/>
          <w:u w:val="single"/>
        </w:rPr>
        <w:t>leave</w:t>
      </w:r>
      <w:r w:rsidRPr="00DD7BD1">
        <w:rPr>
          <w:rFonts w:ascii="Calibri" w:hAnsi="Calibri" w:cs="Calibri"/>
          <w:spacing w:val="-9"/>
          <w:w w:val="110"/>
          <w:u w:val="single"/>
        </w:rPr>
        <w:t xml:space="preserve"> </w:t>
      </w:r>
      <w:r w:rsidRPr="00DD7BD1">
        <w:rPr>
          <w:rFonts w:ascii="Calibri" w:hAnsi="Calibri" w:cs="Calibri"/>
          <w:spacing w:val="-2"/>
          <w:w w:val="110"/>
          <w:u w:val="single"/>
        </w:rPr>
        <w:t>like</w:t>
      </w:r>
      <w:r w:rsidRPr="00DD7BD1">
        <w:rPr>
          <w:rFonts w:ascii="Calibri" w:hAnsi="Calibri" w:cs="Calibri"/>
          <w:spacing w:val="-9"/>
          <w:w w:val="110"/>
          <w:u w:val="single"/>
        </w:rPr>
        <w:t xml:space="preserve"> </w:t>
      </w:r>
      <w:r w:rsidRPr="00DD7BD1">
        <w:rPr>
          <w:rFonts w:ascii="Calibri" w:hAnsi="Calibri" w:cs="Calibri"/>
          <w:spacing w:val="-4"/>
          <w:w w:val="110"/>
          <w:u w:val="single"/>
        </w:rPr>
        <w:t>PTO</w:t>
      </w:r>
      <w:r w:rsidRPr="00DD7BD1">
        <w:rPr>
          <w:rFonts w:ascii="Calibri" w:hAnsi="Calibri" w:cs="Calibri"/>
          <w:spacing w:val="-4"/>
          <w:w w:val="110"/>
        </w:rPr>
        <w:t>.</w:t>
      </w:r>
    </w:p>
    <w:p w14:paraId="7A055FE7" w14:textId="77777777" w:rsidR="00A85628" w:rsidRPr="00DD7BD1"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Calibri" w:hAnsi="Calibri" w:cs="Calibri"/>
        </w:rPr>
      </w:pPr>
      <w:r w:rsidRPr="00DD7BD1">
        <w:rPr>
          <w:rFonts w:ascii="Calibri" w:hAnsi="Calibri" w:cs="Calibri"/>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DD7BD1" w:rsidRDefault="00A85628" w:rsidP="00A85628">
      <w:pPr>
        <w:pStyle w:val="BodyText"/>
        <w:spacing w:before="194" w:line="249" w:lineRule="auto"/>
        <w:ind w:right="-270"/>
        <w:rPr>
          <w:rFonts w:cs="Calibri"/>
          <w:color w:val="auto"/>
          <w:szCs w:val="22"/>
        </w:rPr>
      </w:pPr>
      <w:r w:rsidRPr="00DD7BD1">
        <w:rPr>
          <w:rFonts w:cs="Calibri"/>
          <w:color w:val="auto"/>
          <w:w w:val="110"/>
          <w:szCs w:val="22"/>
        </w:rPr>
        <w:t>ETC</w:t>
      </w:r>
      <w:r w:rsidRPr="00DD7BD1">
        <w:rPr>
          <w:rFonts w:cs="Calibri"/>
          <w:color w:val="auto"/>
          <w:spacing w:val="23"/>
          <w:w w:val="110"/>
          <w:szCs w:val="22"/>
        </w:rPr>
        <w:t xml:space="preserve"> </w:t>
      </w:r>
      <w:r w:rsidRPr="00DD7BD1">
        <w:rPr>
          <w:rFonts w:cs="Calibri"/>
          <w:color w:val="auto"/>
          <w:w w:val="110"/>
          <w:szCs w:val="22"/>
        </w:rPr>
        <w:t>has</w:t>
      </w:r>
      <w:r w:rsidRPr="00DD7BD1">
        <w:rPr>
          <w:rFonts w:cs="Calibri"/>
          <w:color w:val="auto"/>
          <w:spacing w:val="25"/>
          <w:w w:val="110"/>
          <w:szCs w:val="22"/>
        </w:rPr>
        <w:t xml:space="preserve"> </w:t>
      </w:r>
      <w:r w:rsidRPr="00DD7BD1">
        <w:rPr>
          <w:rFonts w:cs="Calibri"/>
          <w:color w:val="auto"/>
          <w:w w:val="110"/>
          <w:szCs w:val="22"/>
        </w:rPr>
        <w:t>released</w:t>
      </w:r>
      <w:r w:rsidRPr="00DD7BD1">
        <w:rPr>
          <w:rFonts w:cs="Calibri"/>
          <w:color w:val="auto"/>
          <w:spacing w:val="24"/>
          <w:w w:val="110"/>
          <w:szCs w:val="22"/>
        </w:rPr>
        <w:t xml:space="preserve"> </w:t>
      </w:r>
      <w:r w:rsidRPr="00DD7BD1">
        <w:rPr>
          <w:rFonts w:cs="Calibri"/>
          <w:color w:val="auto"/>
          <w:w w:val="110"/>
          <w:szCs w:val="22"/>
        </w:rPr>
        <w:t>an</w:t>
      </w:r>
      <w:r w:rsidRPr="00DD7BD1">
        <w:rPr>
          <w:rFonts w:cs="Calibri"/>
          <w:color w:val="auto"/>
          <w:spacing w:val="24"/>
          <w:w w:val="110"/>
          <w:szCs w:val="22"/>
        </w:rPr>
        <w:t xml:space="preserve"> </w:t>
      </w:r>
      <w:r w:rsidRPr="00DD7BD1">
        <w:rPr>
          <w:rFonts w:cs="Calibri"/>
          <w:color w:val="auto"/>
          <w:w w:val="110"/>
          <w:szCs w:val="22"/>
        </w:rPr>
        <w:t>updated</w:t>
      </w:r>
      <w:r w:rsidRPr="00DD7BD1">
        <w:rPr>
          <w:rFonts w:cs="Calibri"/>
          <w:color w:val="auto"/>
          <w:spacing w:val="24"/>
          <w:w w:val="110"/>
          <w:szCs w:val="22"/>
        </w:rPr>
        <w:t xml:space="preserve"> </w:t>
      </w:r>
      <w:r w:rsidRPr="00DD7BD1">
        <w:rPr>
          <w:rFonts w:cs="Calibri"/>
          <w:color w:val="auto"/>
          <w:w w:val="110"/>
          <w:szCs w:val="22"/>
        </w:rPr>
        <w:t>IL</w:t>
      </w:r>
      <w:r w:rsidRPr="00DD7BD1">
        <w:rPr>
          <w:rFonts w:cs="Calibri"/>
          <w:color w:val="auto"/>
          <w:spacing w:val="22"/>
          <w:w w:val="110"/>
          <w:szCs w:val="22"/>
        </w:rPr>
        <w:t xml:space="preserve"> </w:t>
      </w:r>
      <w:r w:rsidRPr="00DD7BD1">
        <w:rPr>
          <w:rFonts w:cs="Calibri"/>
          <w:color w:val="auto"/>
          <w:w w:val="110"/>
          <w:szCs w:val="22"/>
        </w:rPr>
        <w:t>State</w:t>
      </w:r>
      <w:r w:rsidRPr="00DD7BD1">
        <w:rPr>
          <w:rFonts w:cs="Calibri"/>
          <w:color w:val="auto"/>
          <w:spacing w:val="21"/>
          <w:w w:val="110"/>
          <w:szCs w:val="22"/>
        </w:rPr>
        <w:t xml:space="preserve"> </w:t>
      </w:r>
      <w:r w:rsidRPr="00DD7BD1">
        <w:rPr>
          <w:rFonts w:cs="Calibri"/>
          <w:color w:val="auto"/>
          <w:w w:val="110"/>
          <w:szCs w:val="22"/>
        </w:rPr>
        <w:t>Handbook</w:t>
      </w:r>
      <w:r w:rsidRPr="00DD7BD1">
        <w:rPr>
          <w:rFonts w:cs="Calibri"/>
          <w:color w:val="auto"/>
          <w:spacing w:val="24"/>
          <w:w w:val="110"/>
          <w:szCs w:val="22"/>
        </w:rPr>
        <w:t xml:space="preserve"> </w:t>
      </w:r>
      <w:r w:rsidRPr="00DD7BD1">
        <w:rPr>
          <w:rFonts w:cs="Calibri"/>
          <w:color w:val="auto"/>
          <w:w w:val="110"/>
          <w:szCs w:val="22"/>
        </w:rPr>
        <w:t>Addendum</w:t>
      </w:r>
      <w:r w:rsidRPr="00DD7BD1">
        <w:rPr>
          <w:rFonts w:cs="Calibri"/>
          <w:color w:val="auto"/>
          <w:spacing w:val="24"/>
          <w:w w:val="110"/>
          <w:szCs w:val="22"/>
        </w:rPr>
        <w:t xml:space="preserve"> </w:t>
      </w:r>
      <w:r w:rsidRPr="00DD7BD1">
        <w:rPr>
          <w:rFonts w:cs="Calibri"/>
          <w:color w:val="auto"/>
          <w:w w:val="110"/>
          <w:szCs w:val="22"/>
        </w:rPr>
        <w:t>to</w:t>
      </w:r>
      <w:r w:rsidRPr="00DD7BD1">
        <w:rPr>
          <w:rFonts w:cs="Calibri"/>
          <w:color w:val="auto"/>
          <w:spacing w:val="22"/>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military</w:t>
      </w:r>
      <w:r w:rsidRPr="00DD7BD1">
        <w:rPr>
          <w:rFonts w:cs="Calibri"/>
          <w:color w:val="auto"/>
          <w:spacing w:val="24"/>
          <w:w w:val="110"/>
          <w:szCs w:val="22"/>
        </w:rPr>
        <w:t xml:space="preserve"> </w:t>
      </w:r>
      <w:r w:rsidRPr="00DD7BD1">
        <w:rPr>
          <w:rFonts w:cs="Calibri"/>
          <w:color w:val="auto"/>
          <w:w w:val="110"/>
          <w:szCs w:val="22"/>
        </w:rPr>
        <w:t>funeral</w:t>
      </w:r>
      <w:r w:rsidRPr="00DD7BD1">
        <w:rPr>
          <w:rFonts w:cs="Calibri"/>
          <w:color w:val="auto"/>
          <w:spacing w:val="22"/>
          <w:w w:val="110"/>
          <w:szCs w:val="22"/>
        </w:rPr>
        <w:t xml:space="preserve"> </w:t>
      </w:r>
      <w:r w:rsidRPr="00DD7BD1">
        <w:rPr>
          <w:rFonts w:cs="Calibri"/>
          <w:color w:val="auto"/>
          <w:w w:val="110"/>
          <w:szCs w:val="22"/>
        </w:rPr>
        <w:t>honors</w:t>
      </w:r>
      <w:r w:rsidRPr="00DD7BD1">
        <w:rPr>
          <w:rFonts w:cs="Calibri"/>
          <w:color w:val="auto"/>
          <w:spacing w:val="22"/>
          <w:w w:val="110"/>
          <w:szCs w:val="22"/>
        </w:rPr>
        <w:t xml:space="preserve"> </w:t>
      </w:r>
      <w:r w:rsidRPr="00DD7BD1">
        <w:rPr>
          <w:rFonts w:cs="Calibri"/>
          <w:color w:val="auto"/>
          <w:w w:val="110"/>
          <w:szCs w:val="22"/>
        </w:rPr>
        <w:t>leave</w:t>
      </w:r>
      <w:r w:rsidRPr="00DD7BD1">
        <w:rPr>
          <w:rFonts w:cs="Calibri"/>
          <w:color w:val="auto"/>
          <w:spacing w:val="24"/>
          <w:w w:val="110"/>
          <w:szCs w:val="22"/>
        </w:rPr>
        <w:t xml:space="preserve"> </w:t>
      </w:r>
      <w:r w:rsidRPr="00DD7BD1">
        <w:rPr>
          <w:rFonts w:cs="Calibri"/>
          <w:color w:val="auto"/>
          <w:w w:val="110"/>
          <w:szCs w:val="22"/>
        </w:rPr>
        <w:t>with</w:t>
      </w:r>
      <w:r w:rsidRPr="00DD7BD1">
        <w:rPr>
          <w:rFonts w:cs="Calibri"/>
          <w:color w:val="auto"/>
          <w:spacing w:val="24"/>
          <w:w w:val="110"/>
          <w:szCs w:val="22"/>
        </w:rPr>
        <w:t xml:space="preserve"> </w:t>
      </w:r>
      <w:r w:rsidRPr="00DD7BD1">
        <w:rPr>
          <w:rFonts w:cs="Calibri"/>
          <w:color w:val="auto"/>
          <w:w w:val="110"/>
          <w:szCs w:val="22"/>
        </w:rPr>
        <w:t>the Aug/Sept HR WIRE.</w:t>
      </w:r>
    </w:p>
    <w:p w14:paraId="2FB43C0C" w14:textId="105A9A05" w:rsidR="00A85628" w:rsidRPr="00DD7BD1" w:rsidRDefault="00A85628" w:rsidP="00A85628">
      <w:pPr>
        <w:pStyle w:val="Heading1"/>
        <w:spacing w:before="0" w:beforeAutospacing="0" w:after="0" w:afterAutospacing="0"/>
        <w:ind w:right="359"/>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Amended Wage Transparency Act – Eff J</w:t>
      </w:r>
      <w:r w:rsidR="00087C7A" w:rsidRPr="00DD7BD1">
        <w:rPr>
          <w:rFonts w:ascii="Calibri" w:hAnsi="Calibri" w:cs="Calibri"/>
          <w:kern w:val="0"/>
          <w:sz w:val="28"/>
          <w:szCs w:val="28"/>
          <w:shd w:val="clear" w:color="auto" w:fill="FFFFFF"/>
        </w:rPr>
        <w:t xml:space="preserve">an </w:t>
      </w:r>
      <w:r w:rsidRPr="00DD7BD1">
        <w:rPr>
          <w:rFonts w:ascii="Calibri" w:hAnsi="Calibri" w:cs="Calibri"/>
          <w:kern w:val="0"/>
          <w:sz w:val="28"/>
          <w:szCs w:val="28"/>
          <w:shd w:val="clear" w:color="auto" w:fill="FFFFFF"/>
        </w:rPr>
        <w:t>1, 2026</w:t>
      </w:r>
    </w:p>
    <w:p w14:paraId="307060BE"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5"/>
          <w:szCs w:val="22"/>
        </w:rPr>
        <w:t xml:space="preserve"> </w:t>
      </w:r>
      <w:r w:rsidRPr="00DD7BD1">
        <w:rPr>
          <w:rFonts w:cs="Calibri"/>
          <w:color w:val="auto"/>
          <w:szCs w:val="22"/>
        </w:rPr>
        <w:t>Employers</w:t>
      </w:r>
      <w:r w:rsidRPr="00DD7BD1">
        <w:rPr>
          <w:rFonts w:cs="Calibri"/>
          <w:color w:val="auto"/>
          <w:spacing w:val="32"/>
          <w:szCs w:val="22"/>
        </w:rPr>
        <w:t xml:space="preserve"> </w:t>
      </w:r>
      <w:r w:rsidRPr="00DD7BD1">
        <w:rPr>
          <w:rFonts w:cs="Calibri"/>
          <w:color w:val="auto"/>
          <w:szCs w:val="22"/>
        </w:rPr>
        <w:t>with</w:t>
      </w:r>
      <w:r w:rsidRPr="00DD7BD1">
        <w:rPr>
          <w:rFonts w:cs="Calibri"/>
          <w:color w:val="auto"/>
          <w:spacing w:val="29"/>
          <w:szCs w:val="22"/>
        </w:rPr>
        <w:t xml:space="preserve"> </w:t>
      </w:r>
      <w:r w:rsidRPr="00DD7BD1">
        <w:rPr>
          <w:rFonts w:cs="Calibri"/>
          <w:color w:val="auto"/>
          <w:szCs w:val="22"/>
        </w:rPr>
        <w:t>one</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7"/>
          <w:szCs w:val="22"/>
        </w:rPr>
        <w:t xml:space="preserve"> </w:t>
      </w:r>
      <w:r w:rsidRPr="00DD7BD1">
        <w:rPr>
          <w:rFonts w:cs="Calibri"/>
          <w:color w:val="auto"/>
          <w:szCs w:val="22"/>
        </w:rPr>
        <w:t>more</w:t>
      </w:r>
      <w:r w:rsidRPr="00DD7BD1">
        <w:rPr>
          <w:rFonts w:cs="Calibri"/>
          <w:color w:val="auto"/>
          <w:spacing w:val="27"/>
          <w:szCs w:val="22"/>
        </w:rPr>
        <w:t xml:space="preserve"> </w:t>
      </w:r>
      <w:r w:rsidRPr="00DD7BD1">
        <w:rPr>
          <w:rFonts w:cs="Calibri"/>
          <w:color w:val="auto"/>
          <w:szCs w:val="22"/>
        </w:rPr>
        <w:t>employees</w:t>
      </w:r>
      <w:r w:rsidRPr="00DD7BD1">
        <w:rPr>
          <w:rFonts w:cs="Calibri"/>
          <w:color w:val="auto"/>
          <w:spacing w:val="30"/>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non-employee</w:t>
      </w:r>
      <w:r w:rsidRPr="00DD7BD1">
        <w:rPr>
          <w:rFonts w:cs="Calibri"/>
          <w:color w:val="auto"/>
          <w:spacing w:val="32"/>
          <w:szCs w:val="22"/>
        </w:rPr>
        <w:t xml:space="preserve"> </w:t>
      </w:r>
      <w:r w:rsidRPr="00DD7BD1">
        <w:rPr>
          <w:rFonts w:cs="Calibri"/>
          <w:color w:val="auto"/>
          <w:szCs w:val="22"/>
        </w:rPr>
        <w:t>consultants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contractors)</w:t>
      </w:r>
      <w:r w:rsidRPr="00DD7BD1">
        <w:rPr>
          <w:rFonts w:cs="Calibri"/>
          <w:color w:val="auto"/>
          <w:spacing w:val="30"/>
          <w:szCs w:val="22"/>
        </w:rPr>
        <w:t xml:space="preserve"> </w:t>
      </w:r>
      <w:r w:rsidRPr="00DD7BD1">
        <w:rPr>
          <w:rFonts w:cs="Calibri"/>
          <w:color w:val="auto"/>
          <w:szCs w:val="22"/>
        </w:rPr>
        <w:t xml:space="preserve">in </w:t>
      </w:r>
      <w:r w:rsidRPr="00DD7BD1">
        <w:rPr>
          <w:rFonts w:cs="Calibri"/>
          <w:color w:val="auto"/>
          <w:w w:val="110"/>
          <w:szCs w:val="22"/>
        </w:rPr>
        <w:t>Illinois should consider reviewing the agreements they use with any such persons and consult legal counsel regarding the applicability of and compliance</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the IWTA, including its most recent</w:t>
      </w:r>
      <w:r w:rsidRPr="00DD7BD1">
        <w:rPr>
          <w:rFonts w:cs="Calibri"/>
          <w:color w:val="auto"/>
          <w:spacing w:val="-1"/>
          <w:w w:val="110"/>
          <w:szCs w:val="22"/>
        </w:rPr>
        <w:t xml:space="preserve"> </w:t>
      </w:r>
      <w:r w:rsidRPr="00DD7BD1">
        <w:rPr>
          <w:rFonts w:cs="Calibri"/>
          <w:color w:val="auto"/>
          <w:w w:val="110"/>
          <w:szCs w:val="22"/>
        </w:rPr>
        <w:t>amendments.</w:t>
      </w:r>
    </w:p>
    <w:p w14:paraId="623C1E55"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color w:val="auto"/>
          <w:w w:val="110"/>
          <w:szCs w:val="22"/>
        </w:rPr>
        <w:t>New</w:t>
      </w:r>
      <w:r w:rsidRPr="00DD7BD1">
        <w:rPr>
          <w:rFonts w:cs="Calibri"/>
          <w:color w:val="auto"/>
          <w:spacing w:val="-14"/>
          <w:w w:val="110"/>
          <w:szCs w:val="22"/>
        </w:rPr>
        <w:t xml:space="preserve"> </w:t>
      </w:r>
      <w:r w:rsidRPr="00DD7BD1">
        <w:rPr>
          <w:rFonts w:cs="Calibri"/>
          <w:color w:val="auto"/>
          <w:w w:val="110"/>
          <w:szCs w:val="22"/>
        </w:rPr>
        <w:t>amendments</w:t>
      </w:r>
      <w:r w:rsidRPr="00DD7BD1">
        <w:rPr>
          <w:rFonts w:cs="Calibri"/>
          <w:color w:val="auto"/>
          <w:spacing w:val="-16"/>
          <w:w w:val="110"/>
          <w:szCs w:val="22"/>
        </w:rPr>
        <w:t xml:space="preserve"> </w:t>
      </w:r>
      <w:r w:rsidRPr="00DD7BD1">
        <w:rPr>
          <w:rFonts w:cs="Calibri"/>
          <w:color w:val="auto"/>
          <w:w w:val="110"/>
          <w:szCs w:val="22"/>
        </w:rPr>
        <w:t>(House</w:t>
      </w:r>
      <w:r w:rsidRPr="00DD7BD1">
        <w:rPr>
          <w:rFonts w:cs="Calibri"/>
          <w:color w:val="auto"/>
          <w:spacing w:val="-14"/>
          <w:w w:val="110"/>
          <w:szCs w:val="22"/>
        </w:rPr>
        <w:t xml:space="preserve"> </w:t>
      </w:r>
      <w:r w:rsidRPr="00DD7BD1">
        <w:rPr>
          <w:rFonts w:cs="Calibri"/>
          <w:color w:val="auto"/>
          <w:w w:val="110"/>
          <w:szCs w:val="22"/>
        </w:rPr>
        <w:t>Bill</w:t>
      </w:r>
      <w:r w:rsidRPr="00DD7BD1">
        <w:rPr>
          <w:rFonts w:cs="Calibri"/>
          <w:color w:val="auto"/>
          <w:spacing w:val="-16"/>
          <w:w w:val="110"/>
          <w:szCs w:val="22"/>
        </w:rPr>
        <w:t xml:space="preserve"> </w:t>
      </w:r>
      <w:r w:rsidRPr="00DD7BD1">
        <w:rPr>
          <w:rFonts w:cs="Calibri"/>
          <w:color w:val="auto"/>
          <w:w w:val="110"/>
          <w:szCs w:val="22"/>
        </w:rPr>
        <w:t>3638)</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6"/>
          <w:w w:val="110"/>
          <w:szCs w:val="22"/>
        </w:rPr>
        <w:t xml:space="preserve"> </w:t>
      </w:r>
      <w:r w:rsidRPr="00DD7BD1">
        <w:rPr>
          <w:rFonts w:cs="Calibri"/>
          <w:color w:val="auto"/>
          <w:w w:val="110"/>
          <w:szCs w:val="22"/>
        </w:rPr>
        <w:t>Workplace</w:t>
      </w:r>
      <w:r w:rsidRPr="00DD7BD1">
        <w:rPr>
          <w:rFonts w:cs="Calibri"/>
          <w:color w:val="auto"/>
          <w:spacing w:val="-14"/>
          <w:w w:val="110"/>
          <w:szCs w:val="22"/>
        </w:rPr>
        <w:t xml:space="preserve"> </w:t>
      </w:r>
      <w:r w:rsidRPr="00DD7BD1">
        <w:rPr>
          <w:rFonts w:cs="Calibri"/>
          <w:color w:val="auto"/>
          <w:w w:val="110"/>
          <w:szCs w:val="22"/>
        </w:rPr>
        <w:t>Transparency</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5"/>
          <w:w w:val="110"/>
          <w:szCs w:val="22"/>
        </w:rPr>
        <w:t xml:space="preserve"> </w:t>
      </w:r>
      <w:r w:rsidRPr="00DD7BD1">
        <w:rPr>
          <w:rFonts w:cs="Calibri"/>
          <w:color w:val="auto"/>
          <w:w w:val="110"/>
          <w:szCs w:val="22"/>
        </w:rPr>
        <w:t>(IWTA)</w:t>
      </w:r>
      <w:r w:rsidRPr="00DD7BD1">
        <w:rPr>
          <w:rFonts w:cs="Calibri"/>
          <w:color w:val="auto"/>
          <w:spacing w:val="-15"/>
          <w:w w:val="110"/>
          <w:szCs w:val="22"/>
        </w:rPr>
        <w:t xml:space="preserve"> </w:t>
      </w:r>
      <w:r w:rsidRPr="00DD7BD1">
        <w:rPr>
          <w:rFonts w:cs="Calibri"/>
          <w:color w:val="auto"/>
          <w:w w:val="110"/>
          <w:szCs w:val="22"/>
        </w:rPr>
        <w:t>expand</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6"/>
          <w:w w:val="110"/>
          <w:szCs w:val="22"/>
        </w:rPr>
        <w:t xml:space="preserve"> </w:t>
      </w:r>
      <w:r w:rsidRPr="00DD7BD1">
        <w:rPr>
          <w:rFonts w:cs="Calibri"/>
          <w:color w:val="auto"/>
          <w:w w:val="110"/>
          <w:szCs w:val="22"/>
        </w:rPr>
        <w:t>and consultant/contractor</w:t>
      </w:r>
      <w:r w:rsidRPr="00DD7BD1">
        <w:rPr>
          <w:rFonts w:cs="Calibri"/>
          <w:color w:val="auto"/>
          <w:spacing w:val="-11"/>
          <w:w w:val="110"/>
          <w:szCs w:val="22"/>
        </w:rPr>
        <w:t xml:space="preserve"> </w:t>
      </w:r>
      <w:r w:rsidRPr="00DD7BD1">
        <w:rPr>
          <w:rFonts w:cs="Calibri"/>
          <w:color w:val="auto"/>
          <w:w w:val="110"/>
          <w:szCs w:val="22"/>
        </w:rPr>
        <w:t>protections,</w:t>
      </w:r>
      <w:r w:rsidRPr="00DD7BD1">
        <w:rPr>
          <w:rFonts w:cs="Calibri"/>
          <w:color w:val="auto"/>
          <w:spacing w:val="-11"/>
          <w:w w:val="110"/>
          <w:szCs w:val="22"/>
        </w:rPr>
        <w:t xml:space="preserve"> </w:t>
      </w:r>
      <w:r w:rsidRPr="00DD7BD1">
        <w:rPr>
          <w:rFonts w:cs="Calibri"/>
          <w:color w:val="auto"/>
          <w:w w:val="110"/>
          <w:szCs w:val="22"/>
        </w:rPr>
        <w:t>including</w:t>
      </w:r>
      <w:r w:rsidRPr="00DD7BD1">
        <w:rPr>
          <w:rFonts w:cs="Calibri"/>
          <w:color w:val="auto"/>
          <w:spacing w:val="-12"/>
          <w:w w:val="110"/>
          <w:szCs w:val="22"/>
        </w:rPr>
        <w:t xml:space="preserve"> </w:t>
      </w:r>
      <w:r w:rsidRPr="00DD7BD1">
        <w:rPr>
          <w:rFonts w:cs="Calibri"/>
          <w:color w:val="auto"/>
          <w:w w:val="110"/>
          <w:szCs w:val="22"/>
        </w:rPr>
        <w:t>prohibitions</w:t>
      </w:r>
      <w:r w:rsidRPr="00DD7BD1">
        <w:rPr>
          <w:rFonts w:cs="Calibri"/>
          <w:color w:val="auto"/>
          <w:spacing w:val="-12"/>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various</w:t>
      </w:r>
      <w:r w:rsidRPr="00DD7BD1">
        <w:rPr>
          <w:rFonts w:cs="Calibri"/>
          <w:color w:val="auto"/>
          <w:spacing w:val="-10"/>
          <w:w w:val="110"/>
          <w:szCs w:val="22"/>
        </w:rPr>
        <w:t xml:space="preserve"> </w:t>
      </w:r>
      <w:r w:rsidRPr="00DD7BD1">
        <w:rPr>
          <w:rFonts w:cs="Calibri"/>
          <w:color w:val="auto"/>
          <w:w w:val="110"/>
          <w:szCs w:val="22"/>
        </w:rPr>
        <w:t>“unilateral”</w:t>
      </w:r>
      <w:r w:rsidRPr="00DD7BD1">
        <w:rPr>
          <w:rFonts w:cs="Calibri"/>
          <w:color w:val="auto"/>
          <w:spacing w:val="-10"/>
          <w:w w:val="110"/>
          <w:szCs w:val="22"/>
        </w:rPr>
        <w:t xml:space="preserve"> </w:t>
      </w:r>
      <w:r w:rsidRPr="00DD7BD1">
        <w:rPr>
          <w:rFonts w:cs="Calibri"/>
          <w:color w:val="auto"/>
          <w:w w:val="110"/>
          <w:szCs w:val="22"/>
        </w:rPr>
        <w:t>contract</w:t>
      </w:r>
      <w:r w:rsidRPr="00DD7BD1">
        <w:rPr>
          <w:rFonts w:cs="Calibri"/>
          <w:color w:val="auto"/>
          <w:spacing w:val="-14"/>
          <w:w w:val="110"/>
          <w:szCs w:val="22"/>
        </w:rPr>
        <w:t xml:space="preserve"> </w:t>
      </w:r>
      <w:r w:rsidRPr="00DD7BD1">
        <w:rPr>
          <w:rFonts w:cs="Calibri"/>
          <w:color w:val="auto"/>
          <w:w w:val="110"/>
          <w:szCs w:val="22"/>
        </w:rPr>
        <w:t>provisions</w:t>
      </w:r>
      <w:r w:rsidRPr="00DD7BD1">
        <w:rPr>
          <w:rFonts w:cs="Calibri"/>
          <w:color w:val="auto"/>
          <w:spacing w:val="-12"/>
          <w:w w:val="110"/>
          <w:szCs w:val="22"/>
        </w:rPr>
        <w:t xml:space="preserve"> </w:t>
      </w:r>
      <w:r w:rsidRPr="00DD7BD1">
        <w:rPr>
          <w:rFonts w:cs="Calibri"/>
          <w:color w:val="auto"/>
          <w:w w:val="110"/>
          <w:szCs w:val="22"/>
        </w:rPr>
        <w:t>imposed</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 xml:space="preserve">a </w:t>
      </w:r>
      <w:r w:rsidRPr="00DD7BD1">
        <w:rPr>
          <w:rFonts w:cs="Calibri"/>
          <w:color w:val="auto"/>
          <w:w w:val="110"/>
          <w:szCs w:val="22"/>
        </w:rPr>
        <w:lastRenderedPageBreak/>
        <w:t>condition</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employment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enhanced</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valid</w:t>
      </w:r>
      <w:r w:rsidRPr="00DD7BD1">
        <w:rPr>
          <w:rFonts w:cs="Calibri"/>
          <w:color w:val="auto"/>
          <w:spacing w:val="-11"/>
          <w:w w:val="110"/>
          <w:szCs w:val="22"/>
        </w:rPr>
        <w:t xml:space="preserve"> </w:t>
      </w:r>
      <w:r w:rsidRPr="00DD7BD1">
        <w:rPr>
          <w:rFonts w:cs="Calibri"/>
          <w:color w:val="auto"/>
          <w:w w:val="110"/>
          <w:szCs w:val="22"/>
        </w:rPr>
        <w:t>“mutual”</w:t>
      </w:r>
      <w:r w:rsidRPr="00DD7BD1">
        <w:rPr>
          <w:rFonts w:cs="Calibri"/>
          <w:color w:val="auto"/>
          <w:spacing w:val="-7"/>
          <w:w w:val="110"/>
          <w:szCs w:val="22"/>
        </w:rPr>
        <w:t xml:space="preserve"> </w:t>
      </w:r>
      <w:r w:rsidRPr="00DD7BD1">
        <w:rPr>
          <w:rFonts w:cs="Calibri"/>
          <w:color w:val="auto"/>
          <w:w w:val="110"/>
          <w:szCs w:val="22"/>
        </w:rPr>
        <w:t>conditions</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confidentiality</w:t>
      </w:r>
      <w:r w:rsidRPr="00DD7BD1">
        <w:rPr>
          <w:rFonts w:cs="Calibri"/>
          <w:color w:val="auto"/>
          <w:spacing w:val="-7"/>
          <w:w w:val="110"/>
          <w:szCs w:val="22"/>
        </w:rPr>
        <w:t xml:space="preserve"> </w:t>
      </w:r>
      <w:r w:rsidRPr="00DD7BD1">
        <w:rPr>
          <w:rFonts w:cs="Calibri"/>
          <w:color w:val="auto"/>
          <w:w w:val="110"/>
          <w:szCs w:val="22"/>
        </w:rPr>
        <w:t>clauses in termination and settlement agreements.</w:t>
      </w:r>
    </w:p>
    <w:p w14:paraId="37647D65" w14:textId="77777777" w:rsidR="00A85628" w:rsidRPr="00DD7BD1" w:rsidRDefault="00A85628" w:rsidP="00A85628">
      <w:pPr>
        <w:pStyle w:val="Heading4"/>
        <w:spacing w:before="0"/>
        <w:rPr>
          <w:rFonts w:ascii="Calibri" w:hAnsi="Calibri" w:cs="Calibri"/>
          <w:spacing w:val="-10"/>
          <w:sz w:val="16"/>
          <w:szCs w:val="16"/>
        </w:rPr>
      </w:pPr>
    </w:p>
    <w:p w14:paraId="252B4F5B" w14:textId="77777777" w:rsidR="00A85628" w:rsidRPr="00DD7BD1" w:rsidRDefault="00A85628" w:rsidP="00A85628">
      <w:pPr>
        <w:pStyle w:val="Heading4"/>
        <w:spacing w:before="0" w:line="240" w:lineRule="auto"/>
        <w:rPr>
          <w:rFonts w:ascii="Calibri" w:hAnsi="Calibri" w:cs="Calibri"/>
          <w:b/>
          <w:bCs/>
          <w:i w:val="0"/>
          <w:iCs w:val="0"/>
        </w:rPr>
      </w:pPr>
      <w:r w:rsidRPr="00DD7BD1">
        <w:rPr>
          <w:rFonts w:ascii="Calibri" w:hAnsi="Calibri" w:cs="Calibri"/>
          <w:b/>
          <w:bCs/>
          <w:i w:val="0"/>
          <w:iCs w:val="0"/>
          <w:color w:val="auto"/>
          <w:spacing w:val="-10"/>
        </w:rPr>
        <w:t>Overview</w:t>
      </w:r>
      <w:r w:rsidRPr="00DD7BD1">
        <w:rPr>
          <w:rFonts w:ascii="Calibri" w:hAnsi="Calibri" w:cs="Calibri"/>
          <w:b/>
          <w:bCs/>
          <w:i w:val="0"/>
          <w:iCs w:val="0"/>
          <w:color w:val="auto"/>
          <w:spacing w:val="-1"/>
        </w:rPr>
        <w:t xml:space="preserve"> </w:t>
      </w:r>
      <w:r w:rsidRPr="00DD7BD1">
        <w:rPr>
          <w:rFonts w:ascii="Calibri" w:hAnsi="Calibri" w:cs="Calibri"/>
          <w:b/>
          <w:bCs/>
          <w:i w:val="0"/>
          <w:iCs w:val="0"/>
          <w:color w:val="auto"/>
          <w:spacing w:val="-10"/>
        </w:rPr>
        <w:t>of</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10"/>
        </w:rPr>
        <w:t>the</w:t>
      </w:r>
      <w:r w:rsidRPr="00DD7BD1">
        <w:rPr>
          <w:rFonts w:ascii="Calibri" w:hAnsi="Calibri" w:cs="Calibri"/>
          <w:b/>
          <w:bCs/>
          <w:i w:val="0"/>
          <w:iCs w:val="0"/>
          <w:color w:val="auto"/>
          <w:spacing w:val="1"/>
        </w:rPr>
        <w:t xml:space="preserve"> </w:t>
      </w:r>
      <w:hyperlink r:id="rId723">
        <w:r w:rsidRPr="00DD7BD1">
          <w:rPr>
            <w:rFonts w:ascii="Calibri" w:hAnsi="Calibri" w:cs="Calibri"/>
            <w:b/>
            <w:bCs/>
            <w:i w:val="0"/>
            <w:iCs w:val="0"/>
            <w:color w:val="0000FF"/>
            <w:spacing w:val="-10"/>
            <w:u w:val="single" w:color="0000FF"/>
          </w:rPr>
          <w:t>Amended</w:t>
        </w:r>
        <w:r w:rsidRPr="00DD7BD1">
          <w:rPr>
            <w:rFonts w:ascii="Calibri" w:hAnsi="Calibri" w:cs="Calibri"/>
            <w:b/>
            <w:bCs/>
            <w:i w:val="0"/>
            <w:iCs w:val="0"/>
            <w:color w:val="0000FF"/>
            <w:spacing w:val="-1"/>
            <w:u w:val="single" w:color="0000FF"/>
          </w:rPr>
          <w:t xml:space="preserve"> </w:t>
        </w:r>
        <w:r w:rsidRPr="00DD7BD1">
          <w:rPr>
            <w:rFonts w:ascii="Calibri" w:hAnsi="Calibri" w:cs="Calibri"/>
            <w:b/>
            <w:bCs/>
            <w:i w:val="0"/>
            <w:iCs w:val="0"/>
            <w:color w:val="0000FF"/>
            <w:spacing w:val="-10"/>
            <w:u w:val="single" w:color="0000FF"/>
          </w:rPr>
          <w:t>Act</w:t>
        </w:r>
      </w:hyperlink>
    </w:p>
    <w:p w14:paraId="09900A5D"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broadens</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definition</w:t>
      </w:r>
      <w:r w:rsidRPr="00DD7BD1">
        <w:rPr>
          <w:rFonts w:ascii="Calibri" w:hAnsi="Calibri" w:cs="Calibri"/>
          <w:spacing w:val="-7"/>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“unlawful</w:t>
      </w:r>
      <w:r w:rsidRPr="00DD7BD1">
        <w:rPr>
          <w:rFonts w:ascii="Calibri" w:hAnsi="Calibri" w:cs="Calibri"/>
          <w:spacing w:val="-9"/>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practice”</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encompass</w:t>
      </w:r>
      <w:r w:rsidRPr="00DD7BD1">
        <w:rPr>
          <w:rFonts w:ascii="Calibri" w:hAnsi="Calibri" w:cs="Calibri"/>
          <w:spacing w:val="-9"/>
          <w:w w:val="110"/>
        </w:rPr>
        <w:t xml:space="preserve"> </w:t>
      </w:r>
      <w:r w:rsidRPr="00DD7BD1">
        <w:rPr>
          <w:rFonts w:ascii="Calibri" w:hAnsi="Calibri" w:cs="Calibri"/>
          <w:w w:val="110"/>
        </w:rPr>
        <w:t>any</w:t>
      </w:r>
      <w:r w:rsidRPr="00DD7BD1">
        <w:rPr>
          <w:rFonts w:ascii="Calibri" w:hAnsi="Calibri" w:cs="Calibri"/>
          <w:spacing w:val="-7"/>
          <w:w w:val="110"/>
        </w:rPr>
        <w:t xml:space="preserve"> </w:t>
      </w:r>
      <w:r w:rsidRPr="00DD7BD1">
        <w:rPr>
          <w:rFonts w:ascii="Calibri" w:hAnsi="Calibri" w:cs="Calibri"/>
          <w:w w:val="110"/>
        </w:rPr>
        <w:t>practice</w:t>
      </w:r>
      <w:r w:rsidRPr="00DD7BD1">
        <w:rPr>
          <w:rFonts w:ascii="Calibri" w:hAnsi="Calibri" w:cs="Calibri"/>
          <w:spacing w:val="-8"/>
          <w:w w:val="110"/>
        </w:rPr>
        <w:t xml:space="preserve"> </w:t>
      </w:r>
      <w:r w:rsidRPr="00DD7BD1">
        <w:rPr>
          <w:rFonts w:ascii="Calibri" w:hAnsi="Calibri" w:cs="Calibri"/>
          <w:w w:val="110"/>
        </w:rPr>
        <w:t>made</w:t>
      </w:r>
      <w:r w:rsidRPr="00DD7BD1">
        <w:rPr>
          <w:rFonts w:ascii="Calibri" w:hAnsi="Calibri" w:cs="Calibri"/>
          <w:spacing w:val="-7"/>
          <w:w w:val="110"/>
        </w:rPr>
        <w:t xml:space="preserve"> </w:t>
      </w:r>
      <w:r w:rsidRPr="00DD7BD1">
        <w:rPr>
          <w:rFonts w:ascii="Calibri" w:hAnsi="Calibri" w:cs="Calibri"/>
          <w:w w:val="110"/>
        </w:rPr>
        <w:t>unlawful</w:t>
      </w:r>
      <w:r w:rsidRPr="00DD7BD1">
        <w:rPr>
          <w:rFonts w:ascii="Calibri" w:hAnsi="Calibri" w:cs="Calibri"/>
          <w:spacing w:val="-7"/>
          <w:w w:val="110"/>
        </w:rPr>
        <w:t xml:space="preserve"> </w:t>
      </w:r>
      <w:r w:rsidRPr="00DD7BD1">
        <w:rPr>
          <w:rFonts w:ascii="Calibri" w:hAnsi="Calibri" w:cs="Calibri"/>
          <w:w w:val="110"/>
        </w:rPr>
        <w:t>by any federal or</w:t>
      </w:r>
      <w:r w:rsidRPr="00DD7BD1">
        <w:rPr>
          <w:rFonts w:ascii="Calibri" w:hAnsi="Calibri" w:cs="Calibri"/>
          <w:spacing w:val="-3"/>
          <w:w w:val="110"/>
        </w:rPr>
        <w:t xml:space="preserve"> </w:t>
      </w:r>
      <w:r w:rsidRPr="00DD7BD1">
        <w:rPr>
          <w:rFonts w:ascii="Calibri" w:hAnsi="Calibri" w:cs="Calibri"/>
          <w:w w:val="110"/>
        </w:rPr>
        <w:t>Illinois state employment law,</w:t>
      </w:r>
      <w:r w:rsidRPr="00DD7BD1">
        <w:rPr>
          <w:rFonts w:ascii="Calibri" w:hAnsi="Calibri" w:cs="Calibri"/>
          <w:spacing w:val="-2"/>
          <w:w w:val="110"/>
        </w:rPr>
        <w:t xml:space="preserve"> </w:t>
      </w:r>
      <w:r w:rsidRPr="00DD7BD1">
        <w:rPr>
          <w:rFonts w:ascii="Calibri" w:hAnsi="Calibri" w:cs="Calibri"/>
          <w:w w:val="110"/>
        </w:rPr>
        <w:t>providing protections for</w:t>
      </w:r>
      <w:r w:rsidRPr="00DD7BD1">
        <w:rPr>
          <w:rFonts w:ascii="Calibri" w:hAnsi="Calibri" w:cs="Calibri"/>
          <w:spacing w:val="-3"/>
          <w:w w:val="110"/>
        </w:rPr>
        <w:t xml:space="preserve"> </w:t>
      </w:r>
      <w:r w:rsidRPr="00DD7BD1">
        <w:rPr>
          <w:rFonts w:ascii="Calibri" w:hAnsi="Calibri" w:cs="Calibri"/>
          <w:w w:val="110"/>
        </w:rPr>
        <w:t>employees participating in “concerted activity”</w:t>
      </w:r>
    </w:p>
    <w:p w14:paraId="75EA3D04"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adds</w:t>
      </w:r>
      <w:r w:rsidRPr="00DD7BD1">
        <w:rPr>
          <w:rFonts w:ascii="Calibri" w:hAnsi="Calibri" w:cs="Calibri"/>
          <w:spacing w:val="-13"/>
          <w:w w:val="110"/>
        </w:rPr>
        <w:t xml:space="preserve"> </w:t>
      </w:r>
      <w:r w:rsidRPr="00DD7BD1">
        <w:rPr>
          <w:rFonts w:ascii="Calibri" w:hAnsi="Calibri" w:cs="Calibri"/>
          <w:w w:val="110"/>
        </w:rPr>
        <w:t>restrictions</w:t>
      </w:r>
      <w:r w:rsidRPr="00DD7BD1">
        <w:rPr>
          <w:rFonts w:ascii="Calibri" w:hAnsi="Calibri" w:cs="Calibri"/>
          <w:spacing w:val="-13"/>
          <w:w w:val="110"/>
        </w:rPr>
        <w:t xml:space="preserve"> </w:t>
      </w:r>
      <w:r w:rsidRPr="00DD7BD1">
        <w:rPr>
          <w:rFonts w:ascii="Calibri" w:hAnsi="Calibri" w:cs="Calibri"/>
          <w:w w:val="110"/>
        </w:rPr>
        <w:t>on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use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certain</w:t>
      </w:r>
      <w:r w:rsidRPr="00DD7BD1">
        <w:rPr>
          <w:rFonts w:ascii="Calibri" w:hAnsi="Calibri" w:cs="Calibri"/>
          <w:spacing w:val="-14"/>
          <w:w w:val="110"/>
        </w:rPr>
        <w:t xml:space="preserve"> </w:t>
      </w:r>
      <w:r w:rsidRPr="00DD7BD1">
        <w:rPr>
          <w:rFonts w:ascii="Calibri" w:hAnsi="Calibri" w:cs="Calibri"/>
          <w:w w:val="110"/>
        </w:rPr>
        <w:t>“unilateral”</w:t>
      </w:r>
      <w:r w:rsidRPr="00DD7BD1">
        <w:rPr>
          <w:rFonts w:ascii="Calibri" w:hAnsi="Calibri" w:cs="Calibri"/>
          <w:spacing w:val="-14"/>
          <w:w w:val="110"/>
        </w:rPr>
        <w:t xml:space="preserve"> </w:t>
      </w:r>
      <w:r w:rsidRPr="00DD7BD1">
        <w:rPr>
          <w:rFonts w:ascii="Calibri" w:hAnsi="Calibri" w:cs="Calibri"/>
          <w:w w:val="110"/>
        </w:rPr>
        <w:t>conditions</w:t>
      </w:r>
      <w:r w:rsidRPr="00DD7BD1">
        <w:rPr>
          <w:rFonts w:ascii="Calibri" w:hAnsi="Calibri" w:cs="Calibri"/>
          <w:spacing w:val="-11"/>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agreements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expand</w:t>
      </w:r>
      <w:r w:rsidRPr="00DD7BD1">
        <w:rPr>
          <w:rFonts w:ascii="Calibri" w:hAnsi="Calibri" w:cs="Calibri"/>
          <w:spacing w:val="-11"/>
          <w:w w:val="110"/>
        </w:rPr>
        <w:t xml:space="preserve"> </w:t>
      </w:r>
      <w:r w:rsidRPr="00DD7BD1">
        <w:rPr>
          <w:rFonts w:ascii="Calibri" w:hAnsi="Calibri" w:cs="Calibri"/>
          <w:w w:val="110"/>
        </w:rPr>
        <w:t>the requirements for certain legally enforceable “mutual” conditions and agreements, as well as for certain confidentiality provisions in termination and settlement agreements</w:t>
      </w:r>
    </w:p>
    <w:p w14:paraId="3633BB3D"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w w:val="110"/>
        </w:rPr>
        <w:t>introduces</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0"/>
          <w:w w:val="110"/>
        </w:rPr>
        <w:t xml:space="preserve"> </w:t>
      </w:r>
      <w:r w:rsidRPr="00DD7BD1">
        <w:rPr>
          <w:rFonts w:ascii="Calibri" w:hAnsi="Calibri" w:cs="Calibri"/>
          <w:w w:val="110"/>
        </w:rPr>
        <w:t>new</w:t>
      </w:r>
      <w:r w:rsidRPr="00DD7BD1">
        <w:rPr>
          <w:rFonts w:ascii="Calibri" w:hAnsi="Calibri" w:cs="Calibri"/>
          <w:spacing w:val="-8"/>
          <w:w w:val="110"/>
        </w:rPr>
        <w:t xml:space="preserve"> </w:t>
      </w:r>
      <w:r w:rsidRPr="00DD7BD1">
        <w:rPr>
          <w:rFonts w:ascii="Calibri" w:hAnsi="Calibri" w:cs="Calibri"/>
          <w:w w:val="110"/>
        </w:rPr>
        <w:t>remedy</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8"/>
          <w:w w:val="110"/>
        </w:rPr>
        <w:t xml:space="preserve"> </w:t>
      </w:r>
      <w:r w:rsidRPr="00DD7BD1">
        <w:rPr>
          <w:rFonts w:ascii="Calibri" w:hAnsi="Calibri" w:cs="Calibri"/>
          <w:w w:val="110"/>
        </w:rPr>
        <w:t>consequential</w:t>
      </w:r>
      <w:r w:rsidRPr="00DD7BD1">
        <w:rPr>
          <w:rFonts w:ascii="Calibri" w:hAnsi="Calibri" w:cs="Calibri"/>
          <w:spacing w:val="-10"/>
          <w:w w:val="110"/>
        </w:rPr>
        <w:t xml:space="preserve"> </w:t>
      </w:r>
      <w:r w:rsidRPr="00DD7BD1">
        <w:rPr>
          <w:rFonts w:ascii="Calibri" w:hAnsi="Calibri" w:cs="Calibri"/>
          <w:w w:val="110"/>
        </w:rPr>
        <w:t>damages</w:t>
      </w:r>
      <w:r w:rsidRPr="00DD7BD1">
        <w:rPr>
          <w:rFonts w:ascii="Calibri" w:hAnsi="Calibri" w:cs="Calibri"/>
          <w:spacing w:val="-6"/>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9"/>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pursue</w:t>
      </w:r>
      <w:r w:rsidRPr="00DD7BD1">
        <w:rPr>
          <w:rFonts w:ascii="Calibri" w:hAnsi="Calibri" w:cs="Calibri"/>
          <w:spacing w:val="-8"/>
          <w:w w:val="110"/>
        </w:rPr>
        <w:t xml:space="preserve"> </w:t>
      </w:r>
      <w:r w:rsidRPr="00DD7BD1">
        <w:rPr>
          <w:rFonts w:ascii="Calibri" w:hAnsi="Calibri" w:cs="Calibri"/>
          <w:w w:val="110"/>
        </w:rPr>
        <w:t>in</w:t>
      </w:r>
      <w:r w:rsidRPr="00DD7BD1">
        <w:rPr>
          <w:rFonts w:ascii="Calibri" w:hAnsi="Calibri" w:cs="Calibri"/>
          <w:spacing w:val="-10"/>
          <w:w w:val="110"/>
        </w:rPr>
        <w:t xml:space="preserve"> </w:t>
      </w:r>
      <w:r w:rsidRPr="00DD7BD1">
        <w:rPr>
          <w:rFonts w:ascii="Calibri" w:hAnsi="Calibri" w:cs="Calibri"/>
          <w:w w:val="110"/>
        </w:rPr>
        <w:t>addition</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spacing w:val="-2"/>
          <w:w w:val="110"/>
        </w:rPr>
        <w:t>attorney’s</w:t>
      </w:r>
    </w:p>
    <w:p w14:paraId="79A2E581"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5"/>
          <w:szCs w:val="22"/>
        </w:rPr>
        <w:t>fees</w:t>
      </w:r>
      <w:r w:rsidRPr="00DD7BD1">
        <w:rPr>
          <w:rFonts w:cs="Calibri"/>
          <w:color w:val="auto"/>
          <w:spacing w:val="-9"/>
          <w:w w:val="115"/>
          <w:szCs w:val="22"/>
        </w:rPr>
        <w:t xml:space="preserve"> </w:t>
      </w:r>
      <w:r w:rsidRPr="00DD7BD1">
        <w:rPr>
          <w:rFonts w:cs="Calibri"/>
          <w:color w:val="auto"/>
          <w:w w:val="115"/>
          <w:szCs w:val="22"/>
        </w:rPr>
        <w:t>and</w:t>
      </w:r>
      <w:r w:rsidRPr="00DD7BD1">
        <w:rPr>
          <w:rFonts w:cs="Calibri"/>
          <w:color w:val="auto"/>
          <w:spacing w:val="-8"/>
          <w:w w:val="115"/>
          <w:szCs w:val="22"/>
        </w:rPr>
        <w:t xml:space="preserve"> </w:t>
      </w:r>
      <w:r w:rsidRPr="00DD7BD1">
        <w:rPr>
          <w:rFonts w:cs="Calibri"/>
          <w:color w:val="auto"/>
          <w:spacing w:val="-2"/>
          <w:w w:val="115"/>
          <w:szCs w:val="22"/>
        </w:rPr>
        <w:t>costs</w:t>
      </w:r>
    </w:p>
    <w:p w14:paraId="794B779A"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spacing w:val="2"/>
        </w:rPr>
        <w:t>continues</w:t>
      </w:r>
      <w:r w:rsidRPr="00DD7BD1">
        <w:rPr>
          <w:rFonts w:ascii="Calibri" w:hAnsi="Calibri" w:cs="Calibri"/>
          <w:spacing w:val="36"/>
        </w:rPr>
        <w:t xml:space="preserve"> </w:t>
      </w:r>
      <w:r w:rsidRPr="00DD7BD1">
        <w:rPr>
          <w:rFonts w:ascii="Calibri" w:hAnsi="Calibri" w:cs="Calibri"/>
          <w:spacing w:val="2"/>
        </w:rPr>
        <w:t>to</w:t>
      </w:r>
      <w:r w:rsidRPr="00DD7BD1">
        <w:rPr>
          <w:rFonts w:ascii="Calibri" w:hAnsi="Calibri" w:cs="Calibri"/>
          <w:spacing w:val="33"/>
        </w:rPr>
        <w:t xml:space="preserve"> </w:t>
      </w:r>
      <w:r w:rsidRPr="00DD7BD1">
        <w:rPr>
          <w:rFonts w:ascii="Calibri" w:hAnsi="Calibri" w:cs="Calibri"/>
          <w:spacing w:val="2"/>
        </w:rPr>
        <w:t>provide</w:t>
      </w:r>
      <w:r w:rsidRPr="00DD7BD1">
        <w:rPr>
          <w:rFonts w:ascii="Calibri" w:hAnsi="Calibri" w:cs="Calibri"/>
          <w:spacing w:val="37"/>
        </w:rPr>
        <w:t xml:space="preserve"> </w:t>
      </w:r>
      <w:r w:rsidRPr="00DD7BD1">
        <w:rPr>
          <w:rFonts w:ascii="Calibri" w:hAnsi="Calibri" w:cs="Calibri"/>
          <w:spacing w:val="2"/>
        </w:rPr>
        <w:t>that</w:t>
      </w:r>
      <w:r w:rsidRPr="00DD7BD1">
        <w:rPr>
          <w:rFonts w:ascii="Calibri" w:hAnsi="Calibri" w:cs="Calibri"/>
          <w:spacing w:val="37"/>
        </w:rPr>
        <w:t xml:space="preserve"> </w:t>
      </w:r>
      <w:r w:rsidRPr="00DD7BD1">
        <w:rPr>
          <w:rFonts w:ascii="Calibri" w:hAnsi="Calibri" w:cs="Calibri"/>
          <w:spacing w:val="2"/>
        </w:rPr>
        <w:t>protected</w:t>
      </w:r>
      <w:r w:rsidRPr="00DD7BD1">
        <w:rPr>
          <w:rFonts w:ascii="Calibri" w:hAnsi="Calibri" w:cs="Calibri"/>
          <w:spacing w:val="36"/>
        </w:rPr>
        <w:t xml:space="preserve"> </w:t>
      </w:r>
      <w:r w:rsidRPr="00DD7BD1">
        <w:rPr>
          <w:rFonts w:ascii="Calibri" w:hAnsi="Calibri" w:cs="Calibri"/>
          <w:spacing w:val="2"/>
        </w:rPr>
        <w:t>“Employees”</w:t>
      </w:r>
      <w:r w:rsidRPr="00DD7BD1">
        <w:rPr>
          <w:rFonts w:ascii="Calibri" w:hAnsi="Calibri" w:cs="Calibri"/>
          <w:spacing w:val="37"/>
        </w:rPr>
        <w:t xml:space="preserve"> </w:t>
      </w:r>
      <w:r w:rsidRPr="00DD7BD1">
        <w:rPr>
          <w:rFonts w:ascii="Calibri" w:hAnsi="Calibri" w:cs="Calibri"/>
          <w:spacing w:val="2"/>
        </w:rPr>
        <w:t>include</w:t>
      </w:r>
      <w:r w:rsidRPr="00DD7BD1">
        <w:rPr>
          <w:rFonts w:ascii="Calibri" w:hAnsi="Calibri" w:cs="Calibri"/>
          <w:spacing w:val="33"/>
        </w:rPr>
        <w:t xml:space="preserve"> </w:t>
      </w:r>
      <w:r w:rsidRPr="00DD7BD1">
        <w:rPr>
          <w:rFonts w:ascii="Calibri" w:hAnsi="Calibri" w:cs="Calibri"/>
          <w:spacing w:val="2"/>
        </w:rPr>
        <w:t>“‘nonemployees’</w:t>
      </w:r>
      <w:r w:rsidRPr="00DD7BD1">
        <w:rPr>
          <w:rFonts w:ascii="Calibri" w:hAnsi="Calibri" w:cs="Calibri"/>
          <w:spacing w:val="29"/>
        </w:rPr>
        <w:t xml:space="preserve"> </w:t>
      </w:r>
      <w:r w:rsidRPr="00DD7BD1">
        <w:rPr>
          <w:rFonts w:ascii="Calibri" w:hAnsi="Calibri" w:cs="Calibri"/>
          <w:spacing w:val="2"/>
        </w:rPr>
        <w:t>as</w:t>
      </w:r>
      <w:r w:rsidRPr="00DD7BD1">
        <w:rPr>
          <w:rFonts w:ascii="Calibri" w:hAnsi="Calibri" w:cs="Calibri"/>
          <w:spacing w:val="37"/>
        </w:rPr>
        <w:t xml:space="preserve"> </w:t>
      </w:r>
      <w:r w:rsidRPr="00DD7BD1">
        <w:rPr>
          <w:rFonts w:ascii="Calibri" w:hAnsi="Calibri" w:cs="Calibri"/>
          <w:spacing w:val="2"/>
        </w:rPr>
        <w:t>defined</w:t>
      </w:r>
      <w:r w:rsidRPr="00DD7BD1">
        <w:rPr>
          <w:rFonts w:ascii="Calibri" w:hAnsi="Calibri" w:cs="Calibri"/>
          <w:spacing w:val="37"/>
        </w:rPr>
        <w:t xml:space="preserve"> </w:t>
      </w:r>
      <w:r w:rsidRPr="00DD7BD1">
        <w:rPr>
          <w:rFonts w:ascii="Calibri" w:hAnsi="Calibri" w:cs="Calibri"/>
          <w:spacing w:val="2"/>
        </w:rPr>
        <w:t>in</w:t>
      </w:r>
      <w:r w:rsidRPr="00DD7BD1">
        <w:rPr>
          <w:rFonts w:ascii="Calibri" w:hAnsi="Calibri" w:cs="Calibri"/>
          <w:spacing w:val="33"/>
        </w:rPr>
        <w:t xml:space="preserve"> </w:t>
      </w:r>
      <w:r w:rsidRPr="00DD7BD1">
        <w:rPr>
          <w:rFonts w:ascii="Calibri" w:hAnsi="Calibri" w:cs="Calibri"/>
          <w:spacing w:val="2"/>
        </w:rPr>
        <w:t>Section</w:t>
      </w:r>
      <w:r w:rsidRPr="00DD7BD1">
        <w:rPr>
          <w:rFonts w:ascii="Calibri" w:hAnsi="Calibri" w:cs="Calibri"/>
          <w:spacing w:val="33"/>
        </w:rPr>
        <w:t xml:space="preserve"> </w:t>
      </w:r>
      <w:r w:rsidRPr="00DD7BD1">
        <w:rPr>
          <w:rFonts w:ascii="Calibri" w:hAnsi="Calibri" w:cs="Calibri"/>
          <w:spacing w:val="2"/>
        </w:rPr>
        <w:t>2-102</w:t>
      </w:r>
      <w:r w:rsidRPr="00DD7BD1">
        <w:rPr>
          <w:rFonts w:ascii="Calibri" w:hAnsi="Calibri" w:cs="Calibri"/>
          <w:spacing w:val="33"/>
        </w:rPr>
        <w:t xml:space="preserve"> </w:t>
      </w:r>
      <w:r w:rsidRPr="00DD7BD1">
        <w:rPr>
          <w:rFonts w:ascii="Calibri" w:hAnsi="Calibri" w:cs="Calibri"/>
          <w:spacing w:val="-5"/>
        </w:rPr>
        <w:t>of</w:t>
      </w:r>
    </w:p>
    <w:p w14:paraId="5F3844F5"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Human</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1"/>
          <w:w w:val="110"/>
          <w:szCs w:val="22"/>
        </w:rPr>
        <w:t xml:space="preserve"> </w:t>
      </w:r>
      <w:r w:rsidRPr="00DD7BD1">
        <w:rPr>
          <w:rFonts w:cs="Calibri"/>
          <w:color w:val="auto"/>
          <w:spacing w:val="-2"/>
          <w:w w:val="110"/>
          <w:szCs w:val="22"/>
        </w:rPr>
        <w:t>Act.”</w:t>
      </w:r>
    </w:p>
    <w:p w14:paraId="616E5E73" w14:textId="5C9FD064" w:rsidR="00A85628" w:rsidRPr="00DD7BD1" w:rsidRDefault="00A85628" w:rsidP="00A85628">
      <w:pPr>
        <w:pStyle w:val="BodyText"/>
        <w:spacing w:after="0" w:line="240" w:lineRule="auto"/>
        <w:ind w:right="-450"/>
        <w:jc w:val="left"/>
        <w:rPr>
          <w:rFonts w:cs="Calibri"/>
          <w:szCs w:val="22"/>
        </w:rPr>
      </w:pP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read</w:t>
      </w:r>
      <w:r w:rsidRPr="00DD7BD1">
        <w:rPr>
          <w:rFonts w:cs="Calibri"/>
          <w:color w:val="auto"/>
          <w:spacing w:val="-9"/>
          <w:w w:val="110"/>
          <w:szCs w:val="22"/>
        </w:rPr>
        <w:t xml:space="preserve"> </w:t>
      </w:r>
      <w:r w:rsidRPr="00DD7BD1">
        <w:rPr>
          <w:rFonts w:cs="Calibri"/>
          <w:color w:val="auto"/>
          <w:w w:val="110"/>
          <w:szCs w:val="22"/>
        </w:rPr>
        <w:t>more,</w:t>
      </w:r>
      <w:r w:rsidRPr="00DD7BD1">
        <w:rPr>
          <w:rFonts w:cs="Calibri"/>
          <w:color w:val="auto"/>
          <w:spacing w:val="-8"/>
          <w:w w:val="110"/>
          <w:szCs w:val="22"/>
        </w:rPr>
        <w:t xml:space="preserve"> </w:t>
      </w:r>
      <w:r w:rsidRPr="00DD7BD1">
        <w:rPr>
          <w:rFonts w:cs="Calibri"/>
          <w:color w:val="auto"/>
          <w:w w:val="110"/>
          <w:szCs w:val="22"/>
        </w:rPr>
        <w:t>access</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recent</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8"/>
          <w:w w:val="110"/>
          <w:szCs w:val="22"/>
        </w:rPr>
        <w:t xml:space="preserve"> </w:t>
      </w:r>
      <w:r w:rsidRPr="00DD7BD1">
        <w:rPr>
          <w:rFonts w:cs="Calibri"/>
          <w:color w:val="auto"/>
          <w:w w:val="110"/>
          <w:szCs w:val="22"/>
        </w:rPr>
        <w:t>published</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10"/>
          <w:w w:val="110"/>
          <w:szCs w:val="22"/>
        </w:rPr>
        <w:t xml:space="preserve"> </w:t>
      </w:r>
      <w:r w:rsidRPr="00DD7BD1">
        <w:rPr>
          <w:rFonts w:cs="Calibri"/>
          <w:color w:val="auto"/>
          <w:w w:val="110"/>
          <w:szCs w:val="22"/>
        </w:rPr>
        <w:t>27</w:t>
      </w:r>
      <w:r w:rsidRPr="00DD7BD1">
        <w:rPr>
          <w:rFonts w:cs="Calibri"/>
          <w:color w:val="auto"/>
          <w:w w:val="110"/>
          <w:szCs w:val="22"/>
          <w:vertAlign w:val="superscript"/>
        </w:rPr>
        <w:t>th</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Morgan</w:t>
      </w:r>
      <w:r w:rsidRPr="00DD7BD1">
        <w:rPr>
          <w:rFonts w:cs="Calibri"/>
          <w:color w:val="auto"/>
          <w:spacing w:val="-11"/>
          <w:w w:val="110"/>
          <w:szCs w:val="22"/>
        </w:rPr>
        <w:t xml:space="preserve"> </w:t>
      </w:r>
      <w:r w:rsidRPr="00DD7BD1">
        <w:rPr>
          <w:rFonts w:cs="Calibri"/>
          <w:color w:val="auto"/>
          <w:w w:val="110"/>
          <w:szCs w:val="22"/>
        </w:rPr>
        <w:t>Lewis</w:t>
      </w:r>
      <w:r w:rsidRPr="00DD7BD1">
        <w:rPr>
          <w:rFonts w:cs="Calibri"/>
          <w:color w:val="auto"/>
          <w:spacing w:val="-7"/>
          <w:w w:val="110"/>
          <w:szCs w:val="22"/>
        </w:rPr>
        <w:t xml:space="preserve"> </w:t>
      </w:r>
      <w:r w:rsidRPr="00DD7BD1">
        <w:rPr>
          <w:rFonts w:cs="Calibri"/>
          <w:color w:val="auto"/>
          <w:w w:val="110"/>
          <w:szCs w:val="22"/>
        </w:rPr>
        <w:t>Firm</w:t>
      </w:r>
      <w:r w:rsidRPr="00DD7BD1">
        <w:rPr>
          <w:rFonts w:cs="Calibri"/>
          <w:color w:val="auto"/>
          <w:spacing w:val="-7"/>
          <w:w w:val="110"/>
          <w:szCs w:val="22"/>
        </w:rPr>
        <w:t xml:space="preserve"> </w:t>
      </w:r>
      <w:r w:rsidRPr="00DD7BD1">
        <w:rPr>
          <w:rFonts w:cs="Calibri"/>
          <w:color w:val="auto"/>
          <w:w w:val="110"/>
          <w:szCs w:val="22"/>
        </w:rPr>
        <w:t>accessible</w:t>
      </w:r>
      <w:r w:rsidRPr="00DD7BD1">
        <w:rPr>
          <w:rFonts w:cs="Calibri"/>
          <w:color w:val="auto"/>
          <w:spacing w:val="-6"/>
          <w:w w:val="110"/>
          <w:szCs w:val="22"/>
        </w:rPr>
        <w:t xml:space="preserve"> </w:t>
      </w:r>
      <w:hyperlink r:id="rId724">
        <w:r w:rsidRPr="00DD7BD1">
          <w:rPr>
            <w:rFonts w:cs="Calibri"/>
            <w:b/>
            <w:color w:val="0000FF"/>
            <w:spacing w:val="-4"/>
            <w:w w:val="110"/>
            <w:szCs w:val="22"/>
            <w:u w:val="single" w:color="0000FF"/>
          </w:rPr>
          <w:t>HERE</w:t>
        </w:r>
      </w:hyperlink>
      <w:r w:rsidR="00C665E8" w:rsidRPr="00DD7BD1">
        <w:rPr>
          <w:rFonts w:cs="Calibri"/>
        </w:rPr>
        <w:t xml:space="preserve"> </w:t>
      </w:r>
      <w:r w:rsidR="00C665E8" w:rsidRPr="00DD7BD1">
        <w:rPr>
          <w:rFonts w:cs="Calibri"/>
          <w:color w:val="auto"/>
          <w:w w:val="110"/>
          <w:szCs w:val="22"/>
        </w:rPr>
        <w:t xml:space="preserve">or the October 27th article published by Benesch Attorneys at Law </w:t>
      </w:r>
      <w:hyperlink r:id="rId725" w:history="1">
        <w:r w:rsidR="00C665E8" w:rsidRPr="00DD7BD1">
          <w:rPr>
            <w:rStyle w:val="Hyperlink"/>
            <w:rFonts w:cs="Calibri"/>
            <w:b/>
            <w:bCs/>
            <w:w w:val="110"/>
            <w:szCs w:val="22"/>
          </w:rPr>
          <w:t>HERE</w:t>
        </w:r>
      </w:hyperlink>
    </w:p>
    <w:p w14:paraId="17EBBBA1" w14:textId="77777777" w:rsidR="00A85628" w:rsidRPr="00DD7BD1" w:rsidRDefault="00A85628" w:rsidP="00A85628">
      <w:pPr>
        <w:pStyle w:val="BodyText"/>
        <w:spacing w:after="0" w:line="240" w:lineRule="auto"/>
        <w:ind w:right="-450"/>
        <w:jc w:val="left"/>
        <w:rPr>
          <w:rFonts w:cs="Calibri"/>
          <w:b/>
          <w:szCs w:val="22"/>
        </w:rPr>
      </w:pPr>
    </w:p>
    <w:p w14:paraId="622A45A8" w14:textId="6CD33AB3" w:rsidR="00A85628" w:rsidRPr="00DD7BD1" w:rsidRDefault="00A85628" w:rsidP="00A85628">
      <w:pPr>
        <w:pStyle w:val="Heading1"/>
        <w:spacing w:before="0" w:beforeAutospacing="0" w:after="0" w:afterAutospacing="0"/>
        <w:ind w:left="720" w:right="-274"/>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State Amends Equal Pay Act to Separate It from Federal EEO-1 Reporting</w:t>
      </w:r>
    </w:p>
    <w:p w14:paraId="0ABF1CBF"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Illinois</w:t>
      </w:r>
      <w:r w:rsidRPr="00DD7BD1">
        <w:rPr>
          <w:rFonts w:cs="Calibri"/>
          <w:color w:val="auto"/>
          <w:spacing w:val="-8"/>
          <w:w w:val="110"/>
          <w:szCs w:val="22"/>
        </w:rPr>
        <w:t xml:space="preserve"> </w:t>
      </w:r>
      <w:r w:rsidRPr="00DD7BD1">
        <w:rPr>
          <w:rFonts w:cs="Calibri"/>
          <w:color w:val="auto"/>
          <w:w w:val="110"/>
          <w:szCs w:val="22"/>
        </w:rPr>
        <w:t>has</w:t>
      </w:r>
      <w:r w:rsidRPr="00DD7BD1">
        <w:rPr>
          <w:rFonts w:cs="Calibri"/>
          <w:color w:val="auto"/>
          <w:spacing w:val="-8"/>
          <w:w w:val="110"/>
          <w:szCs w:val="22"/>
        </w:rPr>
        <w:t xml:space="preserve"> </w:t>
      </w:r>
      <w:r w:rsidRPr="00DD7BD1">
        <w:rPr>
          <w:rFonts w:cs="Calibri"/>
          <w:color w:val="auto"/>
          <w:w w:val="110"/>
          <w:szCs w:val="22"/>
        </w:rPr>
        <w:t>amended</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9"/>
          <w:w w:val="110"/>
          <w:szCs w:val="22"/>
        </w:rPr>
        <w:t xml:space="preserve"> </w:t>
      </w:r>
      <w:r w:rsidRPr="00DD7BD1">
        <w:rPr>
          <w:rFonts w:cs="Calibri"/>
          <w:color w:val="auto"/>
          <w:w w:val="110"/>
          <w:szCs w:val="22"/>
        </w:rPr>
        <w:t>Equal</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remove</w:t>
      </w:r>
      <w:r w:rsidRPr="00DD7BD1">
        <w:rPr>
          <w:rFonts w:cs="Calibri"/>
          <w:color w:val="auto"/>
          <w:spacing w:val="-8"/>
          <w:w w:val="110"/>
          <w:szCs w:val="22"/>
        </w:rPr>
        <w:t xml:space="preserve"> </w:t>
      </w:r>
      <w:r w:rsidRPr="00DD7BD1">
        <w:rPr>
          <w:rFonts w:cs="Calibri"/>
          <w:color w:val="auto"/>
          <w:w w:val="110"/>
          <w:szCs w:val="22"/>
        </w:rPr>
        <w:t>references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EEO-1</w:t>
      </w:r>
      <w:r w:rsidRPr="00DD7BD1">
        <w:rPr>
          <w:rFonts w:cs="Calibri"/>
          <w:color w:val="auto"/>
          <w:spacing w:val="-8"/>
          <w:w w:val="110"/>
          <w:szCs w:val="22"/>
        </w:rPr>
        <w:t xml:space="preserve"> </w:t>
      </w:r>
      <w:r w:rsidRPr="00DD7BD1">
        <w:rPr>
          <w:rFonts w:cs="Calibri"/>
          <w:color w:val="auto"/>
          <w:w w:val="110"/>
          <w:szCs w:val="22"/>
        </w:rPr>
        <w:t>Annual</w:t>
      </w:r>
      <w:r w:rsidRPr="00DD7BD1">
        <w:rPr>
          <w:rFonts w:cs="Calibri"/>
          <w:color w:val="auto"/>
          <w:spacing w:val="-10"/>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 xml:space="preserve">Report. </w:t>
      </w:r>
      <w:r w:rsidRPr="00DD7BD1">
        <w:rPr>
          <w:rFonts w:cs="Calibri"/>
          <w:color w:val="auto"/>
          <w:spacing w:val="-2"/>
          <w:w w:val="110"/>
          <w:szCs w:val="22"/>
        </w:rPr>
        <w:t>References</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3"/>
          <w:w w:val="110"/>
          <w:szCs w:val="22"/>
        </w:rPr>
        <w:t xml:space="preserve"> </w:t>
      </w:r>
      <w:r w:rsidRPr="00DD7BD1">
        <w:rPr>
          <w:rFonts w:cs="Calibri"/>
          <w:color w:val="auto"/>
          <w:spacing w:val="-2"/>
          <w:w w:val="110"/>
          <w:szCs w:val="22"/>
        </w:rPr>
        <w:t>EEO-1</w:t>
      </w:r>
      <w:r w:rsidRPr="00DD7BD1">
        <w:rPr>
          <w:rFonts w:cs="Calibri"/>
          <w:color w:val="auto"/>
          <w:spacing w:val="-12"/>
          <w:w w:val="110"/>
          <w:szCs w:val="22"/>
        </w:rPr>
        <w:t xml:space="preserve"> </w:t>
      </w:r>
      <w:r w:rsidRPr="00DD7BD1">
        <w:rPr>
          <w:rFonts w:cs="Calibri"/>
          <w:color w:val="auto"/>
          <w:spacing w:val="-2"/>
          <w:w w:val="110"/>
          <w:szCs w:val="22"/>
        </w:rPr>
        <w:t>report</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10"/>
          <w:w w:val="110"/>
          <w:szCs w:val="22"/>
        </w:rPr>
        <w:t xml:space="preserve"> </w:t>
      </w:r>
      <w:r w:rsidRPr="00DD7BD1">
        <w:rPr>
          <w:rFonts w:cs="Calibri"/>
          <w:color w:val="auto"/>
          <w:spacing w:val="-2"/>
          <w:w w:val="110"/>
          <w:szCs w:val="22"/>
        </w:rPr>
        <w:t>EEOC</w:t>
      </w:r>
      <w:r w:rsidRPr="00DD7BD1">
        <w:rPr>
          <w:rFonts w:cs="Calibri"/>
          <w:color w:val="auto"/>
          <w:spacing w:val="-10"/>
          <w:w w:val="110"/>
          <w:szCs w:val="22"/>
        </w:rPr>
        <w:t xml:space="preserve"> </w:t>
      </w:r>
      <w:r w:rsidRPr="00DD7BD1">
        <w:rPr>
          <w:rFonts w:cs="Calibri"/>
          <w:color w:val="auto"/>
          <w:spacing w:val="-2"/>
          <w:w w:val="110"/>
          <w:szCs w:val="22"/>
        </w:rPr>
        <w:t>itself</w:t>
      </w:r>
      <w:r w:rsidRPr="00DD7BD1">
        <w:rPr>
          <w:rFonts w:cs="Calibri"/>
          <w:color w:val="auto"/>
          <w:spacing w:val="-11"/>
          <w:w w:val="110"/>
          <w:szCs w:val="22"/>
        </w:rPr>
        <w:t xml:space="preserve"> </w:t>
      </w:r>
      <w:r w:rsidRPr="00DD7BD1">
        <w:rPr>
          <w:rFonts w:cs="Calibri"/>
          <w:color w:val="auto"/>
          <w:spacing w:val="-2"/>
          <w:w w:val="110"/>
          <w:szCs w:val="22"/>
        </w:rPr>
        <w:t>have</w:t>
      </w:r>
      <w:r w:rsidRPr="00DD7BD1">
        <w:rPr>
          <w:rFonts w:cs="Calibri"/>
          <w:color w:val="auto"/>
          <w:spacing w:val="-12"/>
          <w:w w:val="110"/>
          <w:szCs w:val="22"/>
        </w:rPr>
        <w:t xml:space="preserve"> </w:t>
      </w:r>
      <w:r w:rsidRPr="00DD7BD1">
        <w:rPr>
          <w:rFonts w:cs="Calibri"/>
          <w:color w:val="auto"/>
          <w:spacing w:val="-2"/>
          <w:w w:val="110"/>
          <w:szCs w:val="22"/>
        </w:rPr>
        <w:t>been</w:t>
      </w:r>
      <w:r w:rsidRPr="00DD7BD1">
        <w:rPr>
          <w:rFonts w:cs="Calibri"/>
          <w:color w:val="auto"/>
          <w:spacing w:val="-10"/>
          <w:w w:val="110"/>
          <w:szCs w:val="22"/>
        </w:rPr>
        <w:t xml:space="preserve"> </w:t>
      </w:r>
      <w:r w:rsidRPr="00DD7BD1">
        <w:rPr>
          <w:rFonts w:cs="Calibri"/>
          <w:color w:val="auto"/>
          <w:spacing w:val="-2"/>
          <w:w w:val="110"/>
          <w:szCs w:val="22"/>
        </w:rPr>
        <w:t>removed</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1"/>
          <w:w w:val="110"/>
          <w:szCs w:val="22"/>
        </w:rPr>
        <w:t xml:space="preserve"> </w:t>
      </w:r>
      <w:r w:rsidRPr="00DD7BD1">
        <w:rPr>
          <w:rFonts w:cs="Calibri"/>
          <w:color w:val="auto"/>
          <w:spacing w:val="-2"/>
          <w:w w:val="110"/>
          <w:szCs w:val="22"/>
        </w:rPr>
        <w:t>4</w:t>
      </w:r>
      <w:r w:rsidRPr="00DD7BD1">
        <w:rPr>
          <w:rFonts w:cs="Calibri"/>
          <w:color w:val="auto"/>
          <w:spacing w:val="-12"/>
          <w:w w:val="110"/>
          <w:szCs w:val="22"/>
        </w:rPr>
        <w:t xml:space="preserve"> </w:t>
      </w:r>
      <w:r w:rsidRPr="00DD7BD1">
        <w:rPr>
          <w:rFonts w:cs="Calibri"/>
          <w:color w:val="auto"/>
          <w:spacing w:val="-2"/>
          <w:w w:val="110"/>
          <w:szCs w:val="22"/>
        </w:rPr>
        <w:t>places.</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2"/>
          <w:w w:val="110"/>
          <w:szCs w:val="22"/>
        </w:rPr>
        <w:t xml:space="preserve"> </w:t>
      </w:r>
      <w:r w:rsidRPr="00DD7BD1">
        <w:rPr>
          <w:rFonts w:cs="Calibri"/>
          <w:color w:val="auto"/>
          <w:spacing w:val="-2"/>
          <w:w w:val="110"/>
          <w:szCs w:val="22"/>
        </w:rPr>
        <w:t>“business”</w:t>
      </w:r>
      <w:r w:rsidRPr="00DD7BD1">
        <w:rPr>
          <w:rFonts w:cs="Calibri"/>
          <w:color w:val="auto"/>
          <w:spacing w:val="-10"/>
          <w:w w:val="110"/>
          <w:szCs w:val="22"/>
        </w:rPr>
        <w:t xml:space="preserve"> </w:t>
      </w:r>
      <w:r w:rsidRPr="00DD7BD1">
        <w:rPr>
          <w:rFonts w:cs="Calibri"/>
          <w:color w:val="auto"/>
          <w:spacing w:val="-2"/>
          <w:w w:val="110"/>
          <w:szCs w:val="22"/>
        </w:rPr>
        <w:t>now</w:t>
      </w:r>
      <w:r w:rsidRPr="00DD7BD1">
        <w:rPr>
          <w:rFonts w:cs="Calibri"/>
          <w:color w:val="auto"/>
          <w:spacing w:val="-11"/>
          <w:w w:val="110"/>
          <w:szCs w:val="22"/>
        </w:rPr>
        <w:t xml:space="preserve"> </w:t>
      </w:r>
      <w:r w:rsidRPr="00DD7BD1">
        <w:rPr>
          <w:rFonts w:cs="Calibri"/>
          <w:color w:val="auto"/>
          <w:spacing w:val="-2"/>
          <w:w w:val="110"/>
          <w:szCs w:val="22"/>
        </w:rPr>
        <w:t>only</w:t>
      </w:r>
      <w:r w:rsidRPr="00DD7BD1">
        <w:rPr>
          <w:rFonts w:cs="Calibri"/>
          <w:color w:val="auto"/>
          <w:spacing w:val="-12"/>
          <w:w w:val="110"/>
          <w:szCs w:val="22"/>
        </w:rPr>
        <w:t xml:space="preserve"> </w:t>
      </w:r>
      <w:r w:rsidRPr="00DD7BD1">
        <w:rPr>
          <w:rFonts w:cs="Calibri"/>
          <w:color w:val="auto"/>
          <w:spacing w:val="-2"/>
          <w:w w:val="110"/>
          <w:szCs w:val="22"/>
        </w:rPr>
        <w:t>needs</w:t>
      </w:r>
      <w:r w:rsidRPr="00DD7BD1">
        <w:rPr>
          <w:rFonts w:cs="Calibri"/>
          <w:color w:val="auto"/>
          <w:spacing w:val="-12"/>
          <w:w w:val="110"/>
          <w:szCs w:val="22"/>
        </w:rPr>
        <w:t xml:space="preserve"> </w:t>
      </w:r>
      <w:r w:rsidRPr="00DD7BD1">
        <w:rPr>
          <w:rFonts w:cs="Calibri"/>
          <w:color w:val="auto"/>
          <w:spacing w:val="-2"/>
          <w:w w:val="110"/>
          <w:szCs w:val="22"/>
        </w:rPr>
        <w:t xml:space="preserve">to </w:t>
      </w:r>
      <w:r w:rsidRPr="00DD7BD1">
        <w:rPr>
          <w:rFonts w:cs="Calibri"/>
          <w:color w:val="auto"/>
          <w:w w:val="110"/>
          <w:szCs w:val="22"/>
        </w:rPr>
        <w:t>be a private employer who has 100 or more employees in the State of Illinois. Reference to the business being 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have</w:t>
      </w:r>
      <w:r w:rsidRPr="00DD7BD1">
        <w:rPr>
          <w:rFonts w:cs="Calibri"/>
          <w:color w:val="auto"/>
          <w:spacing w:val="-14"/>
          <w:w w:val="110"/>
          <w:szCs w:val="22"/>
        </w:rPr>
        <w:t xml:space="preserve"> </w:t>
      </w:r>
      <w:r w:rsidRPr="00DD7BD1">
        <w:rPr>
          <w:rFonts w:cs="Calibri"/>
          <w:color w:val="auto"/>
          <w:w w:val="110"/>
          <w:szCs w:val="22"/>
        </w:rPr>
        <w:t>filed</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5"/>
          <w:w w:val="110"/>
          <w:szCs w:val="22"/>
        </w:rPr>
        <w:t xml:space="preserve"> </w:t>
      </w:r>
      <w:r w:rsidRPr="00DD7BD1">
        <w:rPr>
          <w:rFonts w:cs="Calibri"/>
          <w:color w:val="auto"/>
          <w:w w:val="110"/>
          <w:szCs w:val="22"/>
        </w:rPr>
        <w:t>EEO-1</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Equal</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Opportunity Commission have been removed.</w:t>
      </w:r>
    </w:p>
    <w:p w14:paraId="60BE6F47" w14:textId="77777777" w:rsidR="00A85628" w:rsidRPr="00DD7BD1" w:rsidRDefault="00A85628" w:rsidP="00A85628">
      <w:pPr>
        <w:pStyle w:val="BodyText"/>
        <w:spacing w:after="0" w:line="240" w:lineRule="auto"/>
        <w:ind w:right="-274"/>
        <w:jc w:val="left"/>
        <w:rPr>
          <w:rFonts w:cs="Calibri"/>
          <w:color w:val="auto"/>
          <w:sz w:val="16"/>
          <w:szCs w:val="16"/>
        </w:rPr>
      </w:pPr>
    </w:p>
    <w:p w14:paraId="04BFD0DC" w14:textId="77777777" w:rsidR="00A85628" w:rsidRPr="00DD7BD1" w:rsidRDefault="00A85628" w:rsidP="00A85628">
      <w:pPr>
        <w:pStyle w:val="BodyText"/>
        <w:spacing w:after="0" w:line="240" w:lineRule="auto"/>
        <w:ind w:right="-274"/>
        <w:jc w:val="left"/>
        <w:rPr>
          <w:rFonts w:cs="Calibri"/>
          <w:w w:val="110"/>
          <w:szCs w:val="22"/>
        </w:rPr>
      </w:pPr>
      <w:r w:rsidRPr="00DD7BD1">
        <w:rPr>
          <w:rFonts w:cs="Calibri"/>
          <w:color w:val="auto"/>
          <w:w w:val="110"/>
          <w:szCs w:val="22"/>
        </w:rPr>
        <w:t>Although</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categories</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3"/>
          <w:w w:val="110"/>
          <w:szCs w:val="22"/>
        </w:rPr>
        <w:t xml:space="preserve"> </w:t>
      </w:r>
      <w:r w:rsidRPr="00DD7BD1">
        <w:rPr>
          <w:rFonts w:cs="Calibri"/>
          <w:color w:val="auto"/>
          <w:w w:val="110"/>
          <w:szCs w:val="22"/>
        </w:rPr>
        <w:t>remained</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now</w:t>
      </w:r>
      <w:r w:rsidRPr="00DD7BD1">
        <w:rPr>
          <w:rFonts w:cs="Calibri"/>
          <w:color w:val="auto"/>
          <w:spacing w:val="-14"/>
          <w:w w:val="110"/>
          <w:szCs w:val="22"/>
        </w:rPr>
        <w:t xml:space="preserve"> </w:t>
      </w:r>
      <w:r w:rsidRPr="00DD7BD1">
        <w:rPr>
          <w:rFonts w:cs="Calibri"/>
          <w:color w:val="auto"/>
          <w:w w:val="110"/>
          <w:szCs w:val="22"/>
        </w:rPr>
        <w:t>given</w:t>
      </w:r>
      <w:r w:rsidRPr="00DD7BD1">
        <w:rPr>
          <w:rFonts w:cs="Calibri"/>
          <w:color w:val="auto"/>
          <w:spacing w:val="-13"/>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specific</w:t>
      </w:r>
      <w:r w:rsidRPr="00DD7BD1">
        <w:rPr>
          <w:rFonts w:cs="Calibri"/>
          <w:color w:val="auto"/>
          <w:spacing w:val="-12"/>
          <w:w w:val="110"/>
          <w:szCs w:val="22"/>
        </w:rPr>
        <w:t xml:space="preserve"> </w:t>
      </w:r>
      <w:r w:rsidRPr="00DD7BD1">
        <w:rPr>
          <w:rFonts w:cs="Calibri"/>
          <w:color w:val="auto"/>
          <w:w w:val="110"/>
          <w:szCs w:val="22"/>
        </w:rPr>
        <w:t>definition</w:t>
      </w:r>
      <w:r w:rsidRPr="00DD7BD1">
        <w:rPr>
          <w:rFonts w:cs="Calibri"/>
          <w:color w:val="auto"/>
          <w:spacing w:val="-13"/>
          <w:w w:val="110"/>
          <w:szCs w:val="22"/>
        </w:rPr>
        <w:t xml:space="preserve"> </w:t>
      </w:r>
      <w:r w:rsidRPr="00DD7BD1">
        <w:rPr>
          <w:rFonts w:cs="Calibri"/>
          <w:color w:val="auto"/>
          <w:w w:val="110"/>
          <w:szCs w:val="22"/>
        </w:rPr>
        <w:t>within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are no</w:t>
      </w:r>
      <w:r w:rsidRPr="00DD7BD1">
        <w:rPr>
          <w:rFonts w:cs="Calibri"/>
          <w:color w:val="auto"/>
          <w:spacing w:val="-15"/>
          <w:w w:val="110"/>
          <w:szCs w:val="22"/>
        </w:rPr>
        <w:t xml:space="preserve"> </w:t>
      </w:r>
      <w:r w:rsidRPr="00DD7BD1">
        <w:rPr>
          <w:rFonts w:cs="Calibri"/>
          <w:color w:val="auto"/>
          <w:w w:val="110"/>
          <w:szCs w:val="22"/>
        </w:rPr>
        <w:t>longer</w:t>
      </w:r>
      <w:r w:rsidRPr="00DD7BD1">
        <w:rPr>
          <w:rFonts w:cs="Calibri"/>
          <w:color w:val="auto"/>
          <w:spacing w:val="-17"/>
          <w:w w:val="110"/>
          <w:szCs w:val="22"/>
        </w:rPr>
        <w:t xml:space="preserve"> </w:t>
      </w:r>
      <w:r w:rsidRPr="00DD7BD1">
        <w:rPr>
          <w:rFonts w:cs="Calibri"/>
          <w:color w:val="auto"/>
          <w:w w:val="110"/>
          <w:szCs w:val="22"/>
        </w:rPr>
        <w:t>formally</w:t>
      </w:r>
      <w:r w:rsidRPr="00DD7BD1">
        <w:rPr>
          <w:rFonts w:cs="Calibri"/>
          <w:color w:val="auto"/>
          <w:spacing w:val="-16"/>
          <w:w w:val="110"/>
          <w:szCs w:val="22"/>
        </w:rPr>
        <w:t xml:space="preserve">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upon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major</w:t>
      </w:r>
      <w:r w:rsidRPr="00DD7BD1">
        <w:rPr>
          <w:rFonts w:cs="Calibri"/>
          <w:color w:val="auto"/>
          <w:spacing w:val="-15"/>
          <w:w w:val="110"/>
          <w:szCs w:val="22"/>
        </w:rPr>
        <w:t xml:space="preserve"> </w:t>
      </w:r>
      <w:r w:rsidRPr="00DD7BD1">
        <w:rPr>
          <w:rFonts w:cs="Calibri"/>
          <w:color w:val="auto"/>
          <w:w w:val="110"/>
          <w:szCs w:val="22"/>
        </w:rPr>
        <w:t>job</w:t>
      </w:r>
      <w:r w:rsidRPr="00DD7BD1">
        <w:rPr>
          <w:rFonts w:cs="Calibri"/>
          <w:color w:val="auto"/>
          <w:spacing w:val="-14"/>
          <w:w w:val="110"/>
          <w:szCs w:val="22"/>
        </w:rPr>
        <w:t xml:space="preserve"> </w:t>
      </w:r>
      <w:r w:rsidRPr="00DD7BD1">
        <w:rPr>
          <w:rFonts w:cs="Calibri"/>
          <w:color w:val="auto"/>
          <w:w w:val="110"/>
          <w:szCs w:val="22"/>
        </w:rPr>
        <w:t>categories</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EEO-1’.</w:t>
      </w:r>
      <w:r w:rsidRPr="00DD7BD1">
        <w:rPr>
          <w:rFonts w:cs="Calibri"/>
          <w:color w:val="auto"/>
          <w:spacing w:val="-15"/>
          <w:w w:val="110"/>
          <w:szCs w:val="22"/>
        </w:rPr>
        <w:t xml:space="preserve"> </w:t>
      </w:r>
      <w:r w:rsidRPr="00DD7BD1">
        <w:rPr>
          <w:rFonts w:cs="Calibri"/>
          <w:color w:val="auto"/>
          <w:w w:val="110"/>
          <w:szCs w:val="22"/>
        </w:rPr>
        <w:t>References</w:t>
      </w:r>
      <w:r w:rsidRPr="00DD7BD1">
        <w:rPr>
          <w:rFonts w:cs="Calibri"/>
          <w:color w:val="auto"/>
          <w:spacing w:val="-13"/>
          <w:w w:val="110"/>
          <w:szCs w:val="22"/>
        </w:rPr>
        <w:t xml:space="preserve"> </w:t>
      </w:r>
      <w:r w:rsidRPr="00DD7BD1">
        <w:rPr>
          <w:rFonts w:cs="Calibri"/>
          <w:color w:val="auto"/>
          <w:w w:val="110"/>
          <w:szCs w:val="22"/>
        </w:rPr>
        <w:t>to ‘skilled’,</w:t>
      </w:r>
      <w:r w:rsidRPr="00DD7BD1">
        <w:rPr>
          <w:rFonts w:cs="Calibri"/>
          <w:color w:val="auto"/>
          <w:spacing w:val="-14"/>
          <w:w w:val="110"/>
          <w:szCs w:val="22"/>
        </w:rPr>
        <w:t xml:space="preserve"> </w:t>
      </w:r>
      <w:r w:rsidRPr="00DD7BD1">
        <w:rPr>
          <w:rFonts w:cs="Calibri"/>
          <w:color w:val="auto"/>
          <w:w w:val="110"/>
          <w:szCs w:val="22"/>
        </w:rPr>
        <w:t>‘semi-skilled’</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'unskilled’</w:t>
      </w:r>
      <w:r w:rsidRPr="00DD7BD1">
        <w:rPr>
          <w:rFonts w:cs="Calibri"/>
          <w:color w:val="auto"/>
          <w:spacing w:val="-15"/>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also</w:t>
      </w:r>
      <w:r w:rsidRPr="00DD7BD1">
        <w:rPr>
          <w:rFonts w:cs="Calibri"/>
          <w:color w:val="auto"/>
          <w:spacing w:val="-15"/>
          <w:w w:val="110"/>
          <w:szCs w:val="22"/>
        </w:rPr>
        <w:t xml:space="preserve"> </w:t>
      </w:r>
      <w:r w:rsidRPr="00DD7BD1">
        <w:rPr>
          <w:rFonts w:cs="Calibri"/>
          <w:color w:val="auto"/>
          <w:w w:val="110"/>
          <w:szCs w:val="22"/>
        </w:rPr>
        <w:t>been</w:t>
      </w:r>
      <w:r w:rsidRPr="00DD7BD1">
        <w:rPr>
          <w:rFonts w:cs="Calibri"/>
          <w:color w:val="auto"/>
          <w:spacing w:val="-16"/>
          <w:w w:val="110"/>
          <w:szCs w:val="22"/>
        </w:rPr>
        <w:t xml:space="preserve"> </w:t>
      </w:r>
      <w:r w:rsidRPr="00DD7BD1">
        <w:rPr>
          <w:rFonts w:cs="Calibri"/>
          <w:color w:val="auto"/>
          <w:w w:val="110"/>
          <w:szCs w:val="22"/>
        </w:rPr>
        <w:t>removed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category</w:t>
      </w:r>
      <w:r w:rsidRPr="00DD7BD1">
        <w:rPr>
          <w:rFonts w:cs="Calibri"/>
          <w:color w:val="auto"/>
          <w:spacing w:val="-13"/>
          <w:w w:val="110"/>
          <w:szCs w:val="22"/>
        </w:rPr>
        <w:t xml:space="preserve"> </w:t>
      </w:r>
      <w:r w:rsidRPr="00DD7BD1">
        <w:rPr>
          <w:rFonts w:cs="Calibri"/>
          <w:color w:val="auto"/>
          <w:w w:val="110"/>
          <w:szCs w:val="22"/>
        </w:rPr>
        <w:t>titles,</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5"/>
          <w:w w:val="110"/>
          <w:szCs w:val="22"/>
        </w:rPr>
        <w:t xml:space="preserve"> </w:t>
      </w:r>
      <w:r w:rsidRPr="00DD7BD1">
        <w:rPr>
          <w:rFonts w:cs="Calibri"/>
          <w:color w:val="auto"/>
          <w:w w:val="110"/>
          <w:szCs w:val="22"/>
        </w:rPr>
        <w:t>seen</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EPRC (equal pay registration certificate</w:t>
      </w:r>
      <w:r w:rsidRPr="00DD7BD1">
        <w:rPr>
          <w:rFonts w:cs="Calibri"/>
          <w:w w:val="110"/>
          <w:szCs w:val="22"/>
        </w:rPr>
        <w:t xml:space="preserve">) </w:t>
      </w:r>
      <w:hyperlink r:id="rId726">
        <w:r w:rsidRPr="00DD7BD1">
          <w:rPr>
            <w:rFonts w:cs="Calibri"/>
            <w:color w:val="0000FF"/>
            <w:w w:val="110"/>
            <w:szCs w:val="22"/>
            <w:u w:val="single" w:color="0000FF"/>
          </w:rPr>
          <w:t>employee import template</w:t>
        </w:r>
      </w:hyperlink>
      <w:r w:rsidRPr="00DD7BD1">
        <w:rPr>
          <w:rFonts w:cs="Calibri"/>
          <w:w w:val="110"/>
          <w:szCs w:val="22"/>
        </w:rPr>
        <w:t>.</w:t>
      </w:r>
    </w:p>
    <w:p w14:paraId="4DBC4823" w14:textId="77777777" w:rsidR="00A85628" w:rsidRPr="00DD7BD1" w:rsidRDefault="00A85628" w:rsidP="00A85628">
      <w:pPr>
        <w:pStyle w:val="BodyText"/>
        <w:spacing w:after="0" w:line="240" w:lineRule="auto"/>
        <w:ind w:right="-274"/>
        <w:jc w:val="left"/>
        <w:rPr>
          <w:rFonts w:cs="Calibri"/>
          <w:w w:val="110"/>
          <w:sz w:val="16"/>
          <w:szCs w:val="16"/>
        </w:rPr>
      </w:pPr>
    </w:p>
    <w:p w14:paraId="4B2833BE"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These changes will not lead to a difference in how the EPRC employee template is completed. Companies must submit their data and attest to the</w:t>
      </w:r>
      <w:r w:rsidRPr="00DD7BD1">
        <w:rPr>
          <w:rFonts w:cs="Calibri"/>
          <w:color w:val="auto"/>
          <w:spacing w:val="-2"/>
          <w:w w:val="110"/>
        </w:rPr>
        <w:t xml:space="preserve"> </w:t>
      </w:r>
      <w:r w:rsidRPr="00DD7BD1">
        <w:rPr>
          <w:rFonts w:cs="Calibri"/>
          <w:color w:val="auto"/>
          <w:w w:val="110"/>
        </w:rPr>
        <w:t>compliance requirements</w:t>
      </w:r>
      <w:r w:rsidRPr="00DD7BD1">
        <w:rPr>
          <w:rFonts w:cs="Calibri"/>
          <w:color w:val="auto"/>
          <w:spacing w:val="-2"/>
          <w:w w:val="110"/>
        </w:rPr>
        <w:t xml:space="preserve"> </w:t>
      </w:r>
      <w:r w:rsidRPr="00DD7BD1">
        <w:rPr>
          <w:rFonts w:cs="Calibri"/>
          <w:color w:val="auto"/>
          <w:w w:val="110"/>
        </w:rPr>
        <w:t>every two</w:t>
      </w:r>
      <w:r w:rsidRPr="00DD7BD1">
        <w:rPr>
          <w:rFonts w:cs="Calibri"/>
          <w:color w:val="auto"/>
          <w:spacing w:val="-2"/>
          <w:w w:val="110"/>
        </w:rPr>
        <w:t xml:space="preserve"> </w:t>
      </w:r>
      <w:r w:rsidRPr="00DD7BD1">
        <w:rPr>
          <w:rFonts w:cs="Calibri"/>
          <w:color w:val="auto"/>
          <w:w w:val="110"/>
        </w:rPr>
        <w:t>years.</w:t>
      </w:r>
    </w:p>
    <w:p w14:paraId="6055CF5F" w14:textId="77777777" w:rsidR="00A85628" w:rsidRPr="00DD7BD1" w:rsidRDefault="00A85628" w:rsidP="00A85628">
      <w:pPr>
        <w:pStyle w:val="BodyText"/>
        <w:spacing w:after="0" w:line="240" w:lineRule="auto"/>
        <w:ind w:right="-274"/>
        <w:jc w:val="left"/>
        <w:rPr>
          <w:rFonts w:cs="Calibri"/>
          <w:b/>
          <w:bCs/>
          <w:color w:val="auto"/>
          <w:sz w:val="16"/>
          <w:szCs w:val="16"/>
        </w:rPr>
      </w:pPr>
    </w:p>
    <w:p w14:paraId="57015710" w14:textId="77777777" w:rsidR="00A85628" w:rsidRPr="00DD7BD1" w:rsidRDefault="00A85628" w:rsidP="00A85628">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New EPRC Filers</w:t>
      </w:r>
    </w:p>
    <w:p w14:paraId="6975DBB3"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5"/>
        </w:rPr>
        <w:t xml:space="preserve">Employers with Illinois employees that have not previously obtained an EPRC certificate can look to the </w:t>
      </w:r>
      <w:r w:rsidRPr="00DD7BD1">
        <w:rPr>
          <w:rFonts w:cs="Calibri"/>
          <w:color w:val="auto"/>
          <w:spacing w:val="-2"/>
          <w:w w:val="110"/>
        </w:rPr>
        <w:t>IDOL’s</w:t>
      </w:r>
      <w:r w:rsidRPr="00DD7BD1">
        <w:rPr>
          <w:rFonts w:cs="Calibri"/>
          <w:color w:val="auto"/>
          <w:spacing w:val="-8"/>
          <w:w w:val="110"/>
        </w:rPr>
        <w:t xml:space="preserve"> </w:t>
      </w:r>
      <w:hyperlink r:id="rId727">
        <w:r w:rsidRPr="00DD7BD1">
          <w:rPr>
            <w:rFonts w:cs="Calibri"/>
            <w:color w:val="0000FF"/>
            <w:spacing w:val="-2"/>
            <w:w w:val="110"/>
            <w:u w:val="single" w:color="0000FF"/>
          </w:rPr>
          <w:t>frequently</w:t>
        </w:r>
        <w:r w:rsidRPr="00DD7BD1">
          <w:rPr>
            <w:rFonts w:cs="Calibri"/>
            <w:color w:val="0000FF"/>
            <w:spacing w:val="-11"/>
            <w:w w:val="110"/>
            <w:u w:val="single" w:color="0000FF"/>
          </w:rPr>
          <w:t xml:space="preserve"> </w:t>
        </w:r>
        <w:r w:rsidRPr="00DD7BD1">
          <w:rPr>
            <w:rFonts w:cs="Calibri"/>
            <w:color w:val="0000FF"/>
            <w:spacing w:val="-2"/>
            <w:w w:val="110"/>
            <w:u w:val="single" w:color="0000FF"/>
          </w:rPr>
          <w:t>asked</w:t>
        </w:r>
        <w:r w:rsidRPr="00DD7BD1">
          <w:rPr>
            <w:rFonts w:cs="Calibri"/>
            <w:color w:val="0000FF"/>
            <w:spacing w:val="-12"/>
            <w:w w:val="110"/>
            <w:u w:val="single" w:color="0000FF"/>
          </w:rPr>
          <w:t xml:space="preserve"> </w:t>
        </w:r>
        <w:r w:rsidRPr="00DD7BD1">
          <w:rPr>
            <w:rFonts w:cs="Calibri"/>
            <w:color w:val="0000FF"/>
            <w:spacing w:val="-2"/>
            <w:w w:val="110"/>
            <w:u w:val="single" w:color="0000FF"/>
          </w:rPr>
          <w:t>questions</w:t>
        </w:r>
        <w:r w:rsidRPr="00DD7BD1">
          <w:rPr>
            <w:rFonts w:cs="Calibri"/>
            <w:color w:val="0000FF"/>
            <w:spacing w:val="-11"/>
            <w:w w:val="110"/>
            <w:u w:val="single" w:color="0000FF"/>
          </w:rPr>
          <w:t xml:space="preserve"> </w:t>
        </w:r>
        <w:r w:rsidRPr="00DD7BD1">
          <w:rPr>
            <w:rFonts w:cs="Calibri"/>
            <w:color w:val="0000FF"/>
            <w:spacing w:val="-2"/>
            <w:w w:val="110"/>
            <w:u w:val="single" w:color="0000FF"/>
          </w:rPr>
          <w:t>(FAQs</w:t>
        </w:r>
      </w:hyperlink>
      <w:r w:rsidRPr="00DD7BD1">
        <w:rPr>
          <w:rFonts w:cs="Calibri"/>
          <w:spacing w:val="-2"/>
          <w:w w:val="110"/>
        </w:rPr>
        <w:t>)</w:t>
      </w:r>
      <w:r w:rsidRPr="00DD7BD1">
        <w:rPr>
          <w:rFonts w:cs="Calibri"/>
          <w:color w:val="auto"/>
          <w:spacing w:val="-12"/>
          <w:w w:val="110"/>
        </w:rPr>
        <w:t xml:space="preserve"> </w:t>
      </w:r>
      <w:r w:rsidRPr="00DD7BD1">
        <w:rPr>
          <w:rFonts w:cs="Calibri"/>
          <w:color w:val="auto"/>
          <w:spacing w:val="-2"/>
          <w:w w:val="110"/>
        </w:rPr>
        <w:t>guidance</w:t>
      </w:r>
      <w:r w:rsidRPr="00DD7BD1">
        <w:rPr>
          <w:rFonts w:cs="Calibri"/>
          <w:color w:val="auto"/>
          <w:spacing w:val="-12"/>
          <w:w w:val="110"/>
        </w:rPr>
        <w:t xml:space="preserve"> </w:t>
      </w:r>
      <w:r w:rsidRPr="00DD7BD1">
        <w:rPr>
          <w:rFonts w:cs="Calibri"/>
          <w:color w:val="auto"/>
          <w:spacing w:val="-2"/>
          <w:w w:val="110"/>
        </w:rPr>
        <w:t>on</w:t>
      </w:r>
      <w:r w:rsidRPr="00DD7BD1">
        <w:rPr>
          <w:rFonts w:cs="Calibri"/>
          <w:color w:val="auto"/>
          <w:spacing w:val="-12"/>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EPRC</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determine</w:t>
      </w:r>
      <w:r w:rsidRPr="00DD7BD1">
        <w:rPr>
          <w:rFonts w:cs="Calibri"/>
          <w:color w:val="auto"/>
          <w:spacing w:val="-11"/>
          <w:w w:val="110"/>
        </w:rPr>
        <w:t xml:space="preserve"> </w:t>
      </w:r>
      <w:r w:rsidRPr="00DD7BD1">
        <w:rPr>
          <w:rFonts w:cs="Calibri"/>
          <w:color w:val="auto"/>
          <w:spacing w:val="-2"/>
          <w:w w:val="110"/>
        </w:rPr>
        <w:t>if</w:t>
      </w:r>
      <w:r w:rsidRPr="00DD7BD1">
        <w:rPr>
          <w:rFonts w:cs="Calibri"/>
          <w:color w:val="auto"/>
          <w:spacing w:val="-10"/>
          <w:w w:val="110"/>
        </w:rPr>
        <w:t xml:space="preserve"> </w:t>
      </w:r>
      <w:r w:rsidRPr="00DD7BD1">
        <w:rPr>
          <w:rFonts w:cs="Calibri"/>
          <w:color w:val="auto"/>
          <w:spacing w:val="-2"/>
          <w:w w:val="110"/>
        </w:rPr>
        <w:t>they</w:t>
      </w:r>
      <w:r w:rsidRPr="00DD7BD1">
        <w:rPr>
          <w:rFonts w:cs="Calibri"/>
          <w:color w:val="auto"/>
          <w:spacing w:val="-11"/>
          <w:w w:val="110"/>
        </w:rPr>
        <w:t xml:space="preserve"> </w:t>
      </w:r>
      <w:r w:rsidRPr="00DD7BD1">
        <w:rPr>
          <w:rFonts w:cs="Calibri"/>
          <w:color w:val="auto"/>
          <w:spacing w:val="-2"/>
          <w:w w:val="110"/>
        </w:rPr>
        <w:t>are</w:t>
      </w:r>
      <w:r w:rsidRPr="00DD7BD1">
        <w:rPr>
          <w:rFonts w:cs="Calibri"/>
          <w:color w:val="auto"/>
          <w:spacing w:val="-12"/>
          <w:w w:val="110"/>
        </w:rPr>
        <w:t xml:space="preserve"> </w:t>
      </w:r>
      <w:r w:rsidRPr="00DD7BD1">
        <w:rPr>
          <w:rFonts w:cs="Calibri"/>
          <w:color w:val="auto"/>
          <w:spacing w:val="-2"/>
          <w:w w:val="110"/>
        </w:rPr>
        <w:t>required</w:t>
      </w:r>
      <w:r w:rsidRPr="00DD7BD1">
        <w:rPr>
          <w:rFonts w:cs="Calibri"/>
          <w:color w:val="auto"/>
          <w:spacing w:val="-11"/>
          <w:w w:val="110"/>
        </w:rPr>
        <w:t xml:space="preserve"> </w:t>
      </w:r>
      <w:r w:rsidRPr="00DD7BD1">
        <w:rPr>
          <w:rFonts w:cs="Calibri"/>
          <w:color w:val="auto"/>
          <w:spacing w:val="-2"/>
          <w:w w:val="110"/>
        </w:rPr>
        <w:t>to</w:t>
      </w:r>
      <w:r w:rsidRPr="00DD7BD1">
        <w:rPr>
          <w:rFonts w:cs="Calibri"/>
          <w:color w:val="auto"/>
          <w:spacing w:val="-9"/>
          <w:w w:val="110"/>
        </w:rPr>
        <w:t xml:space="preserve"> </w:t>
      </w:r>
      <w:r w:rsidRPr="00DD7BD1">
        <w:rPr>
          <w:rFonts w:cs="Calibri"/>
          <w:color w:val="auto"/>
          <w:spacing w:val="-2"/>
          <w:w w:val="110"/>
        </w:rPr>
        <w:t>file</w:t>
      </w:r>
      <w:r w:rsidRPr="00DD7BD1">
        <w:rPr>
          <w:rFonts w:cs="Calibri"/>
          <w:color w:val="auto"/>
          <w:spacing w:val="-12"/>
          <w:w w:val="110"/>
        </w:rPr>
        <w:t xml:space="preserve"> </w:t>
      </w:r>
      <w:r w:rsidRPr="00DD7BD1">
        <w:rPr>
          <w:rFonts w:cs="Calibri"/>
          <w:color w:val="auto"/>
          <w:spacing w:val="-2"/>
          <w:w w:val="110"/>
        </w:rPr>
        <w:t>a</w:t>
      </w:r>
      <w:r w:rsidRPr="00DD7BD1">
        <w:rPr>
          <w:rFonts w:cs="Calibri"/>
          <w:color w:val="auto"/>
          <w:spacing w:val="-9"/>
          <w:w w:val="110"/>
        </w:rPr>
        <w:t xml:space="preserve"> </w:t>
      </w:r>
      <w:r w:rsidRPr="00DD7BD1">
        <w:rPr>
          <w:rFonts w:cs="Calibri"/>
          <w:color w:val="auto"/>
          <w:spacing w:val="-2"/>
          <w:w w:val="110"/>
        </w:rPr>
        <w:t xml:space="preserve">first-time </w:t>
      </w:r>
      <w:r w:rsidRPr="00DD7BD1">
        <w:rPr>
          <w:rFonts w:cs="Calibri"/>
          <w:color w:val="auto"/>
          <w:w w:val="115"/>
        </w:rPr>
        <w:t>EPRC application in 2025.</w:t>
      </w:r>
    </w:p>
    <w:p w14:paraId="697A4887"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To</w:t>
      </w:r>
      <w:r w:rsidRPr="00DD7BD1">
        <w:rPr>
          <w:rFonts w:cs="Calibri"/>
          <w:color w:val="auto"/>
          <w:spacing w:val="19"/>
          <w:w w:val="110"/>
        </w:rPr>
        <w:t xml:space="preserve"> </w:t>
      </w:r>
      <w:r w:rsidRPr="00DD7BD1">
        <w:rPr>
          <w:rFonts w:cs="Calibri"/>
          <w:color w:val="auto"/>
          <w:w w:val="110"/>
        </w:rPr>
        <w:t>read</w:t>
      </w:r>
      <w:r w:rsidRPr="00DD7BD1">
        <w:rPr>
          <w:rFonts w:cs="Calibri"/>
          <w:color w:val="auto"/>
          <w:spacing w:val="19"/>
          <w:w w:val="110"/>
        </w:rPr>
        <w:t xml:space="preserve"> </w:t>
      </w:r>
      <w:r w:rsidRPr="00DD7BD1">
        <w:rPr>
          <w:rFonts w:cs="Calibri"/>
          <w:color w:val="auto"/>
          <w:w w:val="110"/>
        </w:rPr>
        <w:t>more,</w:t>
      </w:r>
      <w:r w:rsidRPr="00DD7BD1">
        <w:rPr>
          <w:rFonts w:cs="Calibri"/>
          <w:color w:val="auto"/>
          <w:spacing w:val="18"/>
          <w:w w:val="110"/>
        </w:rPr>
        <w:t xml:space="preserve"> </w:t>
      </w:r>
      <w:r w:rsidRPr="00DD7BD1">
        <w:rPr>
          <w:rFonts w:cs="Calibri"/>
          <w:color w:val="auto"/>
          <w:w w:val="110"/>
        </w:rPr>
        <w:t>access</w:t>
      </w:r>
      <w:r w:rsidRPr="00DD7BD1">
        <w:rPr>
          <w:rFonts w:cs="Calibri"/>
          <w:color w:val="auto"/>
          <w:spacing w:val="20"/>
          <w:w w:val="110"/>
        </w:rPr>
        <w:t xml:space="preserve"> </w:t>
      </w:r>
      <w:r w:rsidRPr="00DD7BD1">
        <w:rPr>
          <w:rFonts w:cs="Calibri"/>
          <w:color w:val="auto"/>
          <w:w w:val="110"/>
        </w:rPr>
        <w:t>the</w:t>
      </w:r>
      <w:r w:rsidRPr="00DD7BD1">
        <w:rPr>
          <w:rFonts w:cs="Calibri"/>
          <w:color w:val="auto"/>
          <w:spacing w:val="16"/>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w w:val="110"/>
        </w:rPr>
        <w:t>updated</w:t>
      </w:r>
      <w:r w:rsidRPr="00DD7BD1">
        <w:rPr>
          <w:rFonts w:cs="Calibri"/>
          <w:color w:val="auto"/>
          <w:spacing w:val="19"/>
          <w:w w:val="110"/>
        </w:rPr>
        <w:t xml:space="preserve"> </w:t>
      </w:r>
      <w:r w:rsidRPr="00DD7BD1">
        <w:rPr>
          <w:rFonts w:cs="Calibri"/>
          <w:color w:val="auto"/>
          <w:w w:val="110"/>
        </w:rPr>
        <w:t>Equal</w:t>
      </w:r>
      <w:r w:rsidRPr="00DD7BD1">
        <w:rPr>
          <w:rFonts w:cs="Calibri"/>
          <w:color w:val="auto"/>
          <w:spacing w:val="18"/>
          <w:w w:val="110"/>
        </w:rPr>
        <w:t xml:space="preserve"> </w:t>
      </w:r>
      <w:r w:rsidRPr="00DD7BD1">
        <w:rPr>
          <w:rFonts w:cs="Calibri"/>
          <w:color w:val="auto"/>
          <w:w w:val="110"/>
        </w:rPr>
        <w:t>Pay</w:t>
      </w:r>
      <w:r w:rsidRPr="00DD7BD1">
        <w:rPr>
          <w:rFonts w:cs="Calibri"/>
          <w:color w:val="auto"/>
          <w:spacing w:val="19"/>
          <w:w w:val="110"/>
        </w:rPr>
        <w:t xml:space="preserve"> </w:t>
      </w:r>
      <w:r w:rsidRPr="00DD7BD1">
        <w:rPr>
          <w:rFonts w:cs="Calibri"/>
          <w:color w:val="auto"/>
          <w:w w:val="110"/>
        </w:rPr>
        <w:t>Registration</w:t>
      </w:r>
      <w:r w:rsidRPr="00DD7BD1">
        <w:rPr>
          <w:rFonts w:cs="Calibri"/>
          <w:color w:val="auto"/>
          <w:spacing w:val="16"/>
          <w:w w:val="110"/>
        </w:rPr>
        <w:t xml:space="preserve"> </w:t>
      </w:r>
      <w:r w:rsidRPr="00DD7BD1">
        <w:rPr>
          <w:rFonts w:cs="Calibri"/>
          <w:color w:val="auto"/>
          <w:w w:val="110"/>
        </w:rPr>
        <w:t>FAQs</w:t>
      </w:r>
      <w:r w:rsidRPr="00DD7BD1">
        <w:rPr>
          <w:rFonts w:cs="Calibri"/>
          <w:color w:val="auto"/>
          <w:spacing w:val="16"/>
          <w:w w:val="110"/>
        </w:rPr>
        <w:t xml:space="preserve"> </w:t>
      </w:r>
      <w:r w:rsidRPr="00DD7BD1">
        <w:rPr>
          <w:rFonts w:cs="Calibri"/>
          <w:color w:val="auto"/>
          <w:w w:val="110"/>
        </w:rPr>
        <w:t>website</w:t>
      </w:r>
      <w:r w:rsidRPr="00DD7BD1">
        <w:rPr>
          <w:rFonts w:cs="Calibri"/>
          <w:color w:val="auto"/>
          <w:spacing w:val="27"/>
          <w:w w:val="110"/>
        </w:rPr>
        <w:t xml:space="preserve"> </w:t>
      </w:r>
      <w:hyperlink r:id="rId728">
        <w:r w:rsidRPr="00DD7BD1">
          <w:rPr>
            <w:rFonts w:cs="Calibri"/>
            <w:color w:val="0000FF"/>
            <w:w w:val="110"/>
            <w:u w:val="single" w:color="0000FF"/>
          </w:rPr>
          <w:t>HERE</w:t>
        </w:r>
      </w:hyperlink>
      <w:r w:rsidRPr="00DD7BD1">
        <w:rPr>
          <w:rFonts w:cs="Calibri"/>
          <w:color w:val="0000FF"/>
          <w:spacing w:val="18"/>
          <w:w w:val="110"/>
        </w:rPr>
        <w:t xml:space="preserve"> </w:t>
      </w:r>
      <w:r w:rsidRPr="00DD7BD1">
        <w:rPr>
          <w:rFonts w:cs="Calibri"/>
          <w:color w:val="auto"/>
          <w:w w:val="110"/>
        </w:rPr>
        <w:t>and</w:t>
      </w:r>
      <w:r w:rsidRPr="00DD7BD1">
        <w:rPr>
          <w:rFonts w:cs="Calibri"/>
          <w:color w:val="auto"/>
          <w:spacing w:val="19"/>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spacing w:val="-2"/>
          <w:w w:val="110"/>
        </w:rPr>
        <w:t>provided</w:t>
      </w:r>
    </w:p>
    <w:p w14:paraId="133D4F78" w14:textId="77777777" w:rsidR="00A85628" w:rsidRPr="00DD7BD1" w:rsidRDefault="00A85628" w:rsidP="00A85628">
      <w:pPr>
        <w:pStyle w:val="BodyText"/>
        <w:spacing w:after="0" w:line="240" w:lineRule="auto"/>
        <w:ind w:right="-274"/>
        <w:jc w:val="left"/>
        <w:rPr>
          <w:rFonts w:cs="Calibri"/>
        </w:rPr>
      </w:pPr>
      <w:r w:rsidRPr="00DD7BD1">
        <w:rPr>
          <w:rFonts w:cs="Calibri"/>
          <w:color w:val="auto"/>
          <w:w w:val="110"/>
        </w:rPr>
        <w:t>Training</w:t>
      </w:r>
      <w:r w:rsidRPr="00DD7BD1">
        <w:rPr>
          <w:rFonts w:cs="Calibri"/>
          <w:color w:val="auto"/>
          <w:spacing w:val="4"/>
          <w:w w:val="110"/>
        </w:rPr>
        <w:t xml:space="preserve"> </w:t>
      </w:r>
      <w:r w:rsidRPr="00DD7BD1">
        <w:rPr>
          <w:rFonts w:cs="Calibri"/>
          <w:color w:val="auto"/>
          <w:w w:val="110"/>
        </w:rPr>
        <w:t>Slides</w:t>
      </w:r>
      <w:r w:rsidRPr="00DD7BD1">
        <w:rPr>
          <w:rFonts w:cs="Calibri"/>
          <w:color w:val="auto"/>
          <w:spacing w:val="6"/>
          <w:w w:val="110"/>
        </w:rPr>
        <w:t xml:space="preserve"> </w:t>
      </w:r>
      <w:hyperlink r:id="rId729">
        <w:r w:rsidRPr="00DD7BD1">
          <w:rPr>
            <w:rFonts w:cs="Calibri"/>
            <w:color w:val="0000FF"/>
            <w:spacing w:val="-4"/>
            <w:w w:val="110"/>
            <w:u w:val="single" w:color="0000FF"/>
          </w:rPr>
          <w:t>HERE</w:t>
        </w:r>
      </w:hyperlink>
    </w:p>
    <w:p w14:paraId="1E777F90" w14:textId="77777777" w:rsidR="00A85628" w:rsidRPr="00DD7BD1" w:rsidRDefault="00A85628" w:rsidP="00A85628">
      <w:pPr>
        <w:spacing w:after="0" w:line="240" w:lineRule="auto"/>
        <w:rPr>
          <w:rFonts w:ascii="Calibri" w:hAnsi="Calibri" w:cs="Calibri"/>
          <w:b/>
          <w:bCs/>
          <w:sz w:val="28"/>
          <w:szCs w:val="28"/>
          <w:shd w:val="clear" w:color="auto" w:fill="FFFFFF"/>
        </w:rPr>
      </w:pPr>
    </w:p>
    <w:p w14:paraId="3466E58B" w14:textId="5464149C" w:rsidR="00526F6C" w:rsidRPr="00DD7BD1" w:rsidRDefault="00526F6C" w:rsidP="00526F6C">
      <w:pPr>
        <w:spacing w:after="0" w:line="240" w:lineRule="auto"/>
        <w:jc w:val="center"/>
        <w:rPr>
          <w:rFonts w:ascii="Calibri" w:hAnsi="Calibri" w:cs="Calibri"/>
          <w:sz w:val="23"/>
          <w:szCs w:val="23"/>
          <w:shd w:val="clear" w:color="auto" w:fill="FFFFFF"/>
        </w:rPr>
      </w:pPr>
      <w:r w:rsidRPr="00DD7BD1">
        <w:rPr>
          <w:rFonts w:ascii="Calibri" w:hAnsi="Calibri" w:cs="Calibri"/>
          <w:b/>
          <w:bCs/>
          <w:sz w:val="28"/>
          <w:szCs w:val="28"/>
          <w:shd w:val="clear" w:color="auto" w:fill="FFFFFF"/>
        </w:rPr>
        <w:t>State Expands Equal Pay Registration Certificate Requirements</w:t>
      </w:r>
      <w:bookmarkEnd w:id="87"/>
    </w:p>
    <w:p w14:paraId="6A80E374"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state recently expanded its Equal Pay Registration Certification requirements to apply </w:t>
      </w:r>
      <w:r w:rsidRPr="00DD7BD1">
        <w:rPr>
          <w:rFonts w:ascii="Calibri" w:hAnsi="Calibri" w:cs="Calibri"/>
          <w:b/>
          <w:bCs/>
          <w:u w:val="single"/>
          <w:shd w:val="clear" w:color="auto" w:fill="FFFFFF"/>
        </w:rPr>
        <w:t>to </w:t>
      </w:r>
      <w:r w:rsidRPr="00DD7BD1">
        <w:rPr>
          <w:rFonts w:ascii="Calibri" w:hAnsi="Calibri" w:cs="Calibri"/>
          <w:b/>
          <w:bCs/>
          <w:i/>
          <w:iCs/>
          <w:u w:val="single"/>
          <w:shd w:val="clear" w:color="auto" w:fill="FFFFFF"/>
        </w:rPr>
        <w:t>all</w:t>
      </w:r>
      <w:r w:rsidRPr="00DD7BD1">
        <w:rPr>
          <w:rFonts w:ascii="Calibri" w:hAnsi="Calibri" w:cs="Calibri"/>
          <w:b/>
          <w:bCs/>
          <w:u w:val="single"/>
          <w:shd w:val="clear" w:color="auto" w:fill="FFFFFF"/>
        </w:rPr>
        <w:t> private employers that have 100 or more employees in the state</w:t>
      </w:r>
      <w:r w:rsidRPr="00DD7BD1">
        <w:rPr>
          <w:rFonts w:ascii="Calibri" w:hAnsi="Calibri" w:cs="Calibri"/>
          <w:shd w:val="clear" w:color="auto" w:fill="FFFFFF"/>
        </w:rPr>
        <w:t xml:space="preserve">. Previously, employers only had to file if they had 100 or more employees in the state </w:t>
      </w:r>
      <w:proofErr w:type="gramStart"/>
      <w:r w:rsidRPr="00DD7BD1">
        <w:rPr>
          <w:rFonts w:ascii="Calibri" w:hAnsi="Calibri" w:cs="Calibri"/>
          <w:shd w:val="clear" w:color="auto" w:fill="FFFFFF"/>
        </w:rPr>
        <w:t>and </w:t>
      </w:r>
      <w:r w:rsidRPr="00DD7BD1">
        <w:rPr>
          <w:rFonts w:ascii="Calibri" w:hAnsi="Calibri" w:cs="Calibri"/>
          <w:i/>
          <w:iCs/>
          <w:shd w:val="clear" w:color="auto" w:fill="FFFFFF"/>
        </w:rPr>
        <w:t>also</w:t>
      </w:r>
      <w:proofErr w:type="gramEnd"/>
      <w:r w:rsidRPr="00DD7BD1">
        <w:rPr>
          <w:rFonts w:ascii="Calibri" w:hAnsi="Calibri" w:cs="Calibri"/>
          <w:i/>
          <w:iCs/>
          <w:shd w:val="clear" w:color="auto" w:fill="FFFFFF"/>
        </w:rPr>
        <w:t xml:space="preserve"> had to file a federal EEO-1 report</w:t>
      </w:r>
      <w:r w:rsidRPr="00DD7BD1">
        <w:rPr>
          <w:rFonts w:ascii="Calibri" w:hAnsi="Calibri" w:cs="Calibri"/>
          <w:shd w:val="clear" w:color="auto" w:fill="FFFFFF"/>
        </w:rPr>
        <w:t>.</w:t>
      </w:r>
    </w:p>
    <w:p w14:paraId="6DA2D0CC" w14:textId="77777777" w:rsidR="00526F6C" w:rsidRPr="00DD7BD1" w:rsidRDefault="00526F6C" w:rsidP="00526F6C">
      <w:pPr>
        <w:spacing w:after="0" w:line="240" w:lineRule="auto"/>
        <w:jc w:val="both"/>
        <w:rPr>
          <w:rFonts w:ascii="Calibri" w:hAnsi="Calibri" w:cs="Calibri"/>
          <w:shd w:val="clear" w:color="auto" w:fill="FFFFFF"/>
        </w:rPr>
      </w:pPr>
    </w:p>
    <w:p w14:paraId="1A31256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For more information on Equal Pay Registration Certification requirements, see the Illinois Department of Labor’s </w:t>
      </w:r>
      <w:bookmarkStart w:id="90" w:name="_Hlk205190263"/>
      <w:r w:rsidRPr="00DD7BD1">
        <w:rPr>
          <w:rFonts w:ascii="Calibri" w:hAnsi="Calibri" w:cs="Calibri"/>
        </w:rPr>
        <w:fldChar w:fldCharType="begin"/>
      </w:r>
      <w:r w:rsidRPr="00DD7BD1">
        <w:rPr>
          <w:rFonts w:ascii="Calibri" w:hAnsi="Calibri" w:cs="Calibri"/>
        </w:rP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updated FAQs</w:t>
      </w:r>
      <w:r w:rsidRPr="00DD7BD1">
        <w:rPr>
          <w:rFonts w:ascii="Calibri" w:hAnsi="Calibri" w:cs="Calibri"/>
        </w:rPr>
        <w:fldChar w:fldCharType="end"/>
      </w:r>
      <w:bookmarkEnd w:id="90"/>
      <w:r w:rsidRPr="00DD7BD1">
        <w:rPr>
          <w:rFonts w:ascii="Calibri" w:hAnsi="Calibri" w:cs="Calibri"/>
          <w:shd w:val="clear" w:color="auto" w:fill="FFFFFF"/>
        </w:rPr>
        <w:t>.</w:t>
      </w:r>
    </w:p>
    <w:p w14:paraId="6A74036E" w14:textId="77777777" w:rsidR="00526F6C" w:rsidRPr="00DD7BD1" w:rsidRDefault="00526F6C" w:rsidP="00526F6C">
      <w:pPr>
        <w:spacing w:after="0" w:line="240" w:lineRule="auto"/>
        <w:jc w:val="both"/>
        <w:rPr>
          <w:rFonts w:ascii="Calibri" w:hAnsi="Calibri" w:cs="Calibri"/>
          <w:shd w:val="clear" w:color="auto" w:fill="FFFFFF"/>
        </w:rPr>
      </w:pPr>
    </w:p>
    <w:p w14:paraId="7FB48333" w14:textId="77777777" w:rsidR="00526F6C" w:rsidRPr="00DD7BD1" w:rsidRDefault="00526F6C" w:rsidP="00526F6C">
      <w:pPr>
        <w:spacing w:after="0" w:line="240" w:lineRule="auto"/>
        <w:jc w:val="center"/>
        <w:rPr>
          <w:rFonts w:ascii="Calibri" w:hAnsi="Calibri" w:cs="Calibri"/>
          <w:b/>
          <w:bCs/>
          <w:sz w:val="28"/>
          <w:szCs w:val="28"/>
          <w:shd w:val="clear" w:color="auto" w:fill="FFFFFF"/>
        </w:rPr>
      </w:pPr>
      <w:bookmarkStart w:id="91" w:name="_Hlk205277886"/>
      <w:r w:rsidRPr="00DD7BD1">
        <w:rPr>
          <w:rFonts w:ascii="Calibri" w:hAnsi="Calibri" w:cs="Calibri"/>
          <w:b/>
          <w:bCs/>
          <w:sz w:val="28"/>
          <w:szCs w:val="28"/>
          <w:shd w:val="clear" w:color="auto" w:fill="FFFFFF"/>
        </w:rPr>
        <w:t xml:space="preserve">Changes in State Insurance Law Extends Coverage to Certain Parents of Insured Individuals – </w:t>
      </w:r>
      <w:r w:rsidRPr="00DD7BD1">
        <w:rPr>
          <w:rFonts w:ascii="Calibri" w:hAnsi="Calibri" w:cs="Calibri"/>
          <w:b/>
          <w:bCs/>
          <w:color w:val="C00000"/>
          <w:sz w:val="28"/>
          <w:szCs w:val="28"/>
          <w:shd w:val="clear" w:color="auto" w:fill="FFFFFF"/>
        </w:rPr>
        <w:t>Eff Jan 1, 2026</w:t>
      </w:r>
      <w:bookmarkEnd w:id="91"/>
    </w:p>
    <w:p w14:paraId="4B1A3F7A"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Although ETC does not regularly monitor insurance benefit enactments, a recent change in in Illinois insurance law has drawn the attention of employers and many others due to the implications for employers and health insurance plans. </w:t>
      </w:r>
    </w:p>
    <w:p w14:paraId="49020037" w14:textId="77777777" w:rsidR="00526F6C" w:rsidRPr="00DD7BD1" w:rsidRDefault="00526F6C" w:rsidP="00526F6C">
      <w:pPr>
        <w:spacing w:after="0" w:line="240" w:lineRule="auto"/>
        <w:jc w:val="both"/>
        <w:rPr>
          <w:rFonts w:ascii="Calibri" w:hAnsi="Calibri" w:cs="Calibri"/>
          <w:shd w:val="clear" w:color="auto" w:fill="FFFFFF"/>
        </w:rPr>
      </w:pPr>
    </w:p>
    <w:p w14:paraId="6CCF1019" w14:textId="77777777" w:rsidR="00526F6C" w:rsidRPr="00DD7BD1" w:rsidRDefault="00526F6C" w:rsidP="00526F6C">
      <w:pPr>
        <w:spacing w:after="0" w:line="240" w:lineRule="auto"/>
        <w:jc w:val="both"/>
        <w:rPr>
          <w:rFonts w:ascii="Calibri" w:hAnsi="Calibri" w:cs="Calibri"/>
          <w:shd w:val="clear" w:color="auto" w:fill="FFFFFF"/>
        </w:rPr>
      </w:pPr>
      <w:hyperlink r:id="rId730" w:tgtFrame="_blank" w:history="1">
        <w:r w:rsidRPr="00DD7BD1">
          <w:rPr>
            <w:rStyle w:val="Hyperlink"/>
            <w:rFonts w:ascii="Calibri" w:hAnsi="Calibri" w:cs="Calibri"/>
            <w:b/>
            <w:bCs/>
            <w:shd w:val="clear" w:color="auto" w:fill="FFFFFF"/>
          </w:rPr>
          <w:t>Illinois House Bill 5258</w:t>
        </w:r>
      </w:hyperlink>
      <w:r w:rsidRPr="00DD7BD1">
        <w:rPr>
          <w:rFonts w:ascii="Calibri" w:hAnsi="Calibri" w:cs="Calibri"/>
          <w:shd w:val="clear" w:color="auto" w:fill="FFFFFF"/>
        </w:rPr>
        <w:t> amends the Illinois Insurance Code, the Health Maintenance Organization Act, and the Limited Health Service Organization Act requiring that insurers extend coverage to certain parents and stepparents of an insured individual when a plan provides dependent coverage.  Insurance policies are, however, only required to extend coverage to parents and stepparents of an insured if the parent or stepparent resides within the plan’s service area </w:t>
      </w:r>
      <w:r w:rsidRPr="00DD7BD1">
        <w:rPr>
          <w:rFonts w:ascii="Calibri" w:hAnsi="Calibri" w:cs="Calibri"/>
          <w:i/>
          <w:iCs/>
          <w:shd w:val="clear" w:color="auto" w:fill="FFFFFF"/>
        </w:rPr>
        <w:t>and</w:t>
      </w:r>
      <w:r w:rsidRPr="00DD7BD1">
        <w:rPr>
          <w:rFonts w:ascii="Calibri" w:hAnsi="Calibri" w:cs="Calibri"/>
          <w:shd w:val="clear" w:color="auto" w:fill="FFFFFF"/>
        </w:rPr>
        <w:t> meets the IRS definition of a “</w:t>
      </w:r>
      <w:hyperlink r:id="rId731" w:tgtFrame="_blank" w:history="1">
        <w:r w:rsidRPr="00DD7BD1">
          <w:rPr>
            <w:rStyle w:val="Hyperlink"/>
            <w:rFonts w:ascii="Calibri" w:hAnsi="Calibri" w:cs="Calibri"/>
            <w:b/>
            <w:bCs/>
            <w:shd w:val="clear" w:color="auto" w:fill="FFFFFF"/>
          </w:rPr>
          <w:t>qualifying relative</w:t>
        </w:r>
      </w:hyperlink>
      <w:r w:rsidRPr="00DD7BD1">
        <w:rPr>
          <w:rFonts w:ascii="Calibri" w:hAnsi="Calibri" w:cs="Calibri"/>
          <w:shd w:val="clear" w:color="auto" w:fill="FFFFFF"/>
        </w:rPr>
        <w:t>.”  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Pr="00DD7BD1" w:rsidRDefault="00526F6C" w:rsidP="00526F6C">
      <w:pPr>
        <w:spacing w:after="0" w:line="240" w:lineRule="auto"/>
        <w:jc w:val="both"/>
        <w:rPr>
          <w:rFonts w:ascii="Calibri" w:hAnsi="Calibri" w:cs="Calibri"/>
          <w:shd w:val="clear" w:color="auto" w:fill="FFFFFF"/>
        </w:rPr>
      </w:pPr>
    </w:p>
    <w:p w14:paraId="2A5DB018" w14:textId="77777777" w:rsidR="00526F6C" w:rsidRPr="00DD7BD1" w:rsidRDefault="00526F6C" w:rsidP="00526F6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Exempted Plans</w:t>
      </w:r>
    </w:p>
    <w:p w14:paraId="67395DAF"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Pr="00DD7BD1" w:rsidRDefault="00526F6C" w:rsidP="00526F6C">
      <w:pPr>
        <w:spacing w:after="0" w:line="240" w:lineRule="auto"/>
        <w:jc w:val="both"/>
        <w:rPr>
          <w:rFonts w:ascii="Calibri" w:hAnsi="Calibri" w:cs="Calibri"/>
          <w:shd w:val="clear" w:color="auto" w:fill="FFFFFF"/>
        </w:rPr>
      </w:pPr>
    </w:p>
    <w:p w14:paraId="13769F4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requirement applies to health insurance policies issued, amended, delivered, or renewed in Illinois on or after January 1, 2026.</w:t>
      </w:r>
    </w:p>
    <w:p w14:paraId="48C88337" w14:textId="77777777" w:rsidR="00526F6C" w:rsidRPr="00DD7BD1" w:rsidRDefault="00526F6C" w:rsidP="00526F6C">
      <w:pPr>
        <w:spacing w:after="0" w:line="240" w:lineRule="auto"/>
        <w:jc w:val="both"/>
        <w:rPr>
          <w:rFonts w:ascii="Calibri" w:hAnsi="Calibri" w:cs="Calibri"/>
          <w:shd w:val="clear" w:color="auto" w:fill="FFFFFF"/>
        </w:rPr>
      </w:pPr>
    </w:p>
    <w:p w14:paraId="2B59F05D" w14:textId="7C183A78"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are advised to engage their benefits broker should there be questions or concerns related to this new state enactment.</w:t>
      </w:r>
    </w:p>
    <w:p w14:paraId="21E3D457" w14:textId="77777777" w:rsidR="00562C0A" w:rsidRDefault="00562C0A" w:rsidP="00784E6F">
      <w:pPr>
        <w:jc w:val="center"/>
        <w:rPr>
          <w:rFonts w:ascii="Calibri" w:hAnsi="Calibri" w:cs="Calibri"/>
          <w:b/>
          <w:bCs/>
          <w:sz w:val="28"/>
          <w:szCs w:val="28"/>
          <w:shd w:val="clear" w:color="auto" w:fill="FFFFFF"/>
          <w:lang w:val="en"/>
        </w:rPr>
      </w:pPr>
    </w:p>
    <w:p w14:paraId="2F754CFE" w14:textId="4CC44DA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Chicago Regulations - </w:t>
      </w:r>
      <w:r w:rsidRPr="00DD7BD1">
        <w:rPr>
          <w:rFonts w:ascii="Calibri" w:hAnsi="Calibri" w:cs="Calibri"/>
          <w:b/>
          <w:bCs/>
          <w:color w:val="C00000"/>
          <w:sz w:val="28"/>
          <w:szCs w:val="28"/>
          <w:shd w:val="clear" w:color="auto" w:fill="FFFFFF"/>
          <w:lang w:val="en"/>
        </w:rPr>
        <w:t>Eff July 1,2025</w:t>
      </w:r>
    </w:p>
    <w:p w14:paraId="1A47864E" w14:textId="57AFA3DD" w:rsidR="00784E6F" w:rsidRPr="00DD7BD1" w:rsidRDefault="00784E6F" w:rsidP="00784E6F">
      <w:pPr>
        <w:rPr>
          <w:rFonts w:ascii="Calibri" w:hAnsi="Calibri" w:cs="Calibri"/>
          <w:shd w:val="clear" w:color="auto" w:fill="FFFFFF"/>
        </w:rPr>
      </w:pPr>
      <w:r w:rsidRPr="00DD7BD1">
        <w:rPr>
          <w:rFonts w:ascii="Calibri" w:hAnsi="Calibri" w:cs="Calibri"/>
          <w:b/>
          <w:bCs/>
          <w:shd w:val="clear" w:color="auto" w:fill="FFFFFF"/>
        </w:rPr>
        <w:t>Minimum Wage</w:t>
      </w:r>
      <w:r w:rsidRPr="00DD7BD1">
        <w:rPr>
          <w:rFonts w:ascii="Calibri" w:hAnsi="Calibri" w:cs="Calibri"/>
          <w:b/>
          <w:bCs/>
          <w:shd w:val="clear" w:color="auto" w:fill="FFFFFF"/>
        </w:rPr>
        <w:br/>
      </w:r>
      <w:r w:rsidRPr="00DD7BD1">
        <w:rPr>
          <w:rFonts w:ascii="Calibri" w:hAnsi="Calibri" w:cs="Calibri"/>
          <w:shd w:val="clear" w:color="auto" w:fill="FFFFFF"/>
        </w:rPr>
        <w:t>For employers with four or more employees, the minimum hourly wage will increase to $16.60. The minimum hourly base wage for tipped employees will increase to $12.62.</w:t>
      </w:r>
    </w:p>
    <w:p w14:paraId="0DA5DF54" w14:textId="6CBD703A" w:rsidR="00784E6F" w:rsidRPr="00DD7BD1" w:rsidRDefault="00784E6F" w:rsidP="0036492C">
      <w:pPr>
        <w:rPr>
          <w:rFonts w:ascii="Calibri" w:hAnsi="Calibri" w:cs="Calibri"/>
          <w:b/>
          <w:bCs/>
          <w:shd w:val="clear" w:color="auto" w:fill="FFFFFF"/>
        </w:rPr>
      </w:pPr>
      <w:r w:rsidRPr="00DD7BD1">
        <w:rPr>
          <w:rFonts w:ascii="Calibri" w:hAnsi="Calibri" w:cs="Calibri"/>
          <w:b/>
          <w:bCs/>
          <w:shd w:val="clear" w:color="auto" w:fill="FFFFFF"/>
        </w:rPr>
        <w:t>Fair Workweek Threshold Increase</w:t>
      </w:r>
      <w:r w:rsidRPr="00DD7BD1">
        <w:rPr>
          <w:rFonts w:ascii="Calibri" w:hAnsi="Calibri" w:cs="Calibri"/>
          <w:b/>
          <w:bCs/>
          <w:shd w:val="clear" w:color="auto" w:fill="FFFFFF"/>
        </w:rPr>
        <w:br/>
      </w:r>
      <w:r w:rsidRPr="00DD7BD1">
        <w:rPr>
          <w:rFonts w:ascii="Calibri" w:hAnsi="Calibri" w:cs="Calibri"/>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732"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62AF9949" w14:textId="7EB1FF8E"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City of Chicago Updated Paid Sick Leave Payouts – </w:t>
      </w:r>
      <w:r w:rsidRPr="00DD7BD1">
        <w:rPr>
          <w:rFonts w:ascii="Calibri" w:hAnsi="Calibri" w:cs="Calibri"/>
          <w:b/>
          <w:bCs/>
          <w:color w:val="C00000"/>
          <w:sz w:val="28"/>
          <w:szCs w:val="28"/>
          <w:shd w:val="clear" w:color="auto" w:fill="FFFFFF"/>
          <w:lang w:val="en"/>
        </w:rPr>
        <w:t>July 1, 2025</w:t>
      </w:r>
    </w:p>
    <w:p w14:paraId="05986788" w14:textId="77777777" w:rsidR="00402F96" w:rsidRPr="00DD7BD1" w:rsidRDefault="00402F96" w:rsidP="00402F96">
      <w:pPr>
        <w:spacing w:line="278" w:lineRule="auto"/>
        <w:rPr>
          <w:rFonts w:ascii="Calibri" w:hAnsi="Calibri" w:cs="Calibri"/>
        </w:rPr>
      </w:pPr>
      <w:r w:rsidRPr="00DD7BD1">
        <w:rPr>
          <w:rFonts w:ascii="Calibri" w:hAnsi="Calibri" w:cs="Calibri"/>
        </w:rPr>
        <w:t>Pursuant to </w:t>
      </w:r>
      <w:hyperlink r:id="rId733" w:tgtFrame="_blank" w:history="1">
        <w:r w:rsidRPr="00DD7BD1">
          <w:rPr>
            <w:rStyle w:val="Hyperlink"/>
            <w:rFonts w:ascii="Calibri" w:hAnsi="Calibri" w:cs="Calibri"/>
          </w:rPr>
          <w:t>Chicago Municipal Code §§ 6-130-005 </w:t>
        </w:r>
        <w:r w:rsidRPr="00DD7BD1">
          <w:rPr>
            <w:rStyle w:val="Hyperlink"/>
            <w:rFonts w:ascii="Calibri" w:hAnsi="Calibri" w:cs="Calibri"/>
            <w:i/>
            <w:iCs/>
          </w:rPr>
          <w:t>et seq</w:t>
        </w:r>
      </w:hyperlink>
      <w:r w:rsidRPr="00DD7BD1">
        <w:rPr>
          <w:rFonts w:ascii="Calibri" w:hAnsi="Calibri" w:cs="Calibri"/>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w:t>
      </w:r>
      <w:proofErr w:type="gramStart"/>
      <w:r w:rsidRPr="00DD7BD1">
        <w:rPr>
          <w:rFonts w:ascii="Calibri" w:hAnsi="Calibri" w:cs="Calibri"/>
        </w:rPr>
        <w:t>Payout of</w:t>
      </w:r>
      <w:proofErr w:type="gramEnd"/>
      <w:r w:rsidRPr="00DD7BD1">
        <w:rPr>
          <w:rFonts w:ascii="Calibri" w:hAnsi="Calibri" w:cs="Calibri"/>
        </w:rPr>
        <w:t xml:space="preserve"> paid sick leave is not required, but </w:t>
      </w:r>
      <w:r w:rsidRPr="00DD7BD1">
        <w:rPr>
          <w:rFonts w:ascii="Calibri" w:hAnsi="Calibri" w:cs="Calibri"/>
          <w:u w:val="single"/>
        </w:rPr>
        <w:t xml:space="preserve">beginning </w:t>
      </w:r>
      <w:r w:rsidRPr="00DD7BD1">
        <w:rPr>
          <w:rFonts w:ascii="Calibri" w:hAnsi="Calibri" w:cs="Calibri"/>
          <w:color w:val="C00000"/>
          <w:u w:val="single"/>
        </w:rPr>
        <w:t>July 1, 2025</w:t>
      </w:r>
      <w:r w:rsidRPr="00DD7BD1">
        <w:rPr>
          <w:rFonts w:ascii="Calibri" w:hAnsi="Calibri" w:cs="Calibri"/>
          <w:u w:val="single"/>
        </w:rPr>
        <w:t>, employers with</w:t>
      </w:r>
      <w:r w:rsidRPr="00DD7BD1">
        <w:rPr>
          <w:rFonts w:ascii="Calibri" w:hAnsi="Calibri" w:cs="Calibri"/>
        </w:rPr>
        <w:t xml:space="preserve"> </w:t>
      </w:r>
      <w:r w:rsidRPr="00DD7BD1">
        <w:rPr>
          <w:rFonts w:ascii="Calibri" w:hAnsi="Calibri" w:cs="Calibri"/>
          <w:u w:val="single"/>
        </w:rPr>
        <w:t>51 or more employees must pay out all unused, accrued paid leave upon termination</w:t>
      </w:r>
      <w:r w:rsidRPr="00DD7BD1">
        <w:rPr>
          <w:rFonts w:ascii="Calibri" w:hAnsi="Calibri" w:cs="Calibri"/>
        </w:rPr>
        <w:t>. (Employers with 101+ employees are already subject to this requirement.)</w:t>
      </w:r>
    </w:p>
    <w:p w14:paraId="76831D96" w14:textId="77777777"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Cook County Revises Mandatory Paid Leave Rules</w:t>
      </w:r>
    </w:p>
    <w:p w14:paraId="38702AC1" w14:textId="58512E1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April 10, 2025, the Cook County Board of Commissioners approved </w:t>
      </w:r>
      <w:hyperlink r:id="rId734" w:tgtFrame="_blank" w:history="1">
        <w:r w:rsidRPr="00DD7BD1">
          <w:rPr>
            <w:rStyle w:val="Hyperlink"/>
            <w:rFonts w:ascii="Calibri" w:hAnsi="Calibri" w:cs="Calibri"/>
            <w:shd w:val="clear" w:color="auto" w:fill="FFFFFF"/>
          </w:rPr>
          <w:t>further revisions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to the Commission on Human Rights’ regulations implementing the county’s paid leave ordinance. Many private employers will welcome these clarifications.</w:t>
      </w:r>
    </w:p>
    <w:p w14:paraId="1E7032B1" w14:textId="3D62E933"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No Accrual of Paid Leave When Using Paid Leave</w:t>
      </w:r>
      <w:r w:rsidRPr="00DD7BD1">
        <w:rPr>
          <w:rFonts w:ascii="Calibri" w:hAnsi="Calibri" w:cs="Calibri"/>
          <w:shd w:val="clear" w:color="auto" w:fill="FFFFFF"/>
        </w:rPr>
        <w:t xml:space="preserve">: The paid leave ordinance requires statutory paid leave to accrue based on “hours worked.” Originally, </w:t>
      </w:r>
      <w:r w:rsidRPr="00DD7BD1">
        <w:rPr>
          <w:rFonts w:ascii="Calibri" w:hAnsi="Calibri" w:cs="Calibri"/>
          <w:u w:val="single"/>
          <w:shd w:val="clear" w:color="auto" w:fill="FFFFFF"/>
        </w:rPr>
        <w:t>the rules</w:t>
      </w:r>
      <w:r w:rsidRPr="00DD7BD1">
        <w:rPr>
          <w:rFonts w:ascii="Calibri" w:hAnsi="Calibri" w:cs="Calibri"/>
          <w:shd w:val="clear" w:color="auto" w:fill="FFFFFF"/>
        </w:rPr>
        <w:t xml:space="preserve"> had stated that employers were required to allow employees to accrue statutory paid leave when using statutory paid leave. </w:t>
      </w:r>
      <w:r w:rsidRPr="00DD7BD1">
        <w:rPr>
          <w:rFonts w:ascii="Calibri" w:hAnsi="Calibri" w:cs="Calibri"/>
          <w:u w:val="single"/>
          <w:shd w:val="clear" w:color="auto" w:fill="FFFFFF"/>
        </w:rPr>
        <w:t>The revised rules revert to the ordinance’s “hours worked” standard.</w:t>
      </w:r>
    </w:p>
    <w:p w14:paraId="541278C4" w14:textId="16991B21"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Pay Date When Paid Leave Used</w:t>
      </w:r>
      <w:r w:rsidRPr="00DD7BD1">
        <w:rPr>
          <w:rFonts w:ascii="Calibri" w:hAnsi="Calibri" w:cs="Calibri"/>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DD7BD1">
        <w:rPr>
          <w:rFonts w:ascii="Calibri" w:hAnsi="Calibri" w:cs="Calibri"/>
          <w:u w:val="single"/>
          <w:shd w:val="clear" w:color="auto" w:fill="FFFFFF"/>
        </w:rPr>
        <w:t>Now, however, payment need not be made until the payday for the pay period after the pay period during which the employee used leave.</w:t>
      </w:r>
    </w:p>
    <w:p w14:paraId="6BE1F9EE" w14:textId="0AB26D0D"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lastRenderedPageBreak/>
        <w:t>Additional Benefits When Using Paid Leave</w:t>
      </w:r>
      <w:r w:rsidRPr="00DD7BD1">
        <w:rPr>
          <w:rFonts w:ascii="Calibri" w:hAnsi="Calibri" w:cs="Calibri"/>
          <w:shd w:val="clear" w:color="auto" w:fill="FFFFFF"/>
        </w:rPr>
        <w:t>: Previously, the rules required that, if an employer would compensate an employee for regular work with additional benefits (</w:t>
      </w:r>
      <w:r w:rsidRPr="00DD7BD1">
        <w:rPr>
          <w:rFonts w:ascii="Calibri" w:hAnsi="Calibri" w:cs="Calibri"/>
          <w:i/>
          <w:iCs/>
          <w:shd w:val="clear" w:color="auto" w:fill="FFFFFF"/>
        </w:rPr>
        <w:t>e.g</w:t>
      </w:r>
      <w:r w:rsidRPr="00DD7BD1">
        <w:rPr>
          <w:rFonts w:ascii="Calibri" w:hAnsi="Calibri" w:cs="Calibri"/>
          <w:shd w:val="clear" w:color="auto" w:fill="FFFFFF"/>
        </w:rPr>
        <w:t>., paid leave accrual, seniority or health benefits), the employer also had to offer those additional benefits to employees when they use statutory paid leave</w:t>
      </w:r>
      <w:r w:rsidRPr="00DD7BD1">
        <w:rPr>
          <w:rFonts w:ascii="Calibri" w:hAnsi="Calibri" w:cs="Calibri"/>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DD7BD1">
        <w:rPr>
          <w:rFonts w:ascii="Calibri" w:hAnsi="Calibri" w:cs="Calibri"/>
          <w:shd w:val="clear" w:color="auto" w:fill="FFFFFF"/>
        </w:rPr>
        <w:t>rk.</w:t>
      </w:r>
    </w:p>
    <w:p w14:paraId="05BBE9A6" w14:textId="7A0E37B4"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Use if Employee Suspended or Placed on Disciplinary Leave</w:t>
      </w:r>
      <w:r w:rsidRPr="00DD7BD1">
        <w:rPr>
          <w:rFonts w:ascii="Calibri" w:hAnsi="Calibri" w:cs="Calibri"/>
          <w:shd w:val="clear" w:color="auto" w:fill="FFFFFF"/>
        </w:rPr>
        <w:t xml:space="preserve">: At first, the rules said employers could not allow employees to use statutory paid leave when they were suspended or placed on leave for disciplinary reasons. As amended, </w:t>
      </w:r>
      <w:r w:rsidRPr="00DD7BD1">
        <w:rPr>
          <w:rFonts w:ascii="Calibri" w:hAnsi="Calibri" w:cs="Calibri"/>
          <w:u w:val="single"/>
          <w:shd w:val="clear" w:color="auto" w:fill="FFFFFF"/>
        </w:rPr>
        <w:t>employers cannot require employees to use statutory paid leave, but they can choose to allow employees to use it under these circumstances.</w:t>
      </w:r>
    </w:p>
    <w:p w14:paraId="14FF394F" w14:textId="77777777"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Next Steps</w:t>
      </w:r>
      <w:r w:rsidRPr="00DD7BD1">
        <w:rPr>
          <w:rFonts w:ascii="Calibri" w:hAnsi="Calibri" w:cs="Calibri"/>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DD7BD1">
        <w:rPr>
          <w:rFonts w:ascii="Calibri" w:hAnsi="Calibri" w:cs="Calibri"/>
          <w:u w:val="single"/>
          <w:shd w:val="clear" w:color="auto" w:fill="FFFFFF"/>
        </w:rPr>
        <w:t>regulations also require that employers notify employees of changes to their policy in writing within five days of making the changes.</w:t>
      </w:r>
    </w:p>
    <w:p w14:paraId="0D1A3491" w14:textId="6BC3C8CC"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One Day in Seven Act to Prohibit Retaliation</w:t>
      </w:r>
    </w:p>
    <w:p w14:paraId="415F44E4"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Governor JB Pritzker signed SB 3180 into law prohibiting retaliation under the </w:t>
      </w:r>
      <w:proofErr w:type="gramStart"/>
      <w:r w:rsidRPr="00DD7BD1">
        <w:rPr>
          <w:rFonts w:ascii="Calibri" w:hAnsi="Calibri" w:cs="Calibri"/>
          <w:b/>
          <w:bCs/>
          <w:shd w:val="clear" w:color="auto" w:fill="FFFFFF"/>
        </w:rPr>
        <w:t>One Day</w:t>
      </w:r>
      <w:proofErr w:type="gramEnd"/>
      <w:r w:rsidRPr="00DD7BD1">
        <w:rPr>
          <w:rFonts w:ascii="Calibri" w:hAnsi="Calibri" w:cs="Calibri"/>
          <w:b/>
          <w:bCs/>
          <w:shd w:val="clear" w:color="auto" w:fill="FFFFFF"/>
        </w:rPr>
        <w:t xml:space="preserve"> Rest in Seven Act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DD7BD1" w:rsidRDefault="00402F96">
      <w:pPr>
        <w:numPr>
          <w:ilvl w:val="0"/>
          <w:numId w:val="174"/>
        </w:numPr>
        <w:spacing w:after="0" w:line="240" w:lineRule="auto"/>
        <w:rPr>
          <w:rFonts w:ascii="Calibri" w:hAnsi="Calibri" w:cs="Calibri"/>
          <w:shd w:val="clear" w:color="auto" w:fill="FFFFFF"/>
        </w:rPr>
      </w:pPr>
      <w:proofErr w:type="gramStart"/>
      <w:r w:rsidRPr="00DD7BD1">
        <w:rPr>
          <w:rFonts w:ascii="Calibri" w:hAnsi="Calibri" w:cs="Calibri"/>
          <w:shd w:val="clear" w:color="auto" w:fill="FFFFFF"/>
        </w:rPr>
        <w:t>Exercised</w:t>
      </w:r>
      <w:proofErr w:type="gramEnd"/>
      <w:r w:rsidRPr="00DD7BD1">
        <w:rPr>
          <w:rFonts w:ascii="Calibri" w:hAnsi="Calibri" w:cs="Calibri"/>
          <w:shd w:val="clear" w:color="auto" w:fill="FFFFFF"/>
        </w:rPr>
        <w:t xml:space="preserve"> a right guaranteed under the Act;</w:t>
      </w:r>
    </w:p>
    <w:p w14:paraId="58BCA1D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Complained to the employer;</w:t>
      </w:r>
    </w:p>
    <w:p w14:paraId="5799DA7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Filed or plans to file a proceeding under or related to the Act; or</w:t>
      </w:r>
    </w:p>
    <w:p w14:paraId="445F293A"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Testified or is about to testify in an investigation or proceeding under the Act.</w:t>
      </w:r>
    </w:p>
    <w:p w14:paraId="11BD64AC"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amendments are codified at chapter 820, sections 140/5.5 and 140/7 of the Illinois Compiled Statutes.</w:t>
      </w:r>
    </w:p>
    <w:p w14:paraId="3B653992" w14:textId="3FF1057D" w:rsidR="00402F96" w:rsidRPr="00DD7BD1" w:rsidRDefault="00402F96" w:rsidP="00402F96">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shd w:val="clear" w:color="auto" w:fill="FFFFFF"/>
          <w:lang w:val="en"/>
        </w:rPr>
        <w:t xml:space="preserve"> </w:t>
      </w:r>
      <w:r w:rsidRPr="00DD7BD1">
        <w:rPr>
          <w:rFonts w:ascii="Calibri" w:hAnsi="Calibri" w:cs="Calibri"/>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Recent Court Decision – Nondiscretionary Performance Bonuses &amp; Overtime Pay Calculations</w:t>
      </w:r>
    </w:p>
    <w:p w14:paraId="0424AED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Court Decision</w:t>
      </w:r>
    </w:p>
    <w:p w14:paraId="0E53F00F"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735" w:tgtFrame="_blank" w:history="1">
        <w:r w:rsidRPr="00DD7BD1">
          <w:rPr>
            <w:rStyle w:val="Hyperlink"/>
            <w:rFonts w:ascii="Calibri" w:hAnsi="Calibri" w:cs="Calibri"/>
            <w:i/>
            <w:iCs/>
            <w:shd w:val="clear" w:color="auto" w:fill="FFFFFF"/>
          </w:rPr>
          <w:t>Mercado v. S&amp;C Elec. Co.</w:t>
        </w:r>
      </w:hyperlink>
      <w:r w:rsidRPr="00DD7BD1">
        <w:rPr>
          <w:rFonts w:ascii="Calibri" w:hAnsi="Calibri" w:cs="Calibri"/>
          <w:i/>
          <w:iCs/>
          <w:shd w:val="clear" w:color="auto" w:fill="FFFFFF"/>
        </w:rPr>
        <w:t>,</w:t>
      </w:r>
      <w:r w:rsidRPr="00DD7BD1">
        <w:rPr>
          <w:rFonts w:ascii="Calibri" w:hAnsi="Calibri" w:cs="Calibri"/>
          <w:shd w:val="clear" w:color="auto" w:fill="FFFFFF"/>
        </w:rPr>
        <w:t> 2025 IL 129526 (2025).</w:t>
      </w:r>
    </w:p>
    <w:p w14:paraId="452D1849"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lastRenderedPageBreak/>
        <w:t>The Court did not address a separate exclusion under Illinois law for discretionary bonuses “paid in recognition of services performed which are determined at the sole discretion of the employer.”</w:t>
      </w:r>
    </w:p>
    <w:p w14:paraId="045A9584"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Takeaways</w:t>
      </w:r>
    </w:p>
    <w:p w14:paraId="222696BD"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Illinois high court ruled in </w:t>
      </w:r>
      <w:r w:rsidRPr="00DD7BD1">
        <w:rPr>
          <w:rFonts w:ascii="Calibri" w:hAnsi="Calibri" w:cs="Calibri"/>
          <w:i/>
          <w:iCs/>
          <w:shd w:val="clear" w:color="auto" w:fill="FFFFFF"/>
        </w:rPr>
        <w:t>Mercado </w:t>
      </w:r>
      <w:r w:rsidRPr="00DD7BD1">
        <w:rPr>
          <w:rFonts w:ascii="Calibri" w:hAnsi="Calibri" w:cs="Calibri"/>
          <w:shd w:val="clear" w:color="auto" w:fill="FFFFFF"/>
        </w:rPr>
        <w:t>that state law requires that o</w:t>
      </w:r>
      <w:r w:rsidRPr="00DD7BD1">
        <w:rPr>
          <w:rFonts w:ascii="Calibri" w:hAnsi="Calibri" w:cs="Calibri"/>
          <w:u w:val="single"/>
          <w:shd w:val="clear" w:color="auto" w:fill="FFFFFF"/>
        </w:rPr>
        <w:t>vertime calculations include performance bonuse</w:t>
      </w:r>
      <w:r w:rsidRPr="00DD7BD1">
        <w:rPr>
          <w:rFonts w:ascii="Calibri" w:hAnsi="Calibri" w:cs="Calibri"/>
          <w:shd w:val="clear" w:color="auto" w:fill="FFFFFF"/>
        </w:rPr>
        <w:t>s even when the nondiscretionary bonuses, as in this case, were not dependent on hours worked.</w:t>
      </w:r>
    </w:p>
    <w:p w14:paraId="3D718376"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Court noted the Illinois Minimum Wage Law is in line with the Fair Labor Standards Act on this issue and federal regulations support its holding.</w:t>
      </w:r>
    </w:p>
    <w:p w14:paraId="47266A57" w14:textId="35CAC9FB"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Implications</w:t>
      </w:r>
    </w:p>
    <w:p w14:paraId="38EFCD9C" w14:textId="69B47F0E" w:rsidR="00402F96" w:rsidRPr="00DD7BD1" w:rsidRDefault="00402F96" w:rsidP="00402F96">
      <w:pPr>
        <w:rPr>
          <w:rFonts w:ascii="Calibri" w:hAnsi="Calibri" w:cs="Calibri"/>
          <w:b/>
          <w:bCs/>
          <w:shd w:val="clear" w:color="auto" w:fill="FFFFFF"/>
        </w:rPr>
      </w:pPr>
      <w:r w:rsidRPr="00DD7BD1">
        <w:rPr>
          <w:rFonts w:ascii="Calibri" w:hAnsi="Calibri" w:cs="Calibri"/>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DD7BD1" w:rsidRDefault="00BB4530" w:rsidP="00BB4530">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Makes Equal Pay Registration Certificate Updates for 2025 – </w:t>
      </w:r>
      <w:r w:rsidRPr="00DD7BD1">
        <w:rPr>
          <w:rFonts w:ascii="Calibri" w:hAnsi="Calibri" w:cs="Calibri"/>
          <w:b/>
          <w:bCs/>
          <w:color w:val="C00000"/>
          <w:sz w:val="28"/>
          <w:szCs w:val="28"/>
          <w:shd w:val="clear" w:color="auto" w:fill="FFFFFF"/>
        </w:rPr>
        <w:t>March 31</w:t>
      </w:r>
    </w:p>
    <w:p w14:paraId="02FB6C9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(IDOL) is informing employers with </w:t>
      </w:r>
      <w:hyperlink r:id="rId736" w:tgtFrame="_blank" w:history="1">
        <w:r w:rsidRPr="00DD7BD1">
          <w:rPr>
            <w:rStyle w:val="Hyperlink"/>
            <w:rFonts w:ascii="Calibri" w:hAnsi="Calibri" w:cs="Calibri"/>
            <w:shd w:val="clear" w:color="auto" w:fill="FFFFFF"/>
          </w:rPr>
          <w:t>Equal Pay Registration Certificates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(EPRC) about changes that will impact upcoming filings.</w:t>
      </w:r>
    </w:p>
    <w:p w14:paraId="02810D96" w14:textId="77777777" w:rsidR="00BB4530" w:rsidRPr="00DD7BD1" w:rsidRDefault="00BB4530" w:rsidP="00BB4530">
      <w:pPr>
        <w:spacing w:after="0" w:line="240" w:lineRule="auto"/>
        <w:rPr>
          <w:rFonts w:ascii="Calibri" w:hAnsi="Calibri" w:cs="Calibri"/>
          <w:shd w:val="clear" w:color="auto" w:fill="FFFFFF"/>
        </w:rPr>
      </w:pPr>
    </w:p>
    <w:p w14:paraId="2BF2E03A"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updates include:</w:t>
      </w:r>
    </w:p>
    <w:p w14:paraId="1F90EC68" w14:textId="77777777" w:rsidR="00BB4530" w:rsidRPr="00DD7BD1" w:rsidRDefault="00BB4530">
      <w:pPr>
        <w:numPr>
          <w:ilvl w:val="0"/>
          <w:numId w:val="153"/>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 new, standardized </w:t>
      </w:r>
      <w:hyperlink r:id="rId737" w:tgtFrame="_blank" w:history="1">
        <w:r w:rsidRPr="00DD7BD1">
          <w:rPr>
            <w:rStyle w:val="Hyperlink"/>
            <w:rFonts w:ascii="Calibri" w:hAnsi="Calibri" w:cs="Calibri"/>
            <w:shd w:val="clear" w:color="auto" w:fill="FFFFFF"/>
          </w:rPr>
          <w:t>data template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with additional required fields:</w:t>
      </w:r>
    </w:p>
    <w:p w14:paraId="15CA0DB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each position is subject to a collective bargaining agreement; and</w:t>
      </w:r>
    </w:p>
    <w:p w14:paraId="037D580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the position is paid hourly or salaried (and if hourly, the pay rate).</w:t>
      </w:r>
    </w:p>
    <w:p w14:paraId="7AA72556" w14:textId="77777777" w:rsidR="00BB4530" w:rsidRPr="00DD7BD1" w:rsidRDefault="00BB4530">
      <w:pPr>
        <w:numPr>
          <w:ilvl w:val="0"/>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A streamlined process for submitting Compliance Statements and other forms via a web-based submission, eliminating the need to download, complete, scan, and upload forms.</w:t>
      </w:r>
    </w:p>
    <w:p w14:paraId="79504CCC" w14:textId="77777777" w:rsidR="00BB4530" w:rsidRPr="00DD7BD1" w:rsidRDefault="00BB4530" w:rsidP="00BB4530">
      <w:pPr>
        <w:spacing w:after="0" w:line="240" w:lineRule="auto"/>
        <w:rPr>
          <w:rFonts w:ascii="Calibri" w:hAnsi="Calibri" w:cs="Calibri"/>
          <w:shd w:val="clear" w:color="auto" w:fill="FFFFFF"/>
        </w:rPr>
      </w:pPr>
    </w:p>
    <w:p w14:paraId="189F385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DD7BD1" w:rsidRDefault="00BB4530" w:rsidP="00BB4530">
      <w:pPr>
        <w:spacing w:after="0" w:line="240" w:lineRule="auto"/>
        <w:rPr>
          <w:rFonts w:ascii="Calibri" w:hAnsi="Calibri" w:cs="Calibri"/>
          <w:shd w:val="clear" w:color="auto" w:fill="FFFFFF"/>
        </w:rPr>
      </w:pPr>
    </w:p>
    <w:p w14:paraId="068F46E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with EPRC </w:t>
      </w:r>
      <w:r w:rsidRPr="00DD7BD1">
        <w:rPr>
          <w:rFonts w:ascii="Calibri" w:hAnsi="Calibri" w:cs="Calibri"/>
          <w:b/>
          <w:bCs/>
          <w:shd w:val="clear" w:color="auto" w:fill="FFFFFF"/>
        </w:rPr>
        <w:t>recertification deadlines between January 1, 2025, and March 30, 2025</w:t>
      </w:r>
      <w:r w:rsidRPr="00DD7BD1">
        <w:rPr>
          <w:rFonts w:ascii="Calibri" w:hAnsi="Calibri" w:cs="Calibri"/>
          <w:shd w:val="clear" w:color="auto" w:fill="FFFFFF"/>
        </w:rPr>
        <w:t xml:space="preserve">, now have an extended deadline of </w:t>
      </w:r>
      <w:r w:rsidRPr="00DD7BD1">
        <w:rPr>
          <w:rFonts w:ascii="Calibri" w:hAnsi="Calibri" w:cs="Calibri"/>
          <w:color w:val="C00000"/>
          <w:shd w:val="clear" w:color="auto" w:fill="FFFFFF"/>
        </w:rPr>
        <w:t xml:space="preserve">March 31, 2025, </w:t>
      </w:r>
      <w:r w:rsidRPr="00DD7BD1">
        <w:rPr>
          <w:rFonts w:ascii="Calibri" w:hAnsi="Calibri" w:cs="Calibri"/>
          <w:shd w:val="clear" w:color="auto" w:fill="FFFFFF"/>
        </w:rPr>
        <w:t>with further extensions available upon request.</w:t>
      </w:r>
    </w:p>
    <w:p w14:paraId="41A00839" w14:textId="77777777" w:rsidR="00BB4530" w:rsidRPr="00DD7BD1" w:rsidRDefault="00BB4530" w:rsidP="00BB4530">
      <w:pPr>
        <w:spacing w:after="0" w:line="240" w:lineRule="auto"/>
        <w:rPr>
          <w:rFonts w:ascii="Calibri" w:hAnsi="Calibri" w:cs="Calibri"/>
          <w:shd w:val="clear" w:color="auto" w:fill="FFFFFF"/>
        </w:rPr>
      </w:pPr>
    </w:p>
    <w:p w14:paraId="336859A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Access the State’s Equal Pay Website </w:t>
      </w:r>
      <w:hyperlink r:id="rId738"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and access additional State Resources.</w:t>
      </w:r>
    </w:p>
    <w:p w14:paraId="65C6E8AA" w14:textId="77777777" w:rsidR="00BB4530" w:rsidRPr="00DD7BD1" w:rsidRDefault="00BB4530" w:rsidP="00503F70">
      <w:pPr>
        <w:spacing w:after="0" w:line="240" w:lineRule="auto"/>
        <w:jc w:val="center"/>
        <w:rPr>
          <w:rFonts w:ascii="Calibri" w:hAnsi="Calibri" w:cs="Calibri"/>
          <w:b/>
          <w:bCs/>
          <w:sz w:val="18"/>
          <w:szCs w:val="18"/>
          <w:shd w:val="clear" w:color="auto" w:fill="FFFFFF"/>
        </w:rPr>
      </w:pPr>
    </w:p>
    <w:p w14:paraId="4BACB4B9" w14:textId="554C28D2" w:rsidR="00503F70" w:rsidRPr="00DD7BD1" w:rsidRDefault="00503F70" w:rsidP="00503F70">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Navigating New E-Verify and I-9 Compliance Requirements</w:t>
      </w:r>
    </w:p>
    <w:p w14:paraId="3B9DF672"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DD7BD1" w:rsidRDefault="00503F70" w:rsidP="00503F70">
      <w:pPr>
        <w:spacing w:after="0" w:line="240" w:lineRule="auto"/>
        <w:rPr>
          <w:rFonts w:ascii="Calibri" w:hAnsi="Calibri" w:cs="Calibri"/>
          <w:sz w:val="12"/>
          <w:szCs w:val="12"/>
          <w:shd w:val="clear" w:color="auto" w:fill="FFFFFF"/>
        </w:rPr>
      </w:pPr>
    </w:p>
    <w:p w14:paraId="6000122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NOTE: This law applies to companies located in Illinois and any employer with employees working in Illinois, regardless of where the company is headquartered. It does </w:t>
      </w:r>
      <w:r w:rsidRPr="00DD7BD1">
        <w:rPr>
          <w:rFonts w:ascii="Calibri" w:hAnsi="Calibri" w:cs="Calibri"/>
          <w:b/>
          <w:bCs/>
          <w:shd w:val="clear" w:color="auto" w:fill="FFFFFF"/>
        </w:rPr>
        <w:t>not</w:t>
      </w:r>
      <w:r w:rsidRPr="00DD7BD1">
        <w:rPr>
          <w:rFonts w:ascii="Calibri" w:hAnsi="Calibri" w:cs="Calibri"/>
          <w:shd w:val="clear" w:color="auto" w:fill="FFFFFF"/>
        </w:rPr>
        <w:t xml:space="preserve"> extend to employees working outside of Illinois for an Illinois-based company. </w:t>
      </w:r>
    </w:p>
    <w:p w14:paraId="7DC5ED35" w14:textId="77777777" w:rsidR="00503F70" w:rsidRPr="00DD7BD1" w:rsidRDefault="00503F70" w:rsidP="00503F70">
      <w:pPr>
        <w:spacing w:after="0" w:line="240" w:lineRule="auto"/>
        <w:rPr>
          <w:rFonts w:ascii="Calibri" w:hAnsi="Calibri" w:cs="Calibri"/>
          <w:sz w:val="12"/>
          <w:szCs w:val="12"/>
          <w:shd w:val="clear" w:color="auto" w:fill="FFFFFF"/>
        </w:rPr>
      </w:pPr>
    </w:p>
    <w:p w14:paraId="2D2A188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DD7BD1" w:rsidRDefault="00503F70" w:rsidP="00503F70">
      <w:pPr>
        <w:spacing w:after="0" w:line="240" w:lineRule="auto"/>
        <w:rPr>
          <w:rFonts w:ascii="Calibri" w:hAnsi="Calibri" w:cs="Calibri"/>
          <w:sz w:val="12"/>
          <w:szCs w:val="12"/>
          <w:shd w:val="clear" w:color="auto" w:fill="FFFFFF"/>
        </w:rPr>
      </w:pPr>
    </w:p>
    <w:p w14:paraId="6792C70D"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Compliance Updates:</w:t>
      </w:r>
    </w:p>
    <w:p w14:paraId="04EB27E6"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Expanded Employee Protections:</w:t>
      </w:r>
    </w:p>
    <w:p w14:paraId="4C6664CA"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Employers must notify employees when their work eligibility or documentation is questioned.</w:t>
      </w:r>
    </w:p>
    <w:p w14:paraId="0F35891B"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are required to inform the entire workforce in case of a federal I-9 audit.</w:t>
      </w:r>
    </w:p>
    <w:p w14:paraId="13D97D9E" w14:textId="77777777" w:rsidR="00503F70" w:rsidRPr="00DD7BD1" w:rsidRDefault="00503F70" w:rsidP="00503F70">
      <w:pPr>
        <w:spacing w:after="0" w:line="240" w:lineRule="auto"/>
        <w:rPr>
          <w:rFonts w:ascii="Calibri" w:hAnsi="Calibri" w:cs="Calibri"/>
          <w:sz w:val="12"/>
          <w:szCs w:val="12"/>
          <w:shd w:val="clear" w:color="auto" w:fill="FFFFFF"/>
        </w:rPr>
      </w:pPr>
    </w:p>
    <w:p w14:paraId="19B4E1B4"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Prohibited Practices:</w:t>
      </w:r>
    </w:p>
    <w:p w14:paraId="4B437EEC"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E-Verify cannot be used to prescreen applicants.</w:t>
      </w:r>
    </w:p>
    <w:p w14:paraId="7768F6FA"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cannot act on tentative non-confirmations without following federal procedures.</w:t>
      </w:r>
    </w:p>
    <w:p w14:paraId="10D7CD75"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DD7BD1" w:rsidRDefault="00503F70" w:rsidP="00503F70">
      <w:pPr>
        <w:spacing w:after="0" w:line="240" w:lineRule="auto"/>
        <w:rPr>
          <w:rFonts w:ascii="Calibri" w:hAnsi="Calibri" w:cs="Calibri"/>
          <w:sz w:val="12"/>
          <w:szCs w:val="12"/>
          <w:shd w:val="clear" w:color="auto" w:fill="FFFFFF"/>
        </w:rPr>
      </w:pPr>
    </w:p>
    <w:p w14:paraId="7348355E"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State Penalties for Non-Compliance:</w:t>
      </w:r>
    </w:p>
    <w:p w14:paraId="34344405" w14:textId="77777777" w:rsidR="00503F70" w:rsidRPr="00DD7BD1" w:rsidRDefault="00503F70">
      <w:pPr>
        <w:numPr>
          <w:ilvl w:val="0"/>
          <w:numId w:val="137"/>
        </w:numPr>
        <w:spacing w:after="0" w:line="240" w:lineRule="auto"/>
        <w:rPr>
          <w:rFonts w:ascii="Calibri" w:hAnsi="Calibri" w:cs="Calibri"/>
          <w:shd w:val="clear" w:color="auto" w:fill="FFFFFF"/>
        </w:rPr>
      </w:pPr>
      <w:r w:rsidRPr="00DD7BD1">
        <w:rPr>
          <w:rFonts w:ascii="Calibri" w:hAnsi="Calibri" w:cs="Calibri"/>
          <w:shd w:val="clear" w:color="auto" w:fill="FFFFFF"/>
        </w:rPr>
        <w:t>Violations of the law may lead to penalties, emphasizing the importance of strict adherence.</w:t>
      </w:r>
    </w:p>
    <w:p w14:paraId="54224ACF" w14:textId="77777777" w:rsidR="00503F70" w:rsidRPr="00DD7BD1" w:rsidRDefault="00503F70" w:rsidP="00503F70">
      <w:pPr>
        <w:spacing w:after="0" w:line="240" w:lineRule="auto"/>
        <w:rPr>
          <w:rFonts w:ascii="Calibri" w:hAnsi="Calibri" w:cs="Calibri"/>
          <w:sz w:val="12"/>
          <w:szCs w:val="12"/>
          <w:shd w:val="clear" w:color="auto" w:fill="FFFFFF"/>
        </w:rPr>
      </w:pPr>
    </w:p>
    <w:p w14:paraId="6BF5B1A3" w14:textId="60DAC8D5"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Contrary to some misconceptions, the law does not prevent private employers from using E-Verify. Rather, it regulates its use to uphold anti-discrimination policies, safeguard worker rights, and protect businesses.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DD7BD1" w:rsidRDefault="00503F70" w:rsidP="00503F70">
      <w:pPr>
        <w:spacing w:after="0" w:line="240" w:lineRule="auto"/>
        <w:rPr>
          <w:rFonts w:ascii="Calibri" w:hAnsi="Calibri" w:cs="Calibri"/>
          <w:shd w:val="clear" w:color="auto" w:fill="FFFFFF"/>
        </w:rPr>
      </w:pPr>
    </w:p>
    <w:p w14:paraId="1DEA3096" w14:textId="1BB78F0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Law Banning Caregiver Employment Discrimination – </w:t>
      </w:r>
      <w:r w:rsidRPr="00DD7BD1">
        <w:rPr>
          <w:rFonts w:ascii="Calibri" w:hAnsi="Calibri" w:cs="Calibri"/>
          <w:b/>
          <w:bCs/>
          <w:color w:val="C00000"/>
          <w:sz w:val="28"/>
          <w:szCs w:val="28"/>
          <w:shd w:val="clear" w:color="auto" w:fill="FFFFFF"/>
          <w:lang w:val="en"/>
        </w:rPr>
        <w:t>Jan 1, 2025</w:t>
      </w:r>
    </w:p>
    <w:p w14:paraId="3C569C65"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Illinois law (HB 2161 amending the </w:t>
      </w:r>
      <w:bookmarkStart w:id="92" w:name="_Hlk190083363"/>
      <w:r w:rsidRPr="00DD7BD1">
        <w:rPr>
          <w:rFonts w:ascii="Calibri" w:hAnsi="Calibri" w:cs="Calibri"/>
          <w:shd w:val="clear" w:color="auto" w:fill="FFFFFF"/>
        </w:rPr>
        <w:t xml:space="preserve">Illinois Human Rights Act </w:t>
      </w:r>
      <w:bookmarkEnd w:id="92"/>
      <w:r w:rsidRPr="00DD7BD1">
        <w:rPr>
          <w:rFonts w:ascii="Calibri" w:hAnsi="Calibri" w:cs="Calibri"/>
          <w:shd w:val="clear" w:color="auto" w:fill="FFFFFF"/>
        </w:rPr>
        <w:t xml:space="preserve">issued on 12.27.24) now protects workers from employment discrimination based on their family responsibilities. </w:t>
      </w:r>
    </w:p>
    <w:p w14:paraId="61BAA77B"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which took effect Jan. 1, employers in the state can’t make decisions about recruitment, hiring, promotion, and more based on a worker or candidate’s real or perceived </w:t>
      </w:r>
      <w:bookmarkStart w:id="93" w:name="_Hlk188280737"/>
      <w:r w:rsidRPr="00DD7BD1">
        <w:rPr>
          <w:rFonts w:ascii="Calibri" w:hAnsi="Calibri" w:cs="Calibri"/>
          <w:shd w:val="clear" w:color="auto" w:fill="FFFFFF"/>
        </w:rPr>
        <w:t xml:space="preserve">personal care of a qualifying family member </w:t>
      </w:r>
      <w:bookmarkEnd w:id="93"/>
      <w:r w:rsidRPr="00DD7BD1">
        <w:rPr>
          <w:rFonts w:ascii="Calibri" w:hAnsi="Calibri" w:cs="Calibri"/>
          <w:shd w:val="clear" w:color="auto" w:fill="FFFFFF"/>
        </w:rPr>
        <w:t>according to the State’s </w:t>
      </w:r>
      <w:hyperlink r:id="rId739" w:history="1">
        <w:r w:rsidRPr="00DD7BD1">
          <w:rPr>
            <w:rStyle w:val="Hyperlink"/>
            <w:rFonts w:ascii="Calibri" w:hAnsi="Calibri" w:cs="Calibri"/>
            <w:color w:val="auto"/>
            <w:shd w:val="clear" w:color="auto" w:fill="FFFFFF"/>
          </w:rPr>
          <w:t xml:space="preserve"> news release</w:t>
        </w:r>
      </w:hyperlink>
    </w:p>
    <w:p w14:paraId="50B7FCE3" w14:textId="77777777" w:rsidR="00BD445F" w:rsidRPr="00DD7BD1" w:rsidRDefault="00BD445F">
      <w:pPr>
        <w:numPr>
          <w:ilvl w:val="0"/>
          <w:numId w:val="124"/>
        </w:numPr>
        <w:spacing w:after="0" w:line="240" w:lineRule="auto"/>
        <w:rPr>
          <w:rFonts w:ascii="Calibri" w:hAnsi="Calibri" w:cs="Calibri"/>
        </w:rPr>
      </w:pPr>
      <w:r w:rsidRPr="00DD7BD1">
        <w:rPr>
          <w:rFonts w:ascii="Calibri" w:hAnsi="Calibri" w:cs="Calibri"/>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Pr="00DD7BD1" w:rsidRDefault="00BD445F" w:rsidP="00503F70">
      <w:pPr>
        <w:tabs>
          <w:tab w:val="left" w:pos="11520"/>
        </w:tabs>
        <w:spacing w:after="0" w:line="240" w:lineRule="auto"/>
        <w:rPr>
          <w:rFonts w:ascii="Calibri" w:hAnsi="Calibri" w:cs="Calibri"/>
        </w:rPr>
      </w:pPr>
      <w:r w:rsidRPr="00DD7BD1">
        <w:rPr>
          <w:rFonts w:ascii="Calibri" w:hAnsi="Calibri" w:cs="Calibri"/>
        </w:rPr>
        <w:t>Applicable changes were incorporated into the January publication of updated State Handbook Addendums.  Employers should review their Handbooks to ensure State Addendums are up-to-date.</w:t>
      </w:r>
    </w:p>
    <w:p w14:paraId="3F1EDBFC" w14:textId="77777777" w:rsidR="00BD445F" w:rsidRPr="00DD7BD1" w:rsidRDefault="00BD445F" w:rsidP="00B939E8">
      <w:pPr>
        <w:spacing w:after="0" w:line="240" w:lineRule="auto"/>
        <w:jc w:val="center"/>
        <w:rPr>
          <w:rFonts w:ascii="Calibri" w:hAnsi="Calibri" w:cs="Calibri"/>
          <w:b/>
          <w:bCs/>
          <w:sz w:val="20"/>
          <w:szCs w:val="20"/>
          <w:shd w:val="clear" w:color="auto" w:fill="FFFFFF"/>
          <w:lang w:val="en"/>
        </w:rPr>
      </w:pPr>
    </w:p>
    <w:p w14:paraId="48FC8DD2" w14:textId="79795781"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Whistle Blower Act </w:t>
      </w:r>
      <w:bookmarkEnd w:id="85"/>
      <w:r w:rsidRPr="00DD7BD1">
        <w:rPr>
          <w:rFonts w:ascii="Calibri" w:hAnsi="Calibri" w:cs="Calibri"/>
          <w:b/>
          <w:bCs/>
          <w:sz w:val="28"/>
          <w:szCs w:val="28"/>
          <w:shd w:val="clear" w:color="auto" w:fill="FFFFFF"/>
          <w:lang w:val="en"/>
        </w:rPr>
        <w:t>–</w:t>
      </w:r>
      <w:r w:rsidRPr="00DD7BD1">
        <w:rPr>
          <w:rFonts w:ascii="Calibri" w:hAnsi="Calibri" w:cs="Calibri"/>
          <w:b/>
          <w:bCs/>
          <w:color w:val="C00000"/>
          <w:sz w:val="28"/>
          <w:szCs w:val="28"/>
          <w:shd w:val="clear" w:color="auto" w:fill="FFFFFF"/>
          <w:lang w:val="en"/>
        </w:rPr>
        <w:t xml:space="preserve"> Jan 1, 2025</w:t>
      </w:r>
    </w:p>
    <w:p w14:paraId="1BD98091" w14:textId="77777777" w:rsidR="00B939E8" w:rsidRPr="00DD7BD1" w:rsidRDefault="00B939E8" w:rsidP="00B939E8">
      <w:pPr>
        <w:pStyle w:val="BodyText"/>
        <w:rPr>
          <w:rFonts w:cs="Calibri"/>
          <w:color w:val="auto"/>
          <w:szCs w:val="22"/>
        </w:rPr>
      </w:pPr>
      <w:r w:rsidRPr="00DD7BD1">
        <w:rPr>
          <w:rFonts w:cs="Calibri"/>
          <w:color w:val="auto"/>
          <w:szCs w:val="22"/>
        </w:rPr>
        <w:t xml:space="preserve">The Illinois Whistleblower Act </w:t>
      </w:r>
      <w:r w:rsidRPr="00DD7BD1">
        <w:rPr>
          <w:rFonts w:cs="Calibri"/>
          <w:szCs w:val="22"/>
        </w:rPr>
        <w:t>(</w:t>
      </w:r>
      <w:hyperlink r:id="rId740" w:history="1">
        <w:r w:rsidRPr="00DD7BD1">
          <w:rPr>
            <w:rStyle w:val="Hyperlink"/>
            <w:rFonts w:cs="Calibri"/>
            <w:szCs w:val="22"/>
          </w:rPr>
          <w:t>HB 5561</w:t>
        </w:r>
      </w:hyperlink>
      <w:r w:rsidRPr="00DD7BD1">
        <w:rPr>
          <w:rFonts w:cs="Calibri"/>
          <w:szCs w:val="22"/>
        </w:rPr>
        <w:t xml:space="preserve">) </w:t>
      </w:r>
      <w:r w:rsidRPr="00DD7BD1">
        <w:rPr>
          <w:rFonts w:cs="Calibri"/>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Pr="00DD7BD1" w:rsidRDefault="00B939E8" w:rsidP="00360D1C">
      <w:pPr>
        <w:pStyle w:val="BodyText"/>
        <w:spacing w:after="0" w:line="240" w:lineRule="auto"/>
        <w:jc w:val="center"/>
        <w:rPr>
          <w:rFonts w:eastAsiaTheme="minorHAnsi" w:cs="Calibri"/>
          <w:b/>
          <w:bCs/>
          <w:color w:val="auto"/>
          <w:sz w:val="28"/>
          <w:szCs w:val="28"/>
          <w:shd w:val="clear" w:color="auto" w:fill="FFFFFF"/>
          <w:lang w:val="en"/>
        </w:rPr>
      </w:pPr>
      <w:r w:rsidRPr="00DD7BD1">
        <w:rPr>
          <w:rFonts w:eastAsiaTheme="minorHAnsi" w:cs="Calibri"/>
          <w:b/>
          <w:bCs/>
          <w:color w:val="auto"/>
          <w:sz w:val="28"/>
          <w:szCs w:val="28"/>
          <w:shd w:val="clear" w:color="auto" w:fill="FFFFFF"/>
          <w:lang w:val="en"/>
        </w:rPr>
        <w:t xml:space="preserve">State Issues FAQs for Upcoming Pay Transparency Law – </w:t>
      </w:r>
      <w:r w:rsidRPr="00DD7BD1">
        <w:rPr>
          <w:rFonts w:eastAsiaTheme="minorHAnsi" w:cs="Calibri"/>
          <w:b/>
          <w:bCs/>
          <w:color w:val="C00000"/>
          <w:sz w:val="28"/>
          <w:szCs w:val="28"/>
          <w:shd w:val="clear" w:color="auto" w:fill="FFFFFF"/>
          <w:lang w:val="en"/>
        </w:rPr>
        <w:t>Jan 1, 2025</w:t>
      </w:r>
    </w:p>
    <w:p w14:paraId="1023D059" w14:textId="24F93059" w:rsidR="00B939E8" w:rsidRPr="00DD7BD1" w:rsidRDefault="00B939E8" w:rsidP="00360D1C">
      <w:pPr>
        <w:pStyle w:val="BodyText"/>
        <w:spacing w:after="0" w:line="240" w:lineRule="auto"/>
        <w:rPr>
          <w:rFonts w:cs="Calibri"/>
          <w:szCs w:val="22"/>
          <w:shd w:val="clear" w:color="auto" w:fill="FFFFFF"/>
        </w:rPr>
      </w:pPr>
      <w:r w:rsidRPr="00DD7BD1">
        <w:rPr>
          <w:rFonts w:cs="Calibri"/>
          <w:color w:val="auto"/>
          <w:szCs w:val="22"/>
          <w:shd w:val="clear" w:color="auto" w:fill="FFFFFF"/>
        </w:rPr>
        <w:t xml:space="preserve">On Nov. 22, 2024, the Illinois Department of Labor (IDOL) published </w:t>
      </w:r>
      <w:hyperlink r:id="rId741" w:anchor="faq-1whatistheillinoisequalpayact-faq" w:history="1">
        <w:r w:rsidRPr="00DD7BD1">
          <w:rPr>
            <w:rStyle w:val="Hyperlink"/>
            <w:rFonts w:cs="Calibri"/>
            <w:szCs w:val="22"/>
            <w:shd w:val="clear" w:color="auto" w:fill="FFFFFF"/>
          </w:rPr>
          <w:t>frequently asked questions (FAQs)</w:t>
        </w:r>
      </w:hyperlink>
      <w:r w:rsidRPr="00DD7BD1">
        <w:rPr>
          <w:rFonts w:cs="Calibri"/>
          <w:szCs w:val="22"/>
          <w:shd w:val="clear" w:color="auto" w:fill="FFFFFF"/>
        </w:rPr>
        <w:t xml:space="preserve"> </w:t>
      </w:r>
      <w:r w:rsidRPr="00DD7BD1">
        <w:rPr>
          <w:rFonts w:cs="Calibri"/>
          <w:color w:val="auto"/>
          <w:szCs w:val="22"/>
          <w:shd w:val="clear" w:color="auto" w:fill="FFFFFF"/>
        </w:rPr>
        <w:t xml:space="preserve">regarding Illinois’ pay transparency </w:t>
      </w:r>
      <w:hyperlink r:id="rId742" w:history="1">
        <w:r w:rsidRPr="00DD7BD1">
          <w:rPr>
            <w:rStyle w:val="Hyperlink"/>
            <w:rFonts w:cs="Calibri"/>
            <w:szCs w:val="22"/>
            <w:shd w:val="clear" w:color="auto" w:fill="FFFFFF"/>
          </w:rPr>
          <w:t>law</w:t>
        </w:r>
      </w:hyperlink>
      <w:r w:rsidRPr="00DD7BD1">
        <w:rPr>
          <w:rFonts w:cs="Calibri"/>
          <w:szCs w:val="22"/>
          <w:shd w:val="clear" w:color="auto" w:fill="FFFFFF"/>
        </w:rPr>
        <w:t xml:space="preserve"> </w:t>
      </w:r>
      <w:r w:rsidRPr="00DD7BD1">
        <w:rPr>
          <w:rFonts w:cs="Calibri"/>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DD7BD1" w:rsidRDefault="00360D1C" w:rsidP="003B7BFE">
      <w:pPr>
        <w:spacing w:after="0" w:line="240" w:lineRule="auto"/>
        <w:jc w:val="center"/>
        <w:rPr>
          <w:rFonts w:ascii="Calibri" w:hAnsi="Calibri" w:cs="Calibri"/>
          <w:b/>
          <w:bCs/>
          <w:shd w:val="clear" w:color="auto" w:fill="FFFFFF"/>
          <w:lang w:val="en"/>
        </w:rPr>
      </w:pPr>
    </w:p>
    <w:p w14:paraId="1432E213" w14:textId="0757EE52" w:rsidR="003B7BFE" w:rsidRPr="00DD7BD1" w:rsidRDefault="00B939E8" w:rsidP="003B7BFE">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t>State</w:t>
      </w:r>
      <w:r w:rsidR="003B7BFE" w:rsidRPr="00DD7BD1">
        <w:rPr>
          <w:rFonts w:ascii="Calibri" w:hAnsi="Calibri" w:cs="Calibri"/>
          <w:b/>
          <w:bCs/>
          <w:sz w:val="28"/>
          <w:szCs w:val="28"/>
          <w:shd w:val="clear" w:color="auto" w:fill="FFFFFF"/>
          <w:lang w:val="en"/>
        </w:rPr>
        <w:t xml:space="preserve"> Amended </w:t>
      </w:r>
      <w:r w:rsidR="003B7BFE" w:rsidRPr="00DD7BD1">
        <w:rPr>
          <w:rFonts w:ascii="Calibri" w:hAnsi="Calibri" w:cs="Calibri"/>
          <w:b/>
          <w:bCs/>
          <w:sz w:val="28"/>
          <w:szCs w:val="28"/>
          <w:shd w:val="clear" w:color="auto" w:fill="FFFFFF"/>
        </w:rPr>
        <w:t xml:space="preserve">Right to Privacy in the Workplace Act – </w:t>
      </w:r>
      <w:r w:rsidR="003B7BFE" w:rsidRPr="00DD7BD1">
        <w:rPr>
          <w:rFonts w:ascii="Calibri" w:hAnsi="Calibri" w:cs="Calibri"/>
          <w:b/>
          <w:bCs/>
          <w:color w:val="C00000"/>
          <w:sz w:val="28"/>
          <w:szCs w:val="28"/>
          <w:shd w:val="clear" w:color="auto" w:fill="FFFFFF"/>
        </w:rPr>
        <w:t>Jan 1, 2025</w:t>
      </w:r>
    </w:p>
    <w:p w14:paraId="7F17A92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Public Act 103-0879, amending the Illinois Right to Privacy in the Workplace Act, late this summer. The act imposes new responsibilities on Illinois employers pertinent to E-Verify and workplace verification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preempts local government requirements. </w:t>
      </w:r>
    </w:p>
    <w:p w14:paraId="49C10420" w14:textId="77777777" w:rsidR="003B7BFE" w:rsidRPr="00DD7BD1" w:rsidRDefault="003B7BFE" w:rsidP="003B7BFE">
      <w:pPr>
        <w:spacing w:after="0" w:line="240" w:lineRule="auto"/>
        <w:rPr>
          <w:rFonts w:ascii="Calibri" w:hAnsi="Calibri" w:cs="Calibri"/>
          <w:sz w:val="16"/>
          <w:szCs w:val="16"/>
          <w:shd w:val="clear" w:color="auto" w:fill="FFFFFF"/>
        </w:rPr>
      </w:pPr>
    </w:p>
    <w:p w14:paraId="0CC81A11"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Some of the Act’s amendment provisions are:</w:t>
      </w:r>
    </w:p>
    <w:p w14:paraId="739CBADD"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Preempting the state, its political subdivisions, or any unit of local government from requiring an employer to use E-Verify</w:t>
      </w:r>
    </w:p>
    <w:p w14:paraId="5EB9B56E"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training obligations for employers and their authorized agents when enrolling in E-Verify</w:t>
      </w:r>
    </w:p>
    <w:p w14:paraId="157234A0"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Specific procedures to comply with state law when an inspecting entity (such as U.S. Immigration and Customs Enforcement) conducts an I-9 audit</w:t>
      </w:r>
    </w:p>
    <w:p w14:paraId="5CA96D50" w14:textId="77777777" w:rsidR="003B7BFE" w:rsidRPr="00DD7BD1" w:rsidRDefault="003B7BFE" w:rsidP="003B7BFE">
      <w:pPr>
        <w:spacing w:after="0" w:line="240" w:lineRule="auto"/>
        <w:rPr>
          <w:rFonts w:ascii="Calibri" w:hAnsi="Calibri" w:cs="Calibri"/>
          <w:sz w:val="16"/>
          <w:szCs w:val="16"/>
          <w:shd w:val="clear" w:color="auto" w:fill="FFFFFF"/>
        </w:rPr>
      </w:pPr>
      <w:r w:rsidRPr="00DD7BD1">
        <w:rPr>
          <w:rFonts w:ascii="Calibri" w:hAnsi="Calibri" w:cs="Calibri"/>
          <w:shd w:val="clear" w:color="auto" w:fill="FFFFFF"/>
        </w:rPr>
        <w:t> </w:t>
      </w:r>
    </w:p>
    <w:p w14:paraId="6AD3864E"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Illinois Department of Labor issued a </w:t>
      </w:r>
      <w:hyperlink r:id="rId743" w:tgtFrame="_blank" w:history="1">
        <w:r w:rsidRPr="00DD7BD1">
          <w:rPr>
            <w:rStyle w:val="Hyperlink"/>
            <w:rFonts w:ascii="Calibri" w:hAnsi="Calibri" w:cs="Calibri"/>
            <w:shd w:val="clear" w:color="auto" w:fill="FFFFFF"/>
          </w:rPr>
          <w:t>fact sheet/FAQ</w:t>
        </w:r>
      </w:hyperlink>
      <w:r w:rsidRPr="00DD7BD1">
        <w:rPr>
          <w:rFonts w:ascii="Calibri" w:hAnsi="Calibri" w:cs="Calibri"/>
          <w:color w:val="2E74B5" w:themeColor="accent5" w:themeShade="BF"/>
          <w:shd w:val="clear" w:color="auto" w:fill="FFFFFF"/>
        </w:rPr>
        <w:t> </w:t>
      </w:r>
    </w:p>
    <w:p w14:paraId="314737C2" w14:textId="77777777" w:rsidR="003B7BFE" w:rsidRPr="00DD7BD1" w:rsidRDefault="003B7BFE" w:rsidP="00CD70B8">
      <w:pPr>
        <w:spacing w:after="0" w:line="240" w:lineRule="auto"/>
        <w:jc w:val="center"/>
        <w:rPr>
          <w:rFonts w:ascii="Calibri" w:hAnsi="Calibri" w:cs="Calibri"/>
          <w:b/>
          <w:bCs/>
          <w:shd w:val="clear" w:color="auto" w:fill="FFFFFF"/>
        </w:rPr>
      </w:pPr>
    </w:p>
    <w:p w14:paraId="385211F1" w14:textId="40DE754F"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Cook County Updates Paid Leave Guidance – </w:t>
      </w:r>
      <w:r w:rsidRPr="00DD7BD1">
        <w:rPr>
          <w:rFonts w:ascii="Calibri" w:hAnsi="Calibri" w:cs="Calibri"/>
          <w:b/>
          <w:bCs/>
          <w:color w:val="C00000"/>
          <w:sz w:val="28"/>
          <w:szCs w:val="28"/>
          <w:shd w:val="clear" w:color="auto" w:fill="FFFFFF"/>
        </w:rPr>
        <w:t>Oct 24, 2024</w:t>
      </w:r>
    </w:p>
    <w:p w14:paraId="3F8721FE" w14:textId="77777777" w:rsidR="00CD70B8" w:rsidRPr="00DD7BD1" w:rsidRDefault="00CD70B8" w:rsidP="00CD70B8">
      <w:pPr>
        <w:spacing w:after="0" w:line="240" w:lineRule="auto"/>
        <w:rPr>
          <w:rFonts w:ascii="Calibri" w:hAnsi="Calibri" w:cs="Calibri"/>
          <w:shd w:val="clear" w:color="auto" w:fill="FFFFFF"/>
        </w:rPr>
      </w:pPr>
      <w:bookmarkStart w:id="94" w:name="_Hlk209767245"/>
      <w:r w:rsidRPr="00DD7BD1">
        <w:rPr>
          <w:rFonts w:ascii="Calibri" w:hAnsi="Calibri" w:cs="Calibri"/>
          <w:shd w:val="clear" w:color="auto" w:fill="FFFFFF"/>
        </w:rPr>
        <w:t xml:space="preserve">Cook County has amended its Paid Leave rules. </w:t>
      </w:r>
    </w:p>
    <w:p w14:paraId="3E2FE624"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While many of the amendments were made to further align with the Paid Leave Ordinance, notable substantive changes include, but aren’t limited to, the following: </w:t>
      </w:r>
    </w:p>
    <w:p w14:paraId="4E9CB6E3"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continue to accrue </w:t>
      </w:r>
      <w:r w:rsidRPr="00DD7BD1">
        <w:rPr>
          <w:rFonts w:ascii="Calibri" w:hAnsi="Calibri" w:cs="Calibri"/>
          <w:i/>
          <w:iCs/>
          <w:shd w:val="clear" w:color="auto" w:fill="FFFFFF"/>
        </w:rPr>
        <w:t>during </w:t>
      </w:r>
      <w:r w:rsidRPr="00DD7BD1">
        <w:rPr>
          <w:rFonts w:ascii="Calibri" w:hAnsi="Calibri" w:cs="Calibri"/>
          <w:shd w:val="clear" w:color="auto" w:fill="FFFFFF"/>
        </w:rPr>
        <w:t>an employee’s use of Paid Leave  </w:t>
      </w:r>
    </w:p>
    <w:p w14:paraId="6D210B10"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be paid out within the same pay period in which it was used </w:t>
      </w:r>
    </w:p>
    <w:p w14:paraId="27B25488" w14:textId="77777777" w:rsidR="00CD70B8" w:rsidRPr="00DD7BD1" w:rsidRDefault="00CD70B8">
      <w:pPr>
        <w:numPr>
          <w:ilvl w:val="0"/>
          <w:numId w:val="99"/>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Employers must post the county’s Workplace Posting, which can be found on the Cook County Paid Leave Ordinance </w:t>
      </w:r>
      <w:hyperlink r:id="rId744" w:tgtFrame="_blank"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w:t>
      </w:r>
    </w:p>
    <w:p w14:paraId="7F61B8A6"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also released updated </w:t>
      </w:r>
      <w:hyperlink r:id="rId745"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(FAQs). </w:t>
      </w:r>
    </w:p>
    <w:p w14:paraId="2FBE66C6" w14:textId="3A496705" w:rsidR="00A83553" w:rsidRPr="00DD7BD1" w:rsidRDefault="00CD70B8"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Paid Leave Ordinance Interpretive and Procedural Rules were </w:t>
      </w:r>
      <w:hyperlink r:id="rId746" w:tgtFrame="_blank" w:history="1">
        <w:r w:rsidRPr="00DD7BD1">
          <w:rPr>
            <w:rStyle w:val="Hyperlink"/>
            <w:rFonts w:ascii="Calibri" w:hAnsi="Calibri" w:cs="Calibri"/>
            <w:shd w:val="clear" w:color="auto" w:fill="FFFFFF"/>
          </w:rPr>
          <w:t>approved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by the Cook County Board of Commissioners on October 24, 2024, and became effective immediately. </w:t>
      </w:r>
    </w:p>
    <w:bookmarkEnd w:id="94"/>
    <w:p w14:paraId="42FD813F" w14:textId="77777777" w:rsidR="00503F70" w:rsidRPr="00DD7BD1" w:rsidRDefault="00503F70" w:rsidP="00503F70">
      <w:pPr>
        <w:spacing w:after="0" w:line="240" w:lineRule="auto"/>
        <w:rPr>
          <w:rFonts w:ascii="Calibri" w:hAnsi="Calibri" w:cs="Calibri"/>
          <w:shd w:val="clear" w:color="auto" w:fill="FFFFFF"/>
        </w:rPr>
      </w:pPr>
    </w:p>
    <w:p w14:paraId="59F4793D" w14:textId="470F445C"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12DC0BB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enacted the </w:t>
      </w:r>
      <w:hyperlink r:id="rId747"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33FF21E2" w14:textId="12541406" w:rsidR="00A83553" w:rsidRPr="00DD7BD1" w:rsidRDefault="00CD70B8" w:rsidP="00503F70">
      <w:pPr>
        <w:pStyle w:val="Heading2"/>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  To learn more, read the September HR WIRE</w:t>
      </w:r>
    </w:p>
    <w:p w14:paraId="68075180" w14:textId="77777777" w:rsidR="00503F70" w:rsidRPr="00DD7BD1" w:rsidRDefault="00503F70" w:rsidP="007C5376">
      <w:pPr>
        <w:spacing w:after="0" w:line="240" w:lineRule="auto"/>
        <w:jc w:val="center"/>
        <w:rPr>
          <w:rFonts w:ascii="Calibri" w:hAnsi="Calibri" w:cs="Calibri"/>
        </w:rPr>
      </w:pPr>
    </w:p>
    <w:p w14:paraId="2E3A38FE" w14:textId="03C2ECE9" w:rsidR="007C5376" w:rsidRPr="00DD7BD1" w:rsidRDefault="007C5376" w:rsidP="007C537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&amp; Benefits in Job Postings – </w:t>
      </w:r>
      <w:r w:rsidRPr="00DD7BD1">
        <w:rPr>
          <w:rFonts w:ascii="Calibri" w:hAnsi="Calibri" w:cs="Calibri"/>
          <w:b/>
          <w:bCs/>
          <w:color w:val="C00000"/>
          <w:sz w:val="28"/>
          <w:szCs w:val="28"/>
          <w:shd w:val="clear" w:color="auto" w:fill="FFFFFF"/>
          <w:lang w:val="en"/>
        </w:rPr>
        <w:t>Jan 1, 2025</w:t>
      </w:r>
    </w:p>
    <w:p w14:paraId="4759B80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Promotion Opportunities</w:t>
      </w:r>
      <w:r w:rsidRPr="00DD7BD1">
        <w:rPr>
          <w:rFonts w:ascii="Calibri" w:hAnsi="Calibri" w:cs="Calibri"/>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Action Items</w:t>
      </w:r>
    </w:p>
    <w:p w14:paraId="01E9962B"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Amend job postings to include the required information by January 1, 2025.</w:t>
      </w:r>
    </w:p>
    <w:p w14:paraId="79329F7F"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 xml:space="preserve">Announce promotional opportunities to current employees within the 14-day </w:t>
      </w:r>
      <w:proofErr w:type="gramStart"/>
      <w:r w:rsidRPr="00DD7BD1">
        <w:rPr>
          <w:rFonts w:ascii="Calibri" w:hAnsi="Calibri" w:cs="Calibri"/>
        </w:rPr>
        <w:t>time period</w:t>
      </w:r>
      <w:proofErr w:type="gramEnd"/>
      <w:r w:rsidRPr="00DD7BD1">
        <w:rPr>
          <w:rFonts w:ascii="Calibri" w:hAnsi="Calibri" w:cs="Calibri"/>
        </w:rPr>
        <w:t>.</w:t>
      </w:r>
    </w:p>
    <w:p w14:paraId="318F2E13" w14:textId="77777777" w:rsidR="00CD70B8" w:rsidRPr="00DD7BD1" w:rsidRDefault="00CD70B8" w:rsidP="007C5376">
      <w:pPr>
        <w:spacing w:after="0" w:line="240" w:lineRule="auto"/>
        <w:rPr>
          <w:rFonts w:ascii="Calibri" w:hAnsi="Calibri" w:cs="Calibri"/>
        </w:rPr>
      </w:pPr>
    </w:p>
    <w:p w14:paraId="6DAB5D61" w14:textId="2081E08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622A31FF"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enacted </w:t>
      </w:r>
      <w:hyperlink r:id="rId748"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w:t>
      </w:r>
      <w:r w:rsidRPr="00DD7BD1">
        <w:rPr>
          <w:rFonts w:ascii="Calibri" w:hAnsi="Calibri" w:cs="Calibri"/>
        </w:rPr>
        <w:lastRenderedPageBreak/>
        <w:t xml:space="preserve">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7CCE2E0" w14:textId="77777777" w:rsidR="00CD70B8" w:rsidRPr="00DD7BD1" w:rsidRDefault="00CD70B8" w:rsidP="00CD70B8">
      <w:pPr>
        <w:spacing w:after="0" w:line="240" w:lineRule="auto"/>
        <w:rPr>
          <w:rFonts w:ascii="Calibri" w:hAnsi="Calibri" w:cs="Calibri"/>
          <w:sz w:val="16"/>
          <w:szCs w:val="16"/>
        </w:rPr>
      </w:pPr>
    </w:p>
    <w:p w14:paraId="5A2859AE" w14:textId="77777777" w:rsidR="00CD70B8" w:rsidRPr="00DD7BD1" w:rsidRDefault="00CD70B8" w:rsidP="00CD70B8">
      <w:pPr>
        <w:pStyle w:val="BodyText"/>
        <w:spacing w:after="0"/>
        <w:rPr>
          <w:rFonts w:cs="Calibri"/>
          <w:b/>
          <w:bCs/>
          <w:color w:val="auto"/>
        </w:rPr>
      </w:pPr>
      <w:r w:rsidRPr="00DD7BD1">
        <w:rPr>
          <w:rFonts w:cs="Calibri"/>
          <w:b/>
          <w:bCs/>
          <w:color w:val="auto"/>
        </w:rPr>
        <w:t>Employment Certificates</w:t>
      </w:r>
    </w:p>
    <w:p w14:paraId="59054BCA" w14:textId="77777777" w:rsidR="00CD70B8" w:rsidRPr="00DD7BD1" w:rsidRDefault="00CD70B8" w:rsidP="00CD70B8">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3B396D95" w14:textId="77777777" w:rsidR="00CD70B8" w:rsidRPr="00DD7BD1" w:rsidRDefault="00CD70B8" w:rsidP="00CD70B8">
      <w:pPr>
        <w:pStyle w:val="BodyText"/>
        <w:spacing w:after="0" w:line="240" w:lineRule="auto"/>
        <w:rPr>
          <w:rFonts w:cs="Calibri"/>
          <w:b/>
          <w:bCs/>
          <w:color w:val="auto"/>
        </w:rPr>
      </w:pPr>
      <w:r w:rsidRPr="00DD7BD1">
        <w:rPr>
          <w:rFonts w:cs="Calibri"/>
          <w:b/>
          <w:bCs/>
          <w:color w:val="auto"/>
        </w:rPr>
        <w:t>Supervision</w:t>
      </w:r>
    </w:p>
    <w:p w14:paraId="252DC7DE"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The Act requires that all minors are </w:t>
      </w:r>
      <w:proofErr w:type="gramStart"/>
      <w:r w:rsidRPr="00DD7BD1">
        <w:rPr>
          <w:rFonts w:cs="Calibri"/>
          <w:color w:val="auto"/>
        </w:rPr>
        <w:t>supervised at all times</w:t>
      </w:r>
      <w:proofErr w:type="gramEnd"/>
      <w:r w:rsidRPr="00DD7BD1">
        <w:rPr>
          <w:rFonts w:cs="Calibri"/>
          <w:color w:val="auto"/>
        </w:rPr>
        <w:t xml:space="preserve"> by an adult of 21 years of age or older.</w:t>
      </w:r>
    </w:p>
    <w:p w14:paraId="3E1D1604" w14:textId="66AFBAD9" w:rsidR="00CD70B8" w:rsidRPr="00DD7BD1" w:rsidRDefault="00CD70B8" w:rsidP="00CD70B8">
      <w:pPr>
        <w:pStyle w:val="BodyText"/>
        <w:spacing w:after="0" w:line="240" w:lineRule="auto"/>
        <w:rPr>
          <w:rStyle w:val="Hyperlink"/>
          <w:rFonts w:cs="Calibri"/>
        </w:rPr>
      </w:pPr>
      <w:r w:rsidRPr="00DD7BD1">
        <w:rPr>
          <w:rFonts w:cs="Calibri"/>
          <w:color w:val="auto"/>
        </w:rPr>
        <w:t xml:space="preserve">To read/learn more, access the Illinois Child Labor Law webpages </w:t>
      </w:r>
      <w:hyperlink r:id="rId749" w:history="1">
        <w:r w:rsidRPr="00DD7BD1">
          <w:rPr>
            <w:rStyle w:val="Hyperlink"/>
            <w:rFonts w:cs="Calibri"/>
          </w:rPr>
          <w:t>HERE</w:t>
        </w:r>
      </w:hyperlink>
    </w:p>
    <w:p w14:paraId="13FEA582" w14:textId="77777777" w:rsidR="00CD70B8" w:rsidRPr="00DD7BD1" w:rsidRDefault="00CD70B8" w:rsidP="00CD70B8">
      <w:pPr>
        <w:pStyle w:val="BodyText"/>
        <w:spacing w:after="0" w:line="240" w:lineRule="auto"/>
        <w:rPr>
          <w:rStyle w:val="Hyperlink"/>
          <w:rFonts w:cs="Calibri"/>
        </w:rPr>
      </w:pPr>
    </w:p>
    <w:p w14:paraId="3DE92D9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0B9DC05C" w14:textId="29CB4CF6" w:rsidR="00CD70B8" w:rsidRPr="00DD7BD1" w:rsidRDefault="00CD70B8" w:rsidP="00CD70B8">
      <w:pPr>
        <w:spacing w:after="0" w:line="240" w:lineRule="auto"/>
        <w:rPr>
          <w:rStyle w:val="Hyperlink"/>
          <w:rFonts w:ascii="Calibri" w:hAnsi="Calibri" w:cs="Calibri"/>
          <w:color w:val="auto"/>
          <w:u w:val="none"/>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 xml:space="preserve">.  </w:t>
      </w:r>
    </w:p>
    <w:p w14:paraId="5B7E8A06" w14:textId="77777777" w:rsidR="00CD70B8" w:rsidRPr="00DD7BD1" w:rsidRDefault="00CD70B8" w:rsidP="00CD70B8">
      <w:pPr>
        <w:pStyle w:val="BodyText"/>
        <w:spacing w:after="0" w:line="240" w:lineRule="auto"/>
        <w:rPr>
          <w:rFonts w:cs="Calibri"/>
          <w:color w:val="auto"/>
        </w:rPr>
      </w:pPr>
    </w:p>
    <w:p w14:paraId="647938C4"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1983A3A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w:t>
      </w:r>
      <w:proofErr w:type="gramStart"/>
      <w:r w:rsidRPr="00DD7BD1">
        <w:rPr>
          <w:rFonts w:ascii="Calibri" w:hAnsi="Calibri" w:cs="Calibri"/>
        </w:rPr>
        <w:t xml:space="preserve">on the </w:t>
      </w:r>
      <w:bookmarkStart w:id="95" w:name="_Hlk188536485"/>
      <w:r w:rsidRPr="00DD7BD1">
        <w:rPr>
          <w:rFonts w:ascii="Calibri" w:hAnsi="Calibri" w:cs="Calibri"/>
        </w:rPr>
        <w:t>basis of</w:t>
      </w:r>
      <w:proofErr w:type="gramEnd"/>
      <w:r w:rsidRPr="00DD7BD1">
        <w:rPr>
          <w:rFonts w:ascii="Calibri" w:hAnsi="Calibri" w:cs="Calibri"/>
        </w:rPr>
        <w:t xml:space="preserve"> an individual’s reproductive health decisions and family responsibilities</w:t>
      </w:r>
      <w:bookmarkEnd w:id="95"/>
      <w:r w:rsidRPr="00DD7BD1">
        <w:rPr>
          <w:rFonts w:ascii="Calibri" w:hAnsi="Calibri" w:cs="Calibri"/>
        </w:rPr>
        <w:t>, extend the Act’s statute of limitations to two years and increase penalties for violations of the Act.</w:t>
      </w:r>
    </w:p>
    <w:p w14:paraId="6A290498" w14:textId="77777777" w:rsidR="00CD70B8" w:rsidRPr="00DD7BD1" w:rsidRDefault="00CD70B8" w:rsidP="00CD70B8">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 To learn more, read the September HR WIRE</w:t>
      </w:r>
    </w:p>
    <w:p w14:paraId="15249AC4" w14:textId="77777777" w:rsidR="00CD70B8" w:rsidRPr="00DD7BD1" w:rsidRDefault="00CD70B8" w:rsidP="004134E7">
      <w:pPr>
        <w:spacing w:after="0" w:line="240" w:lineRule="auto"/>
        <w:jc w:val="center"/>
        <w:rPr>
          <w:rFonts w:ascii="Calibri" w:hAnsi="Calibri" w:cs="Calibri"/>
          <w:b/>
          <w:bCs/>
          <w:shd w:val="clear" w:color="auto" w:fill="FFFFFF"/>
          <w:lang w:val="en"/>
        </w:rPr>
      </w:pPr>
    </w:p>
    <w:p w14:paraId="00A1EC44" w14:textId="368E88D8"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5EF19BE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enacted the </w:t>
      </w:r>
      <w:hyperlink r:id="rId750"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75F6FDC1" w14:textId="77777777" w:rsidR="004134E7" w:rsidRPr="00DD7BD1" w:rsidRDefault="004134E7" w:rsidP="004134E7">
      <w:pPr>
        <w:pStyle w:val="Heading2"/>
        <w:spacing w:before="0" w:line="240" w:lineRule="auto"/>
        <w:rPr>
          <w:rFonts w:ascii="Calibri" w:hAnsi="Calibri" w:cs="Calibri"/>
          <w:sz w:val="16"/>
          <w:szCs w:val="16"/>
        </w:rPr>
      </w:pPr>
    </w:p>
    <w:p w14:paraId="1F71BEB1"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Overview of the New Law</w:t>
      </w:r>
    </w:p>
    <w:p w14:paraId="69AD3D3A" w14:textId="77777777" w:rsidR="004134E7" w:rsidRPr="00DD7BD1" w:rsidRDefault="004134E7" w:rsidP="004134E7">
      <w:pPr>
        <w:spacing w:after="0" w:line="240" w:lineRule="auto"/>
        <w:rPr>
          <w:rFonts w:ascii="Calibri" w:hAnsi="Calibri" w:cs="Calibri"/>
        </w:rPr>
      </w:pPr>
      <w:r w:rsidRPr="00DD7BD1">
        <w:rPr>
          <w:rFonts w:ascii="Calibri" w:hAnsi="Calibri" w:cs="Calibri"/>
        </w:rPr>
        <w:t>Under the new law, employers may not discharge, discipline or otherwise penalize, threaten to discharge, discipline, or otherwise penalize or take any adverse employment action against an employee:</w:t>
      </w:r>
    </w:p>
    <w:p w14:paraId="3612CB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declines to or as a means of requiring an employee to:</w:t>
      </w:r>
    </w:p>
    <w:p w14:paraId="0A107AD7"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Attend or participate in employer-sponsored meetings that communicate the employer’s views on religious or political matters; or</w:t>
      </w:r>
    </w:p>
    <w:p w14:paraId="35454B98"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Receive or participate in employer communications that communicate the employer’s views on religious or political matters; or </w:t>
      </w:r>
    </w:p>
    <w:p w14:paraId="3E71D69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makes a good-faith report of a violation or suspected violation of the law.</w:t>
      </w:r>
    </w:p>
    <w:p w14:paraId="3043416B" w14:textId="77777777" w:rsidR="004134E7" w:rsidRPr="00DD7BD1" w:rsidRDefault="004134E7" w:rsidP="004134E7">
      <w:pPr>
        <w:pStyle w:val="Bullet"/>
        <w:numPr>
          <w:ilvl w:val="0"/>
          <w:numId w:val="0"/>
        </w:numPr>
        <w:spacing w:line="240" w:lineRule="auto"/>
        <w:ind w:left="720" w:hanging="360"/>
        <w:rPr>
          <w:rFonts w:cs="Calibri"/>
          <w:color w:val="auto"/>
          <w:sz w:val="16"/>
          <w:szCs w:val="16"/>
        </w:rPr>
      </w:pPr>
    </w:p>
    <w:p w14:paraId="1F316D6E"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Important Definitions</w:t>
      </w:r>
    </w:p>
    <w:p w14:paraId="463FDA58"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b/>
          <w:bCs/>
        </w:rPr>
        <w:t>“Political matters</w:t>
      </w:r>
      <w:r w:rsidRPr="00DD7BD1">
        <w:rPr>
          <w:rFonts w:ascii="Calibri" w:hAnsi="Calibri" w:cs="Calibri"/>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rPr>
        <w:t>“</w:t>
      </w:r>
      <w:r w:rsidRPr="00DD7BD1">
        <w:rPr>
          <w:rFonts w:ascii="Calibri" w:hAnsi="Calibri" w:cs="Calibri"/>
          <w:b/>
          <w:bCs/>
        </w:rPr>
        <w:t>Religious matters</w:t>
      </w:r>
      <w:r w:rsidRPr="00DD7BD1">
        <w:rPr>
          <w:rFonts w:ascii="Calibri" w:hAnsi="Calibri" w:cs="Calibri"/>
        </w:rPr>
        <w:t>” are matters relating to religious belief, affiliation or practice, or the decision to support or join any religious organization or association.</w:t>
      </w:r>
    </w:p>
    <w:p w14:paraId="443078AE" w14:textId="77777777" w:rsidR="004134E7" w:rsidRPr="00DD7BD1" w:rsidRDefault="004134E7" w:rsidP="004134E7">
      <w:pPr>
        <w:spacing w:after="0" w:line="240" w:lineRule="auto"/>
        <w:rPr>
          <w:rFonts w:ascii="Calibri" w:hAnsi="Calibri" w:cs="Calibri"/>
          <w:b/>
          <w:bCs/>
          <w:sz w:val="16"/>
          <w:szCs w:val="16"/>
          <w:highlight w:val="lightGray"/>
        </w:rPr>
      </w:pPr>
    </w:p>
    <w:p w14:paraId="12928640" w14:textId="77777777" w:rsidR="004134E7" w:rsidRPr="00DD7BD1" w:rsidRDefault="004134E7" w:rsidP="004134E7">
      <w:pPr>
        <w:spacing w:after="0" w:line="240" w:lineRule="auto"/>
        <w:rPr>
          <w:rFonts w:ascii="Calibri" w:hAnsi="Calibri" w:cs="Calibri"/>
          <w:b/>
          <w:bCs/>
        </w:rPr>
      </w:pPr>
      <w:r w:rsidRPr="00DD7BD1">
        <w:rPr>
          <w:rFonts w:ascii="Calibri" w:hAnsi="Calibri" w:cs="Calibri"/>
          <w:b/>
          <w:bCs/>
          <w:highlight w:val="lightGray"/>
        </w:rPr>
        <w:t>Notice Requirement</w:t>
      </w:r>
    </w:p>
    <w:p w14:paraId="1A351354" w14:textId="77777777" w:rsidR="004134E7" w:rsidRPr="00DD7BD1" w:rsidRDefault="004134E7" w:rsidP="004134E7">
      <w:pPr>
        <w:spacing w:after="0" w:line="240" w:lineRule="auto"/>
        <w:rPr>
          <w:rFonts w:ascii="Calibri" w:hAnsi="Calibri" w:cs="Calibri"/>
        </w:rPr>
      </w:pPr>
      <w:r w:rsidRPr="00DD7BD1">
        <w:rPr>
          <w:rFonts w:ascii="Calibri" w:hAnsi="Calibri" w:cs="Calibri"/>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DD7BD1" w:rsidRDefault="004134E7" w:rsidP="004134E7">
      <w:pPr>
        <w:pStyle w:val="Heading2"/>
        <w:spacing w:before="0" w:line="240" w:lineRule="auto"/>
        <w:rPr>
          <w:rFonts w:ascii="Calibri" w:hAnsi="Calibri" w:cs="Calibri"/>
          <w:color w:val="auto"/>
          <w:sz w:val="16"/>
          <w:szCs w:val="16"/>
        </w:rPr>
      </w:pPr>
    </w:p>
    <w:p w14:paraId="2578001A"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Exceptions</w:t>
      </w:r>
    </w:p>
    <w:p w14:paraId="07A89F38" w14:textId="77777777" w:rsidR="004134E7" w:rsidRPr="00DD7BD1" w:rsidRDefault="004134E7" w:rsidP="004134E7">
      <w:pPr>
        <w:spacing w:after="0" w:line="240" w:lineRule="auto"/>
        <w:rPr>
          <w:rFonts w:ascii="Calibri" w:hAnsi="Calibri" w:cs="Calibri"/>
        </w:rPr>
      </w:pPr>
      <w:r w:rsidRPr="00DD7BD1">
        <w:rPr>
          <w:rFonts w:ascii="Calibri" w:hAnsi="Calibri" w:cs="Calibri"/>
        </w:rPr>
        <w:t>The new law includes the following exceptions:</w:t>
      </w:r>
    </w:p>
    <w:p w14:paraId="6AF0E80B"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offer voluntary meetings or other communications regarding religious or political matters;</w:t>
      </w:r>
    </w:p>
    <w:p w14:paraId="3702D52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communicate the information that they are legally required to communicate or that is necessary for the employees to perform their jobs;</w:t>
      </w:r>
    </w:p>
    <w:p w14:paraId="02B7679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require employees to attend trainings intended to foster a civil and collaborative workplace or reduce or prevent workplace harassment or discrimination;</w:t>
      </w:r>
    </w:p>
    <w:p w14:paraId="510D2D4C"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DD7BD1" w:rsidRDefault="004134E7" w:rsidP="004134E7">
      <w:pPr>
        <w:pStyle w:val="Heading2"/>
        <w:spacing w:before="0" w:line="240" w:lineRule="auto"/>
        <w:rPr>
          <w:rFonts w:ascii="Calibri" w:hAnsi="Calibri" w:cs="Calibri"/>
          <w:color w:val="auto"/>
          <w:sz w:val="22"/>
          <w:szCs w:val="22"/>
        </w:rPr>
      </w:pPr>
    </w:p>
    <w:p w14:paraId="6411FC60" w14:textId="77777777" w:rsidR="004134E7" w:rsidRPr="00DD7BD1" w:rsidRDefault="004134E7" w:rsidP="004134E7">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5DCF12C0" w14:textId="3EB143D2"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6C0F4B2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w:t>
      </w:r>
      <w:proofErr w:type="gramStart"/>
      <w:r w:rsidRPr="00DD7BD1">
        <w:rPr>
          <w:rFonts w:ascii="Calibri" w:hAnsi="Calibri" w:cs="Calibri"/>
        </w:rPr>
        <w:t>on the basis of</w:t>
      </w:r>
      <w:proofErr w:type="gramEnd"/>
      <w:r w:rsidRPr="00DD7BD1">
        <w:rPr>
          <w:rFonts w:ascii="Calibri" w:hAnsi="Calibri" w:cs="Calibri"/>
        </w:rPr>
        <w:t xml:space="preserve"> an individual’s reproductive health decisions and family responsibilities, extend the Act’s statute of limitations to two years and increase penalties for violations of the Act.</w:t>
      </w:r>
    </w:p>
    <w:p w14:paraId="21C31D97" w14:textId="77777777" w:rsidR="004134E7" w:rsidRPr="00DD7BD1" w:rsidRDefault="004134E7" w:rsidP="004134E7">
      <w:pPr>
        <w:spacing w:after="0" w:line="240" w:lineRule="auto"/>
        <w:rPr>
          <w:rFonts w:ascii="Calibri" w:hAnsi="Calibri" w:cs="Calibri"/>
          <w:sz w:val="16"/>
          <w:szCs w:val="16"/>
        </w:rPr>
      </w:pPr>
    </w:p>
    <w:p w14:paraId="5552FE99"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Expansion of Protected Classes</w:t>
      </w:r>
    </w:p>
    <w:p w14:paraId="6BFE1E21"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Under the Act, employers may not discipline, discharge, refuse to hire, segregate, harass or otherwise discriminate in the terms, privileges or conditions of employment </w:t>
      </w:r>
      <w:proofErr w:type="gramStart"/>
      <w:r w:rsidRPr="00DD7BD1">
        <w:rPr>
          <w:rFonts w:ascii="Calibri" w:hAnsi="Calibri" w:cs="Calibri"/>
        </w:rPr>
        <w:t>on the basis of</w:t>
      </w:r>
      <w:proofErr w:type="gramEnd"/>
      <w:r w:rsidRPr="00DD7BD1">
        <w:rPr>
          <w:rFonts w:ascii="Calibri" w:hAnsi="Calibri" w:cs="Calibri"/>
        </w:rPr>
        <w:t xml:space="preserve"> an individual’s protected class. </w:t>
      </w:r>
    </w:p>
    <w:p w14:paraId="0ED6BD12"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Effective Jan. 1, 2025, the list of protected classes will include an individual’s: </w:t>
      </w:r>
    </w:p>
    <w:p w14:paraId="5F2010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Reproductive health decisions</w:t>
      </w:r>
      <w:r w:rsidRPr="00DD7BD1">
        <w:rPr>
          <w:rFonts w:cs="Calibri"/>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Family responsibilities</w:t>
      </w:r>
      <w:r w:rsidRPr="00DD7BD1">
        <w:rPr>
          <w:rFonts w:cs="Calibri"/>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DD7BD1" w:rsidRDefault="004134E7" w:rsidP="004134E7">
      <w:pPr>
        <w:pStyle w:val="Bullet2"/>
        <w:spacing w:after="0" w:line="240" w:lineRule="auto"/>
        <w:ind w:left="0" w:firstLine="0"/>
        <w:rPr>
          <w:rFonts w:cs="Calibri"/>
          <w:color w:val="auto"/>
          <w:szCs w:val="22"/>
        </w:rPr>
      </w:pPr>
      <w:r w:rsidRPr="00DD7BD1">
        <w:rPr>
          <w:rFonts w:cs="Calibri"/>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Pr="00DD7BD1" w:rsidRDefault="004134E7" w:rsidP="004134E7">
      <w:pPr>
        <w:spacing w:after="0" w:line="240" w:lineRule="auto"/>
        <w:rPr>
          <w:rFonts w:ascii="Calibri" w:hAnsi="Calibri" w:cs="Calibri"/>
          <w:b/>
          <w:bCs/>
          <w:highlight w:val="lightGray"/>
        </w:rPr>
      </w:pPr>
    </w:p>
    <w:p w14:paraId="695D3179" w14:textId="77777777" w:rsidR="004134E7" w:rsidRPr="00DD7BD1" w:rsidRDefault="004134E7" w:rsidP="004134E7">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w:t>
      </w:r>
    </w:p>
    <w:p w14:paraId="373FE9EA"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29FD929F" w14:textId="5FEC8D5C"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7FEEA4B7" w14:textId="77777777" w:rsidR="004134E7" w:rsidRPr="00DD7BD1" w:rsidRDefault="004134E7" w:rsidP="004134E7">
      <w:pPr>
        <w:spacing w:after="0" w:line="240" w:lineRule="auto"/>
        <w:rPr>
          <w:rFonts w:ascii="Calibri" w:hAnsi="Calibri" w:cs="Calibri"/>
        </w:rPr>
      </w:pPr>
      <w:r w:rsidRPr="00DD7BD1">
        <w:rPr>
          <w:rFonts w:ascii="Calibri" w:hAnsi="Calibri" w:cs="Calibri"/>
        </w:rPr>
        <w:lastRenderedPageBreak/>
        <w:t xml:space="preserve">Illinois has enacted </w:t>
      </w:r>
      <w:hyperlink r:id="rId751"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1320136" w14:textId="77777777" w:rsidR="004134E7" w:rsidRPr="00DD7BD1" w:rsidRDefault="004134E7" w:rsidP="004134E7">
      <w:pPr>
        <w:spacing w:after="0" w:line="240" w:lineRule="auto"/>
        <w:rPr>
          <w:rFonts w:ascii="Calibri" w:hAnsi="Calibri" w:cs="Calibri"/>
          <w:sz w:val="16"/>
          <w:szCs w:val="16"/>
        </w:rPr>
      </w:pPr>
    </w:p>
    <w:p w14:paraId="76652A7D" w14:textId="77777777" w:rsidR="004134E7" w:rsidRPr="00DD7BD1" w:rsidRDefault="004134E7" w:rsidP="004134E7">
      <w:pPr>
        <w:pStyle w:val="BodyText"/>
        <w:spacing w:after="0"/>
        <w:rPr>
          <w:rFonts w:cs="Calibri"/>
          <w:b/>
          <w:bCs/>
          <w:color w:val="auto"/>
        </w:rPr>
      </w:pPr>
      <w:r w:rsidRPr="00DD7BD1">
        <w:rPr>
          <w:rFonts w:cs="Calibri"/>
          <w:b/>
          <w:bCs/>
          <w:color w:val="auto"/>
        </w:rPr>
        <w:t>Employment Certificates</w:t>
      </w:r>
    </w:p>
    <w:p w14:paraId="221BEE41" w14:textId="77777777" w:rsidR="004134E7" w:rsidRPr="00DD7BD1" w:rsidRDefault="004134E7" w:rsidP="004134E7">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249007C2" w14:textId="77777777" w:rsidR="004134E7" w:rsidRPr="00DD7BD1" w:rsidRDefault="004134E7" w:rsidP="004134E7">
      <w:pPr>
        <w:pStyle w:val="BodyText"/>
        <w:spacing w:after="0"/>
        <w:rPr>
          <w:rFonts w:cs="Calibri"/>
          <w:b/>
          <w:bCs/>
          <w:color w:val="auto"/>
        </w:rPr>
      </w:pPr>
      <w:r w:rsidRPr="00DD7BD1">
        <w:rPr>
          <w:rFonts w:cs="Calibri"/>
          <w:b/>
          <w:bCs/>
          <w:color w:val="auto"/>
        </w:rPr>
        <w:t>Supervision</w:t>
      </w:r>
    </w:p>
    <w:p w14:paraId="448676A4" w14:textId="77777777" w:rsidR="004134E7" w:rsidRPr="00DD7BD1" w:rsidRDefault="004134E7" w:rsidP="004134E7">
      <w:pPr>
        <w:pStyle w:val="BodyText"/>
        <w:rPr>
          <w:rFonts w:cs="Calibri"/>
          <w:color w:val="auto"/>
        </w:rPr>
      </w:pPr>
      <w:r w:rsidRPr="00DD7BD1">
        <w:rPr>
          <w:rFonts w:cs="Calibri"/>
          <w:color w:val="auto"/>
        </w:rPr>
        <w:t xml:space="preserve">The Act requires that all minors are </w:t>
      </w:r>
      <w:proofErr w:type="gramStart"/>
      <w:r w:rsidRPr="00DD7BD1">
        <w:rPr>
          <w:rFonts w:cs="Calibri"/>
          <w:color w:val="auto"/>
        </w:rPr>
        <w:t>supervised at all times</w:t>
      </w:r>
      <w:proofErr w:type="gramEnd"/>
      <w:r w:rsidRPr="00DD7BD1">
        <w:rPr>
          <w:rFonts w:cs="Calibri"/>
          <w:color w:val="auto"/>
        </w:rPr>
        <w:t xml:space="preserve"> by an adult of 21 years of age or older.</w:t>
      </w:r>
    </w:p>
    <w:p w14:paraId="75825142" w14:textId="77777777" w:rsidR="004134E7" w:rsidRPr="00DD7BD1" w:rsidRDefault="004134E7" w:rsidP="004134E7">
      <w:pPr>
        <w:pStyle w:val="BodyText"/>
        <w:spacing w:after="0"/>
        <w:rPr>
          <w:rFonts w:cs="Calibri"/>
          <w:b/>
          <w:bCs/>
          <w:color w:val="auto"/>
        </w:rPr>
      </w:pPr>
      <w:r w:rsidRPr="00DD7BD1">
        <w:rPr>
          <w:rFonts w:cs="Calibri"/>
          <w:b/>
          <w:bCs/>
          <w:color w:val="auto"/>
        </w:rPr>
        <w:t>Recordkeeping</w:t>
      </w:r>
    </w:p>
    <w:p w14:paraId="23744F75" w14:textId="77777777" w:rsidR="004134E7" w:rsidRPr="00DD7BD1" w:rsidRDefault="004134E7" w:rsidP="004134E7">
      <w:pPr>
        <w:pStyle w:val="BodyText"/>
        <w:rPr>
          <w:rFonts w:cs="Calibri"/>
          <w:color w:val="auto"/>
        </w:rPr>
      </w:pPr>
      <w:r w:rsidRPr="00DD7BD1">
        <w:rPr>
          <w:rFonts w:cs="Calibri"/>
          <w:color w:val="auto"/>
        </w:rPr>
        <w:t>Under the Act, employers must keep records that include the following for every minor employed:</w:t>
      </w:r>
    </w:p>
    <w:p w14:paraId="4019065C" w14:textId="77777777" w:rsidR="004134E7" w:rsidRPr="00DD7BD1" w:rsidRDefault="004134E7" w:rsidP="004134E7">
      <w:pPr>
        <w:pStyle w:val="Bullet"/>
        <w:rPr>
          <w:rFonts w:cs="Calibri"/>
          <w:color w:val="auto"/>
        </w:rPr>
      </w:pPr>
      <w:r w:rsidRPr="00DD7BD1">
        <w:rPr>
          <w:rFonts w:cs="Calibri"/>
          <w:color w:val="auto"/>
        </w:rPr>
        <w:t>The minor’s name, date of birth and place of residence;</w:t>
      </w:r>
    </w:p>
    <w:p w14:paraId="1B15BC82" w14:textId="77777777" w:rsidR="004134E7" w:rsidRPr="00DD7BD1" w:rsidRDefault="004134E7" w:rsidP="004134E7">
      <w:pPr>
        <w:pStyle w:val="Bullet"/>
        <w:rPr>
          <w:rFonts w:cs="Calibri"/>
          <w:color w:val="auto"/>
        </w:rPr>
      </w:pPr>
      <w:r w:rsidRPr="00DD7BD1">
        <w:rPr>
          <w:rFonts w:cs="Calibri"/>
          <w:color w:val="auto"/>
        </w:rPr>
        <w:t>Notice of intention to employ the minor; and</w:t>
      </w:r>
    </w:p>
    <w:p w14:paraId="2BED8CD6" w14:textId="77777777" w:rsidR="004134E7" w:rsidRPr="00DD7BD1" w:rsidRDefault="004134E7" w:rsidP="004134E7">
      <w:pPr>
        <w:pStyle w:val="Bullet"/>
        <w:rPr>
          <w:rFonts w:cs="Calibri"/>
          <w:color w:val="auto"/>
        </w:rPr>
      </w:pPr>
      <w:r w:rsidRPr="00DD7BD1">
        <w:rPr>
          <w:rFonts w:cs="Calibri"/>
          <w:color w:val="auto"/>
        </w:rPr>
        <w:t>The minor’s employment certificate.</w:t>
      </w:r>
    </w:p>
    <w:p w14:paraId="5340BDC4" w14:textId="77777777" w:rsidR="004134E7" w:rsidRPr="00DD7BD1" w:rsidRDefault="004134E7" w:rsidP="004134E7">
      <w:pPr>
        <w:pStyle w:val="BodyText"/>
        <w:spacing w:after="0" w:line="240" w:lineRule="auto"/>
        <w:rPr>
          <w:rFonts w:cs="Calibri"/>
          <w:color w:val="auto"/>
          <w:sz w:val="16"/>
          <w:szCs w:val="16"/>
        </w:rPr>
      </w:pPr>
    </w:p>
    <w:p w14:paraId="75BCE1BD" w14:textId="77777777" w:rsidR="004134E7" w:rsidRPr="00DD7BD1" w:rsidRDefault="004134E7" w:rsidP="004134E7">
      <w:pPr>
        <w:pStyle w:val="BodyText"/>
        <w:rPr>
          <w:rFonts w:cs="Calibri"/>
          <w:color w:val="auto"/>
        </w:rPr>
      </w:pPr>
      <w:r w:rsidRPr="00DD7BD1">
        <w:rPr>
          <w:rFonts w:cs="Calibri"/>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DD7BD1" w:rsidRDefault="004134E7" w:rsidP="004134E7">
      <w:pPr>
        <w:pStyle w:val="BodyText"/>
        <w:spacing w:after="0"/>
        <w:rPr>
          <w:rFonts w:cs="Calibri"/>
          <w:b/>
          <w:bCs/>
          <w:color w:val="auto"/>
        </w:rPr>
      </w:pPr>
      <w:r w:rsidRPr="00DD7BD1">
        <w:rPr>
          <w:rFonts w:cs="Calibri"/>
          <w:b/>
          <w:bCs/>
          <w:color w:val="auto"/>
        </w:rPr>
        <w:t>Posting Requirements</w:t>
      </w:r>
    </w:p>
    <w:p w14:paraId="5E1F7F19" w14:textId="77777777" w:rsidR="004134E7" w:rsidRPr="00DD7BD1" w:rsidRDefault="004134E7" w:rsidP="004134E7">
      <w:pPr>
        <w:spacing w:after="0" w:line="240" w:lineRule="auto"/>
        <w:rPr>
          <w:rFonts w:ascii="Calibri" w:hAnsi="Calibri" w:cs="Calibri"/>
        </w:rPr>
      </w:pPr>
      <w:r w:rsidRPr="00DD7BD1">
        <w:rPr>
          <w:rFonts w:ascii="Calibri" w:hAnsi="Calibri" w:cs="Calibri"/>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DD7BD1" w:rsidRDefault="004134E7" w:rsidP="004134E7">
      <w:pPr>
        <w:pStyle w:val="BodyText"/>
        <w:spacing w:after="0"/>
        <w:rPr>
          <w:rFonts w:cs="Calibri"/>
          <w:b/>
          <w:bCs/>
          <w:i/>
          <w:iCs/>
          <w:color w:val="auto"/>
          <w:sz w:val="16"/>
          <w:szCs w:val="16"/>
        </w:rPr>
      </w:pPr>
    </w:p>
    <w:p w14:paraId="4F64BCFC" w14:textId="77777777" w:rsidR="004134E7" w:rsidRPr="00DD7BD1" w:rsidRDefault="004134E7" w:rsidP="004134E7">
      <w:pPr>
        <w:pStyle w:val="BodyText"/>
        <w:spacing w:after="0"/>
        <w:rPr>
          <w:rFonts w:cs="Calibri"/>
          <w:b/>
          <w:bCs/>
          <w:color w:val="auto"/>
        </w:rPr>
      </w:pPr>
      <w:r w:rsidRPr="00DD7BD1">
        <w:rPr>
          <w:rFonts w:cs="Calibri"/>
          <w:b/>
          <w:bCs/>
          <w:color w:val="auto"/>
        </w:rPr>
        <w:t>Enforcement and Penalties</w:t>
      </w:r>
    </w:p>
    <w:p w14:paraId="66B2E20A" w14:textId="77777777" w:rsidR="004134E7" w:rsidRPr="00DD7BD1" w:rsidRDefault="004134E7" w:rsidP="004134E7">
      <w:pPr>
        <w:pStyle w:val="BodyText"/>
        <w:rPr>
          <w:rFonts w:cs="Calibri"/>
          <w:color w:val="auto"/>
        </w:rPr>
      </w:pPr>
      <w:r w:rsidRPr="00DD7BD1">
        <w:rPr>
          <w:rFonts w:cs="Calibri"/>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DD7BD1" w:rsidRDefault="004134E7" w:rsidP="004134E7">
      <w:pPr>
        <w:pStyle w:val="Bullet"/>
        <w:rPr>
          <w:rFonts w:cs="Calibri"/>
          <w:color w:val="auto"/>
        </w:rPr>
      </w:pPr>
      <w:r w:rsidRPr="00DD7BD1">
        <w:rPr>
          <w:rFonts w:cs="Calibri"/>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DD7BD1" w:rsidRDefault="004134E7" w:rsidP="004134E7">
      <w:pPr>
        <w:pStyle w:val="Bullet"/>
        <w:rPr>
          <w:rFonts w:cs="Calibri"/>
          <w:color w:val="auto"/>
        </w:rPr>
      </w:pPr>
      <w:r w:rsidRPr="00DD7BD1">
        <w:rPr>
          <w:rFonts w:cs="Calibri"/>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DD7BD1" w:rsidRDefault="004134E7" w:rsidP="004134E7">
      <w:pPr>
        <w:pStyle w:val="Bullet"/>
        <w:rPr>
          <w:rFonts w:cs="Calibri"/>
          <w:color w:val="auto"/>
        </w:rPr>
      </w:pPr>
      <w:r w:rsidRPr="00DD7BD1">
        <w:rPr>
          <w:rFonts w:cs="Calibri"/>
          <w:color w:val="auto"/>
        </w:rPr>
        <w:t>A penalty not exceeding $15,000 if an employer permits a minor to work in a restricted occupation;</w:t>
      </w:r>
    </w:p>
    <w:p w14:paraId="109C1B3C" w14:textId="77777777" w:rsidR="004134E7" w:rsidRPr="00DD7BD1" w:rsidRDefault="004134E7" w:rsidP="004134E7">
      <w:pPr>
        <w:pStyle w:val="Bullet"/>
        <w:rPr>
          <w:rFonts w:cs="Calibri"/>
          <w:color w:val="auto"/>
        </w:rPr>
      </w:pPr>
      <w:r w:rsidRPr="00DD7BD1">
        <w:rPr>
          <w:rFonts w:cs="Calibri"/>
          <w:color w:val="auto"/>
        </w:rPr>
        <w:t>A penalty not exceeding $500 if an employer fails to post or provide the required notice; and</w:t>
      </w:r>
    </w:p>
    <w:p w14:paraId="4FCD86B7" w14:textId="77777777" w:rsidR="004134E7" w:rsidRPr="00DD7BD1" w:rsidRDefault="004134E7" w:rsidP="004134E7">
      <w:pPr>
        <w:pStyle w:val="Bullet"/>
        <w:rPr>
          <w:rFonts w:cs="Calibri"/>
          <w:color w:val="auto"/>
        </w:rPr>
      </w:pPr>
      <w:r w:rsidRPr="00DD7BD1">
        <w:rPr>
          <w:rFonts w:cs="Calibri"/>
          <w:color w:val="auto"/>
        </w:rPr>
        <w:t>A penalty not exceeding $10,000 if an employer commits any other violation of the Act.</w:t>
      </w:r>
    </w:p>
    <w:p w14:paraId="1AB603FB" w14:textId="77777777" w:rsidR="004134E7" w:rsidRPr="00DD7BD1" w:rsidRDefault="004134E7" w:rsidP="004134E7">
      <w:pPr>
        <w:pStyle w:val="BodyText"/>
        <w:spacing w:after="0" w:line="240" w:lineRule="auto"/>
        <w:rPr>
          <w:rFonts w:cs="Calibri"/>
          <w:color w:val="auto"/>
          <w:sz w:val="16"/>
          <w:szCs w:val="16"/>
        </w:rPr>
      </w:pPr>
    </w:p>
    <w:p w14:paraId="53C3846E" w14:textId="77777777" w:rsidR="004134E7" w:rsidRPr="00DD7BD1" w:rsidRDefault="004134E7" w:rsidP="004134E7">
      <w:pPr>
        <w:pStyle w:val="BodyText"/>
        <w:rPr>
          <w:rFonts w:cs="Calibri"/>
          <w:color w:val="auto"/>
        </w:rPr>
      </w:pPr>
      <w:r w:rsidRPr="00DD7BD1">
        <w:rPr>
          <w:rFonts w:cs="Calibri"/>
          <w:color w:val="auto"/>
        </w:rPr>
        <w:t>All civil penalties are payable to the IDOL.</w:t>
      </w:r>
    </w:p>
    <w:p w14:paraId="0EBC5E69" w14:textId="77777777" w:rsidR="004134E7" w:rsidRPr="00DD7BD1" w:rsidRDefault="004134E7" w:rsidP="004134E7">
      <w:pPr>
        <w:pStyle w:val="BodyText"/>
        <w:rPr>
          <w:rFonts w:cs="Calibri"/>
          <w:color w:val="auto"/>
        </w:rPr>
      </w:pPr>
      <w:r w:rsidRPr="00DD7BD1">
        <w:rPr>
          <w:rFonts w:cs="Calibri"/>
          <w:color w:val="auto"/>
        </w:rPr>
        <w:t xml:space="preserve">To read/learn more, access the Illinois Child Labor Law webpages </w:t>
      </w:r>
      <w:hyperlink r:id="rId752" w:history="1">
        <w:r w:rsidRPr="00DD7BD1">
          <w:rPr>
            <w:rStyle w:val="Hyperlink"/>
            <w:rFonts w:cs="Calibri"/>
          </w:rPr>
          <w:t>HERE</w:t>
        </w:r>
      </w:hyperlink>
    </w:p>
    <w:p w14:paraId="6B7E8B94" w14:textId="3BE1C919"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70BD97C3"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w:t>
      </w:r>
      <w:r w:rsidRPr="00DD7BD1">
        <w:rPr>
          <w:rFonts w:ascii="Calibri" w:hAnsi="Calibri" w:cs="Calibri"/>
        </w:rPr>
        <w:lastRenderedPageBreak/>
        <w:t xml:space="preserve">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w:t>
      </w:r>
    </w:p>
    <w:p w14:paraId="3473FC5E" w14:textId="77777777" w:rsidR="004134E7" w:rsidRPr="00DD7BD1" w:rsidRDefault="004134E7" w:rsidP="004134E7">
      <w:pPr>
        <w:spacing w:after="0" w:line="240" w:lineRule="auto"/>
        <w:rPr>
          <w:rFonts w:ascii="Calibri" w:hAnsi="Calibri" w:cs="Calibri"/>
          <w:sz w:val="16"/>
          <w:szCs w:val="16"/>
        </w:rPr>
      </w:pPr>
    </w:p>
    <w:p w14:paraId="60A5649C"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Right to Inspect Pay Stubs</w:t>
      </w:r>
    </w:p>
    <w:p w14:paraId="441192EF" w14:textId="77777777" w:rsidR="004134E7" w:rsidRPr="00DD7BD1" w:rsidRDefault="004134E7" w:rsidP="004134E7">
      <w:pPr>
        <w:pStyle w:val="BodyText"/>
        <w:rPr>
          <w:rFonts w:cs="Calibri"/>
          <w:color w:val="auto"/>
        </w:rPr>
      </w:pPr>
      <w:r w:rsidRPr="00DD7BD1">
        <w:rPr>
          <w:rFonts w:cs="Calibri"/>
          <w:color w:val="auto"/>
        </w:rPr>
        <w:t xml:space="preserve">The amendments grant current and </w:t>
      </w:r>
      <w:r w:rsidRPr="00DD7BD1">
        <w:rPr>
          <w:rFonts w:cs="Calibri"/>
          <w:i/>
          <w:iCs/>
          <w:color w:val="auto"/>
          <w:u w:val="single"/>
        </w:rPr>
        <w:t>former employees</w:t>
      </w:r>
      <w:r w:rsidRPr="00DD7BD1">
        <w:rPr>
          <w:rFonts w:cs="Calibri"/>
          <w:color w:val="auto"/>
        </w:rPr>
        <w:t xml:space="preserve"> the right to inspect their pay stubs. Employers must provide current and former employees copies of their pay stubs </w:t>
      </w:r>
      <w:r w:rsidRPr="00DD7BD1">
        <w:rPr>
          <w:rFonts w:cs="Calibri"/>
          <w:color w:val="auto"/>
          <w:u w:val="single"/>
        </w:rPr>
        <w:t>upon request</w:t>
      </w:r>
      <w:r w:rsidRPr="00DD7BD1">
        <w:rPr>
          <w:rFonts w:cs="Calibri"/>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DD7BD1" w:rsidRDefault="004134E7" w:rsidP="004134E7">
      <w:pPr>
        <w:pStyle w:val="BodyText"/>
        <w:rPr>
          <w:rFonts w:cs="Calibri"/>
          <w:color w:val="auto"/>
        </w:rPr>
      </w:pPr>
      <w:r w:rsidRPr="00DD7BD1">
        <w:rPr>
          <w:rFonts w:cs="Calibri"/>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DD7BD1" w:rsidRDefault="004134E7" w:rsidP="004134E7">
      <w:pPr>
        <w:pStyle w:val="BodyText"/>
        <w:spacing w:after="0" w:line="240" w:lineRule="auto"/>
        <w:rPr>
          <w:rFonts w:cs="Calibri"/>
          <w:color w:val="auto"/>
        </w:rPr>
      </w:pPr>
      <w:r w:rsidRPr="00DD7BD1">
        <w:rPr>
          <w:rFonts w:cs="Calibri"/>
          <w:color w:val="auto"/>
        </w:rPr>
        <w:t xml:space="preserve">To request copies of their pay stubs, current or former employees must contact </w:t>
      </w:r>
      <w:proofErr w:type="gramStart"/>
      <w:r w:rsidRPr="00DD7BD1">
        <w:rPr>
          <w:rFonts w:cs="Calibri"/>
          <w:color w:val="auto"/>
        </w:rPr>
        <w:t>a person</w:t>
      </w:r>
      <w:proofErr w:type="gramEnd"/>
      <w:r w:rsidRPr="00DD7BD1">
        <w:rPr>
          <w:rFonts w:cs="Calibri"/>
          <w:color w:val="auto"/>
        </w:rPr>
        <w:t xml:space="preserve"> responsible for maintaining an employer’s payroll, including:</w:t>
      </w:r>
    </w:p>
    <w:p w14:paraId="3E6AD81F" w14:textId="77777777" w:rsidR="004134E7" w:rsidRPr="00DD7BD1" w:rsidRDefault="004134E7" w:rsidP="004134E7">
      <w:pPr>
        <w:pStyle w:val="Bullet"/>
        <w:spacing w:line="240" w:lineRule="auto"/>
        <w:rPr>
          <w:rFonts w:cs="Calibri"/>
          <w:color w:val="auto"/>
        </w:rPr>
      </w:pPr>
      <w:r w:rsidRPr="00DD7BD1">
        <w:rPr>
          <w:rFonts w:cs="Calibri"/>
          <w:color w:val="auto"/>
        </w:rPr>
        <w:t>The HR department;</w:t>
      </w:r>
    </w:p>
    <w:p w14:paraId="23F1FF6B" w14:textId="77777777" w:rsidR="004134E7" w:rsidRPr="00DD7BD1" w:rsidRDefault="004134E7" w:rsidP="004134E7">
      <w:pPr>
        <w:pStyle w:val="Bullet"/>
        <w:spacing w:line="240" w:lineRule="auto"/>
        <w:rPr>
          <w:rFonts w:cs="Calibri"/>
          <w:color w:val="auto"/>
        </w:rPr>
      </w:pPr>
      <w:r w:rsidRPr="00DD7BD1">
        <w:rPr>
          <w:rFonts w:cs="Calibri"/>
          <w:color w:val="auto"/>
        </w:rPr>
        <w:t xml:space="preserve">The payroll department; </w:t>
      </w:r>
    </w:p>
    <w:p w14:paraId="15E083C4" w14:textId="77777777" w:rsidR="004134E7" w:rsidRPr="00DD7BD1" w:rsidRDefault="004134E7" w:rsidP="004134E7">
      <w:pPr>
        <w:pStyle w:val="Bullet"/>
        <w:spacing w:line="240" w:lineRule="auto"/>
        <w:rPr>
          <w:rFonts w:cs="Calibri"/>
          <w:color w:val="auto"/>
        </w:rPr>
      </w:pPr>
      <w:r w:rsidRPr="00DD7BD1">
        <w:rPr>
          <w:rFonts w:cs="Calibri"/>
          <w:color w:val="auto"/>
        </w:rPr>
        <w:t>The employee’s supervisor or department manager; or</w:t>
      </w:r>
    </w:p>
    <w:p w14:paraId="612BAC26" w14:textId="77777777" w:rsidR="004134E7" w:rsidRPr="00DD7BD1" w:rsidRDefault="004134E7" w:rsidP="004134E7">
      <w:pPr>
        <w:pStyle w:val="Bullet"/>
        <w:spacing w:line="240" w:lineRule="auto"/>
        <w:rPr>
          <w:rFonts w:cs="Calibri"/>
          <w:color w:val="auto"/>
        </w:rPr>
      </w:pPr>
      <w:r w:rsidRPr="00DD7BD1">
        <w:rPr>
          <w:rFonts w:cs="Calibri"/>
          <w:color w:val="auto"/>
        </w:rPr>
        <w:t>An individual designated in the employer’s written policy.</w:t>
      </w:r>
    </w:p>
    <w:p w14:paraId="6378259D" w14:textId="77777777" w:rsidR="004134E7" w:rsidRPr="00DD7BD1" w:rsidRDefault="004134E7" w:rsidP="004134E7">
      <w:pPr>
        <w:spacing w:after="0" w:line="240" w:lineRule="auto"/>
        <w:rPr>
          <w:rFonts w:ascii="Calibri" w:hAnsi="Calibri" w:cs="Calibri"/>
          <w:sz w:val="16"/>
          <w:szCs w:val="16"/>
        </w:rPr>
      </w:pPr>
    </w:p>
    <w:p w14:paraId="1347E2E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Pay Stub Requirements</w:t>
      </w:r>
    </w:p>
    <w:p w14:paraId="47D7D2B1" w14:textId="77777777" w:rsidR="004134E7" w:rsidRPr="00DD7BD1" w:rsidRDefault="004134E7" w:rsidP="004134E7">
      <w:pPr>
        <w:pStyle w:val="BodyText"/>
        <w:spacing w:after="0" w:line="240" w:lineRule="auto"/>
        <w:rPr>
          <w:rFonts w:cs="Calibri"/>
          <w:color w:val="auto"/>
        </w:rPr>
      </w:pPr>
      <w:r w:rsidRPr="00DD7BD1">
        <w:rPr>
          <w:rFonts w:cs="Calibri"/>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DD7BD1" w:rsidRDefault="004134E7" w:rsidP="004134E7">
      <w:pPr>
        <w:pStyle w:val="Bullet"/>
        <w:spacing w:line="240" w:lineRule="auto"/>
        <w:rPr>
          <w:rFonts w:cs="Calibri"/>
          <w:color w:val="auto"/>
        </w:rPr>
      </w:pPr>
      <w:r w:rsidRPr="00DD7BD1">
        <w:rPr>
          <w:rFonts w:cs="Calibri"/>
          <w:color w:val="auto"/>
        </w:rPr>
        <w:t>Hours worked;</w:t>
      </w:r>
    </w:p>
    <w:p w14:paraId="3AD67301" w14:textId="77777777" w:rsidR="004134E7" w:rsidRPr="00DD7BD1" w:rsidRDefault="004134E7" w:rsidP="004134E7">
      <w:pPr>
        <w:pStyle w:val="Bullet"/>
        <w:spacing w:line="240" w:lineRule="auto"/>
        <w:rPr>
          <w:rFonts w:cs="Calibri"/>
          <w:color w:val="auto"/>
        </w:rPr>
      </w:pPr>
      <w:r w:rsidRPr="00DD7BD1">
        <w:rPr>
          <w:rFonts w:cs="Calibri"/>
          <w:color w:val="auto"/>
        </w:rPr>
        <w:t>Rate of pay;</w:t>
      </w:r>
    </w:p>
    <w:p w14:paraId="5006BF56"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w:t>
      </w:r>
      <w:proofErr w:type="gramStart"/>
      <w:r w:rsidRPr="00DD7BD1">
        <w:rPr>
          <w:rFonts w:cs="Calibri"/>
          <w:color w:val="auto"/>
        </w:rPr>
        <w:t>pay</w:t>
      </w:r>
      <w:proofErr w:type="gramEnd"/>
      <w:r w:rsidRPr="00DD7BD1">
        <w:rPr>
          <w:rFonts w:cs="Calibri"/>
          <w:color w:val="auto"/>
        </w:rPr>
        <w:t>;</w:t>
      </w:r>
    </w:p>
    <w:p w14:paraId="2DE71525"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hours worked; </w:t>
      </w:r>
    </w:p>
    <w:p w14:paraId="1522EA2F" w14:textId="77777777" w:rsidR="004134E7" w:rsidRPr="00DD7BD1" w:rsidRDefault="004134E7" w:rsidP="004134E7">
      <w:pPr>
        <w:pStyle w:val="Bullet"/>
        <w:spacing w:line="240" w:lineRule="auto"/>
        <w:rPr>
          <w:rFonts w:cs="Calibri"/>
          <w:color w:val="auto"/>
        </w:rPr>
      </w:pPr>
      <w:r w:rsidRPr="00DD7BD1">
        <w:rPr>
          <w:rFonts w:cs="Calibri"/>
          <w:color w:val="auto"/>
        </w:rPr>
        <w:t>Gross wages earned;</w:t>
      </w:r>
    </w:p>
    <w:p w14:paraId="777EDA52" w14:textId="77777777" w:rsidR="004134E7" w:rsidRPr="00DD7BD1" w:rsidRDefault="004134E7" w:rsidP="004134E7">
      <w:pPr>
        <w:pStyle w:val="Bullet"/>
        <w:spacing w:line="240" w:lineRule="auto"/>
        <w:rPr>
          <w:rFonts w:cs="Calibri"/>
          <w:color w:val="auto"/>
        </w:rPr>
      </w:pPr>
      <w:r w:rsidRPr="00DD7BD1">
        <w:rPr>
          <w:rFonts w:cs="Calibri"/>
          <w:color w:val="auto"/>
        </w:rPr>
        <w:t>Deductions from an employee’s wages;</w:t>
      </w:r>
    </w:p>
    <w:p w14:paraId="588A8668" w14:textId="77777777" w:rsidR="004134E7" w:rsidRPr="00DD7BD1" w:rsidRDefault="004134E7" w:rsidP="004134E7">
      <w:pPr>
        <w:pStyle w:val="Bullet"/>
        <w:spacing w:line="240" w:lineRule="auto"/>
        <w:rPr>
          <w:rFonts w:cs="Calibri"/>
          <w:color w:val="auto"/>
        </w:rPr>
      </w:pPr>
      <w:r w:rsidRPr="00DD7BD1">
        <w:rPr>
          <w:rFonts w:cs="Calibri"/>
          <w:color w:val="auto"/>
        </w:rPr>
        <w:t>Total wages year to date; and</w:t>
      </w:r>
    </w:p>
    <w:p w14:paraId="55531F1E" w14:textId="77777777" w:rsidR="004134E7" w:rsidRPr="00DD7BD1" w:rsidRDefault="004134E7" w:rsidP="004134E7">
      <w:pPr>
        <w:pStyle w:val="Bullet"/>
        <w:spacing w:line="240" w:lineRule="auto"/>
        <w:rPr>
          <w:rFonts w:cs="Calibri"/>
          <w:color w:val="auto"/>
        </w:rPr>
      </w:pPr>
      <w:r w:rsidRPr="00DD7BD1">
        <w:rPr>
          <w:rFonts w:cs="Calibri"/>
          <w:color w:val="auto"/>
        </w:rPr>
        <w:t>Total deductions year to date.</w:t>
      </w:r>
    </w:p>
    <w:p w14:paraId="70DDABD8" w14:textId="77777777" w:rsidR="004134E7" w:rsidRPr="00DD7BD1" w:rsidRDefault="004134E7" w:rsidP="004134E7">
      <w:pPr>
        <w:pStyle w:val="BodyText"/>
        <w:spacing w:after="0" w:line="240" w:lineRule="auto"/>
        <w:rPr>
          <w:rFonts w:cs="Calibri"/>
          <w:color w:val="auto"/>
          <w:sz w:val="16"/>
          <w:szCs w:val="16"/>
        </w:rPr>
      </w:pPr>
    </w:p>
    <w:p w14:paraId="03167788"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Recordkeeping</w:t>
      </w:r>
    </w:p>
    <w:p w14:paraId="0FF44BD7" w14:textId="77777777" w:rsidR="004134E7" w:rsidRPr="00DD7BD1" w:rsidRDefault="004134E7" w:rsidP="004134E7">
      <w:pPr>
        <w:pStyle w:val="BodyText"/>
        <w:rPr>
          <w:rFonts w:cs="Calibri"/>
          <w:color w:val="auto"/>
        </w:rPr>
      </w:pPr>
      <w:r w:rsidRPr="00DD7BD1">
        <w:rPr>
          <w:rFonts w:cs="Calibri"/>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Penalties</w:t>
      </w:r>
    </w:p>
    <w:p w14:paraId="4202CDE7" w14:textId="7D0E74E8" w:rsidR="004134E7" w:rsidRPr="00DD7BD1" w:rsidRDefault="004134E7" w:rsidP="004134E7">
      <w:pPr>
        <w:pStyle w:val="BodyText"/>
        <w:rPr>
          <w:rFonts w:cs="Calibri"/>
          <w:color w:val="auto"/>
        </w:rPr>
      </w:pPr>
      <w:r w:rsidRPr="00DD7BD1">
        <w:rPr>
          <w:rFonts w:cs="Calibri"/>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Enacts AI Employment Law – </w:t>
      </w:r>
      <w:r w:rsidRPr="00DD7BD1">
        <w:rPr>
          <w:rFonts w:ascii="Calibri" w:hAnsi="Calibri" w:cs="Calibri"/>
          <w:b/>
          <w:bCs/>
          <w:color w:val="C00000"/>
          <w:sz w:val="28"/>
          <w:szCs w:val="28"/>
          <w:shd w:val="clear" w:color="auto" w:fill="FFFFFF"/>
          <w:lang w:val="en"/>
        </w:rPr>
        <w:t>Jan 1, 202</w:t>
      </w:r>
      <w:r w:rsidRPr="00DD7BD1">
        <w:rPr>
          <w:rFonts w:ascii="Calibri" w:hAnsi="Calibri" w:cs="Calibri"/>
          <w:b/>
          <w:bCs/>
          <w:color w:val="C00000"/>
          <w:sz w:val="28"/>
          <w:szCs w:val="28"/>
          <w:u w:val="single"/>
          <w:shd w:val="clear" w:color="auto" w:fill="FFFFFF"/>
          <w:lang w:val="en"/>
        </w:rPr>
        <w:t>6</w:t>
      </w:r>
    </w:p>
    <w:p w14:paraId="3FCD5A3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Aug. 9, 2024, Illinois enacted an </w:t>
      </w:r>
      <w:hyperlink r:id="rId753" w:history="1">
        <w:r w:rsidRPr="00DD7BD1">
          <w:rPr>
            <w:rStyle w:val="Hyperlink"/>
            <w:rFonts w:ascii="Calibri" w:hAnsi="Calibri" w:cs="Calibri"/>
          </w:rPr>
          <w:t>amendment</w:t>
        </w:r>
      </w:hyperlink>
      <w:r w:rsidRPr="00DD7BD1">
        <w:rPr>
          <w:rFonts w:ascii="Calibri" w:hAnsi="Calibri" w:cs="Calibri"/>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DD7BD1">
        <w:rPr>
          <w:rFonts w:ascii="Calibri" w:hAnsi="Calibri" w:cs="Calibri"/>
          <w:b/>
          <w:bCs/>
        </w:rPr>
        <w:t>Jan. 1, 2026</w:t>
      </w:r>
      <w:r w:rsidRPr="00DD7BD1">
        <w:rPr>
          <w:rFonts w:ascii="Calibri" w:hAnsi="Calibri" w:cs="Calibri"/>
        </w:rPr>
        <w:t>.</w:t>
      </w:r>
    </w:p>
    <w:p w14:paraId="440A3F47" w14:textId="77777777" w:rsidR="001A2C87" w:rsidRPr="00DD7BD1" w:rsidRDefault="001A2C87" w:rsidP="001A2C87">
      <w:pPr>
        <w:spacing w:after="0" w:line="240" w:lineRule="auto"/>
        <w:rPr>
          <w:rFonts w:ascii="Calibri" w:hAnsi="Calibri" w:cs="Calibri"/>
          <w:sz w:val="16"/>
          <w:szCs w:val="16"/>
        </w:rPr>
      </w:pPr>
    </w:p>
    <w:p w14:paraId="582A5E15"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The law prohibits employers from using AI that results in the discrimination of employees </w:t>
      </w:r>
      <w:proofErr w:type="gramStart"/>
      <w:r w:rsidRPr="00DD7BD1">
        <w:rPr>
          <w:rFonts w:ascii="Calibri" w:hAnsi="Calibri" w:cs="Calibri"/>
        </w:rPr>
        <w:t>on the basis of</w:t>
      </w:r>
      <w:proofErr w:type="gramEnd"/>
      <w:r w:rsidRPr="00DD7BD1">
        <w:rPr>
          <w:rFonts w:ascii="Calibri" w:hAnsi="Calibri" w:cs="Calibri"/>
        </w:rPr>
        <w:t xml:space="preserve">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DD7BD1" w:rsidRDefault="001A2C87" w:rsidP="001A2C87">
      <w:pPr>
        <w:spacing w:after="0" w:line="240" w:lineRule="auto"/>
        <w:rPr>
          <w:rFonts w:ascii="Calibri" w:hAnsi="Calibri" w:cs="Calibri"/>
        </w:rPr>
      </w:pPr>
      <w:r w:rsidRPr="00DD7BD1">
        <w:rPr>
          <w:rFonts w:ascii="Calibri" w:hAnsi="Calibri" w:cs="Calibri"/>
        </w:rPr>
        <w:t>Under the law, “</w:t>
      </w:r>
      <w:r w:rsidRPr="00DD7BD1">
        <w:rPr>
          <w:rFonts w:ascii="Calibri" w:hAnsi="Calibri" w:cs="Calibri"/>
          <w:b/>
          <w:bCs/>
        </w:rPr>
        <w:t>AI</w:t>
      </w:r>
      <w:r w:rsidRPr="00DD7BD1">
        <w:rPr>
          <w:rFonts w:ascii="Calibri" w:hAnsi="Calibri" w:cs="Calibri"/>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DD7BD1" w:rsidRDefault="001A2C87" w:rsidP="001A2C87">
      <w:pPr>
        <w:spacing w:after="0" w:line="240" w:lineRule="auto"/>
        <w:rPr>
          <w:rFonts w:ascii="Calibri" w:hAnsi="Calibri" w:cs="Calibri"/>
          <w:sz w:val="16"/>
          <w:szCs w:val="16"/>
        </w:rPr>
      </w:pPr>
    </w:p>
    <w:p w14:paraId="77E307F1" w14:textId="77777777" w:rsidR="001A2C87" w:rsidRPr="00DD7BD1" w:rsidRDefault="001A2C87" w:rsidP="001A2C87">
      <w:pPr>
        <w:spacing w:after="0" w:line="240" w:lineRule="auto"/>
        <w:rPr>
          <w:rFonts w:ascii="Calibri" w:hAnsi="Calibri" w:cs="Calibri"/>
        </w:rPr>
      </w:pPr>
      <w:r w:rsidRPr="00DD7BD1">
        <w:rPr>
          <w:rFonts w:ascii="Calibri" w:hAnsi="Calibri" w:cs="Calibri"/>
        </w:rPr>
        <w:t>More to come closer to the effective date which is more than a year away.</w:t>
      </w:r>
    </w:p>
    <w:p w14:paraId="0CF92DBB" w14:textId="77777777" w:rsidR="001A2C87" w:rsidRPr="00DD7BD1" w:rsidRDefault="001A2C87" w:rsidP="00ED58D7">
      <w:pPr>
        <w:spacing w:after="0" w:line="240" w:lineRule="auto"/>
        <w:jc w:val="center"/>
        <w:rPr>
          <w:rFonts w:ascii="Calibri" w:hAnsi="Calibri" w:cs="Calibri"/>
          <w:b/>
          <w:bCs/>
          <w:shd w:val="clear" w:color="auto" w:fill="FFFFFF"/>
          <w:lang w:val="en"/>
        </w:rPr>
      </w:pPr>
    </w:p>
    <w:p w14:paraId="6D40F939" w14:textId="4C7A5AC6" w:rsidR="00ED58D7" w:rsidRPr="00DD7BD1" w:rsidRDefault="00ED58D7" w:rsidP="00ED58D7">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Biometric Information Privacy Act –</w:t>
      </w:r>
      <w:r w:rsidRPr="00DD7BD1">
        <w:rPr>
          <w:rFonts w:ascii="Calibri" w:hAnsi="Calibri" w:cs="Calibri"/>
          <w:b/>
          <w:bCs/>
          <w:color w:val="C00000"/>
          <w:sz w:val="28"/>
          <w:szCs w:val="28"/>
          <w:shd w:val="clear" w:color="auto" w:fill="FFFFFF"/>
          <w:lang w:val="en"/>
        </w:rPr>
        <w:t xml:space="preserve"> Aug 2024</w:t>
      </w:r>
    </w:p>
    <w:p w14:paraId="70A5FAF6" w14:textId="77777777" w:rsidR="00ED58D7" w:rsidRPr="00DD7BD1" w:rsidRDefault="00ED58D7" w:rsidP="00ED58D7">
      <w:pPr>
        <w:rPr>
          <w:rFonts w:ascii="Calibri" w:hAnsi="Calibri" w:cs="Calibri"/>
        </w:rPr>
      </w:pPr>
      <w:r w:rsidRPr="00DD7BD1">
        <w:rPr>
          <w:rFonts w:ascii="Calibri" w:hAnsi="Calibri" w:cs="Calibri"/>
        </w:rPr>
        <w:t xml:space="preserve">On Aug. 2, 2024, Illinois enacted </w:t>
      </w:r>
      <w:hyperlink r:id="rId754" w:history="1">
        <w:r w:rsidRPr="00DD7BD1">
          <w:rPr>
            <w:rStyle w:val="Hyperlink"/>
            <w:rFonts w:ascii="Calibri" w:hAnsi="Calibri" w:cs="Calibri"/>
          </w:rPr>
          <w:t>Senate Bill (SB) 2979</w:t>
        </w:r>
      </w:hyperlink>
      <w:r w:rsidRPr="00DD7BD1">
        <w:rPr>
          <w:rFonts w:ascii="Calibri" w:hAnsi="Calibri" w:cs="Calibri"/>
        </w:rPr>
        <w:t xml:space="preserve">, which amends the Illinois Biometric Information Privacy Act (BIPA). SB 2979 </w:t>
      </w:r>
      <w:r w:rsidRPr="00DD7BD1">
        <w:rPr>
          <w:rFonts w:ascii="Calibri" w:hAnsi="Calibri" w:cs="Calibri"/>
          <w:u w:val="single"/>
        </w:rPr>
        <w:t>limits potential statutory damage awards under BIPA and allows private entities to obtain consent from individuals for the collection, use, disclosure and storage of their biometric information through electronic signature</w:t>
      </w:r>
      <w:r w:rsidRPr="00DD7BD1">
        <w:rPr>
          <w:rFonts w:ascii="Calibri" w:hAnsi="Calibri" w:cs="Calibri"/>
        </w:rPr>
        <w:t xml:space="preserve">. The amendments to BIPA went into effect immediately on Aug. 2, 2024. </w:t>
      </w:r>
    </w:p>
    <w:p w14:paraId="2A99A7EE" w14:textId="77777777" w:rsidR="00ED58D7" w:rsidRPr="00DD7BD1" w:rsidRDefault="00ED58D7" w:rsidP="00ED58D7">
      <w:pPr>
        <w:rPr>
          <w:rFonts w:ascii="Calibri" w:hAnsi="Calibri" w:cs="Calibri"/>
        </w:rPr>
      </w:pPr>
      <w:r w:rsidRPr="00DD7BD1">
        <w:rPr>
          <w:rFonts w:ascii="Calibri" w:hAnsi="Calibri" w:cs="Calibri"/>
        </w:rPr>
        <w:t xml:space="preserve">SB 2979 effectively overrules the Illinois Supreme Court’s decision in </w:t>
      </w:r>
      <w:r w:rsidRPr="00DD7BD1">
        <w:rPr>
          <w:rFonts w:ascii="Calibri" w:hAnsi="Calibri" w:cs="Calibri"/>
          <w:i/>
          <w:iCs/>
        </w:rPr>
        <w:t>Cothron v. White Castle System</w:t>
      </w:r>
      <w:r w:rsidRPr="00DD7BD1">
        <w:rPr>
          <w:rFonts w:ascii="Calibri" w:hAnsi="Calibri" w:cs="Calibri"/>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Pr="00DD7BD1" w:rsidRDefault="00ED58D7" w:rsidP="00ED58D7">
      <w:pPr>
        <w:spacing w:after="0" w:line="240" w:lineRule="auto"/>
        <w:rPr>
          <w:rFonts w:ascii="Calibri" w:hAnsi="Calibri" w:cs="Calibri"/>
        </w:rPr>
      </w:pPr>
      <w:r w:rsidRPr="00DD7BD1">
        <w:rPr>
          <w:rFonts w:ascii="Calibri" w:hAnsi="Calibri" w:cs="Calibri"/>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r w:rsidRPr="00DD7BD1">
        <w:rPr>
          <w:rFonts w:ascii="Calibri" w:hAnsi="Calibri" w:cs="Calibri"/>
          <w:b/>
          <w:bCs/>
          <w:color w:val="2E74B5" w:themeColor="accent5" w:themeShade="BF"/>
          <w:sz w:val="28"/>
          <w:szCs w:val="28"/>
          <w:shd w:val="clear" w:color="auto" w:fill="FFFFFF"/>
          <w:lang w:val="en"/>
        </w:rPr>
        <w:tab/>
      </w:r>
    </w:p>
    <w:p w14:paraId="130A697E" w14:textId="08D6ED20" w:rsidR="001C5F42" w:rsidRPr="00DD7BD1" w:rsidRDefault="001C5F42" w:rsidP="001C5F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Freelance Worker Protection Act – </w:t>
      </w:r>
      <w:r w:rsidRPr="00DD7BD1">
        <w:rPr>
          <w:rFonts w:ascii="Calibri" w:hAnsi="Calibri" w:cs="Calibri"/>
          <w:b/>
          <w:bCs/>
          <w:color w:val="C00000"/>
          <w:sz w:val="28"/>
          <w:szCs w:val="28"/>
          <w:shd w:val="clear" w:color="auto" w:fill="FFFFFF"/>
          <w:lang w:val="en"/>
        </w:rPr>
        <w:t>July 1, 2024</w:t>
      </w:r>
    </w:p>
    <w:p w14:paraId="117DC33E"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DD7BD1" w:rsidRDefault="001C5F42" w:rsidP="001C5F42">
      <w:pPr>
        <w:spacing w:after="0" w:line="240" w:lineRule="auto"/>
        <w:rPr>
          <w:rFonts w:ascii="Calibri" w:hAnsi="Calibri" w:cs="Calibri"/>
          <w:shd w:val="clear" w:color="auto" w:fill="FFFFFF"/>
        </w:rPr>
      </w:pPr>
    </w:p>
    <w:p w14:paraId="4ACEAC01"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freelance </w:t>
      </w:r>
      <w:r w:rsidRPr="00DD7BD1">
        <w:rPr>
          <w:rFonts w:ascii="Calibri" w:hAnsi="Calibri" w:cs="Calibri"/>
          <w:b/>
          <w:bCs/>
          <w:shd w:val="clear" w:color="auto" w:fill="FFFFFF"/>
        </w:rPr>
        <w:t>workers are entitled to</w:t>
      </w:r>
      <w:r w:rsidRPr="00DD7BD1">
        <w:rPr>
          <w:rFonts w:ascii="Calibri" w:hAnsi="Calibri" w:cs="Calibri"/>
          <w:shd w:val="clear" w:color="auto" w:fill="FFFFFF"/>
        </w:rPr>
        <w:t xml:space="preserv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following: </w:t>
      </w:r>
    </w:p>
    <w:p w14:paraId="75A9772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A written contract (see templates below) that includes:  </w:t>
      </w:r>
    </w:p>
    <w:p w14:paraId="014E113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Name and contact information of both the hiring entity and freelance worker </w:t>
      </w:r>
    </w:p>
    <w:p w14:paraId="2AF7BF1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Itemization of products and services </w:t>
      </w:r>
    </w:p>
    <w:p w14:paraId="7D6B2AE6"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Rate and method compensation </w:t>
      </w:r>
    </w:p>
    <w:p w14:paraId="1359B8D3"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 of compensation due </w:t>
      </w:r>
    </w:p>
    <w:p w14:paraId="74142AE0"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Dates of services to be provided </w:t>
      </w:r>
    </w:p>
    <w:p w14:paraId="44BDC45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Protection from retaliation and/or other negative action for exercising rights under the FWPA </w:t>
      </w:r>
    </w:p>
    <w:p w14:paraId="41A9F846" w14:textId="77777777" w:rsidR="001C5F42" w:rsidRPr="00DD7BD1" w:rsidRDefault="001C5F42" w:rsidP="001C5F42">
      <w:pPr>
        <w:spacing w:after="0" w:line="240" w:lineRule="auto"/>
        <w:rPr>
          <w:rFonts w:ascii="Calibri" w:hAnsi="Calibri" w:cs="Calibri"/>
          <w:shd w:val="clear" w:color="auto" w:fill="FFFFFF"/>
        </w:rPr>
      </w:pPr>
    </w:p>
    <w:p w14:paraId="30A66455"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Of note: The law only applies to contracts taking effect </w:t>
      </w:r>
      <w:r w:rsidRPr="00DD7BD1">
        <w:rPr>
          <w:rFonts w:ascii="Calibri" w:hAnsi="Calibri" w:cs="Calibri"/>
          <w:b/>
          <w:bCs/>
          <w:shd w:val="clear" w:color="auto" w:fill="FFFFFF"/>
        </w:rPr>
        <w:t>after July 1, 2024</w:t>
      </w:r>
      <w:r w:rsidRPr="00DD7BD1">
        <w:rPr>
          <w:rFonts w:ascii="Calibri" w:hAnsi="Calibri" w:cs="Calibri"/>
          <w:shd w:val="clear" w:color="auto" w:fill="FFFFFF"/>
        </w:rPr>
        <w:t xml:space="preserve">.  Illinois provides See model contracts on their sate website </w:t>
      </w:r>
      <w:hyperlink r:id="rId755"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access the State’s </w:t>
      </w:r>
      <w:hyperlink r:id="rId756" w:tgtFrame="_blank" w:history="1">
        <w:r w:rsidRPr="00DD7BD1">
          <w:rPr>
            <w:rStyle w:val="Hyperlink"/>
            <w:rFonts w:ascii="Calibri" w:hAnsi="Calibri" w:cs="Calibri"/>
            <w:shd w:val="clear" w:color="auto" w:fill="FFFFFF"/>
          </w:rPr>
          <w:t>Frequently Asked Questions</w:t>
        </w:r>
      </w:hyperlink>
    </w:p>
    <w:p w14:paraId="7BC36BC5" w14:textId="77777777" w:rsidR="001C5F42"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p>
    <w:p w14:paraId="1D5FDF09" w14:textId="5A1FC3D2"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01FC0C7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lastRenderedPageBreak/>
        <w:t>LOCAL MINIMUM WAGE INCREASES</w:t>
      </w:r>
    </w:p>
    <w:p w14:paraId="3D7669C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Chicago</w:t>
      </w:r>
      <w:r w:rsidRPr="00DD7BD1">
        <w:rPr>
          <w:rFonts w:ascii="Calibri" w:hAnsi="Calibri" w:cs="Calibri"/>
          <w:sz w:val="22"/>
          <w:szCs w:val="22"/>
        </w:rPr>
        <w:br/>
        <w:t xml:space="preserve">For employers with four or more employees, the minimum hourly wage will increase to $16.20. The minimum hourly base wage for tipped employees will increase to $11.02—this is the </w:t>
      </w:r>
      <w:proofErr w:type="gramStart"/>
      <w:r w:rsidRPr="00DD7BD1">
        <w:rPr>
          <w:rFonts w:ascii="Calibri" w:hAnsi="Calibri" w:cs="Calibri"/>
          <w:sz w:val="22"/>
          <w:szCs w:val="22"/>
        </w:rPr>
        <w:t>first rate</w:t>
      </w:r>
      <w:proofErr w:type="gramEnd"/>
      <w:r w:rsidRPr="00DD7BD1">
        <w:rPr>
          <w:rFonts w:ascii="Calibri" w:hAnsi="Calibri" w:cs="Calibri"/>
          <w:sz w:val="22"/>
          <w:szCs w:val="22"/>
        </w:rPr>
        <w:t xml:space="preserve"> increase that’s part of the gradual phase out of the tip credit, which will be eliminated in 2028.</w:t>
      </w:r>
    </w:p>
    <w:p w14:paraId="02C3B9A8"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Cook County</w:t>
      </w:r>
      <w:r w:rsidRPr="00DD7BD1">
        <w:rPr>
          <w:rFonts w:ascii="Calibri" w:hAnsi="Calibri" w:cs="Calibri"/>
          <w:sz w:val="22"/>
          <w:szCs w:val="22"/>
        </w:rPr>
        <w:br/>
        <w:t xml:space="preserve">The minimum hourly wage will increase to $14.05. The minimum hourly base wage for tipped employees will </w:t>
      </w:r>
      <w:proofErr w:type="gramStart"/>
      <w:r w:rsidRPr="00DD7BD1">
        <w:rPr>
          <w:rFonts w:ascii="Calibri" w:hAnsi="Calibri" w:cs="Calibri"/>
          <w:sz w:val="22"/>
          <w:szCs w:val="22"/>
        </w:rPr>
        <w:t>remain at</w:t>
      </w:r>
      <w:proofErr w:type="gramEnd"/>
      <w:r w:rsidRPr="00DD7BD1">
        <w:rPr>
          <w:rFonts w:ascii="Calibri" w:hAnsi="Calibri" w:cs="Calibri"/>
          <w:sz w:val="22"/>
          <w:szCs w:val="22"/>
        </w:rPr>
        <w:t xml:space="preserve"> $8.40.</w:t>
      </w:r>
    </w:p>
    <w:p w14:paraId="4574982A" w14:textId="77777777" w:rsidR="008C6649" w:rsidRPr="00DD7BD1" w:rsidRDefault="008C6649" w:rsidP="001C5F42">
      <w:pPr>
        <w:spacing w:after="0" w:line="240" w:lineRule="auto"/>
        <w:rPr>
          <w:rStyle w:val="Strong"/>
          <w:rFonts w:ascii="Calibri" w:eastAsia="Times New Roman" w:hAnsi="Calibri" w:cs="Calibri"/>
        </w:rPr>
      </w:pPr>
    </w:p>
    <w:p w14:paraId="4A345664" w14:textId="77777777" w:rsidR="008C6649" w:rsidRPr="00DD7BD1" w:rsidRDefault="008C6649" w:rsidP="008C6649">
      <w:pPr>
        <w:pStyle w:val="NormalWeb"/>
        <w:shd w:val="clear" w:color="auto" w:fill="FFFFFF"/>
        <w:spacing w:before="0" w:beforeAutospacing="0" w:after="0" w:afterAutospacing="0"/>
        <w:jc w:val="center"/>
        <w:rPr>
          <w:rFonts w:ascii="Calibri" w:hAnsi="Calibri" w:cs="Calibri"/>
          <w:color w:val="282828"/>
          <w:sz w:val="22"/>
          <w:szCs w:val="22"/>
        </w:rPr>
      </w:pPr>
      <w:r w:rsidRPr="00DD7BD1">
        <w:rPr>
          <w:rFonts w:ascii="Calibri" w:eastAsiaTheme="minorHAnsi" w:hAnsi="Calibri" w:cs="Calibri"/>
          <w:b/>
          <w:bCs/>
          <w:sz w:val="28"/>
          <w:szCs w:val="28"/>
          <w:shd w:val="clear" w:color="auto" w:fill="FFFFFF"/>
          <w:lang w:val="en"/>
        </w:rPr>
        <w:t xml:space="preserve">Chicago </w:t>
      </w:r>
      <w:r w:rsidRPr="00DD7BD1">
        <w:rPr>
          <w:rStyle w:val="Strong"/>
          <w:rFonts w:ascii="Calibri" w:hAnsi="Calibri" w:cs="Calibri"/>
          <w:sz w:val="28"/>
          <w:szCs w:val="28"/>
          <w:shd w:val="clear" w:color="auto" w:fill="FFFFFF"/>
        </w:rPr>
        <w:t>Fair Workweek Threshold Increase</w:t>
      </w:r>
      <w:r w:rsidRPr="00DD7BD1">
        <w:rPr>
          <w:rStyle w:val="Strong"/>
          <w:rFonts w:ascii="Calibri" w:hAnsi="Calibri" w:cs="Calibri"/>
          <w:sz w:val="22"/>
          <w:szCs w:val="22"/>
          <w:shd w:val="clear" w:color="auto" w:fill="FFFFFF"/>
        </w:rPr>
        <w:t xml:space="preserve"> -</w:t>
      </w:r>
      <w:r w:rsidRPr="00DD7BD1">
        <w:rPr>
          <w:rFonts w:ascii="Calibri" w:eastAsiaTheme="minorHAnsi" w:hAnsi="Calibri" w:cs="Calibri"/>
          <w:b/>
          <w:bCs/>
          <w:sz w:val="28"/>
          <w:szCs w:val="28"/>
          <w:shd w:val="clear" w:color="auto" w:fill="FFFFFF"/>
          <w:lang w:val="en"/>
        </w:rPr>
        <w:t xml:space="preserve"> July 1</w:t>
      </w:r>
    </w:p>
    <w:p w14:paraId="3D784679" w14:textId="43121FA1" w:rsidR="008C6649"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shd w:val="clear" w:color="auto" w:fill="FFFFFF"/>
        </w:rPr>
      </w:pPr>
      <w:r w:rsidRPr="00DD7BD1">
        <w:rPr>
          <w:rStyle w:val="Strong"/>
          <w:rFonts w:ascii="Calibri" w:hAnsi="Calibri" w:cs="Calibri"/>
          <w:sz w:val="22"/>
          <w:szCs w:val="22"/>
          <w:shd w:val="clear" w:color="auto" w:fill="FFFFFF"/>
        </w:rPr>
        <w:t>CHICAGO FAIR WORKWEEK THRESHOLD INCREASE</w:t>
      </w:r>
      <w:r w:rsidRPr="00DD7BD1">
        <w:rPr>
          <w:rFonts w:ascii="Calibri" w:hAnsi="Calibri" w:cs="Calibri"/>
          <w:sz w:val="22"/>
          <w:szCs w:val="22"/>
        </w:rPr>
        <w:br/>
      </w:r>
      <w:r w:rsidRPr="00DD7BD1">
        <w:rPr>
          <w:rFonts w:ascii="Calibri" w:hAnsi="Calibri" w:cs="Calibri"/>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DD7BD1" w:rsidRDefault="008C6649" w:rsidP="00163F72">
      <w:pPr>
        <w:spacing w:after="0" w:line="240" w:lineRule="auto"/>
        <w:jc w:val="center"/>
        <w:rPr>
          <w:rStyle w:val="Strong"/>
          <w:rFonts w:ascii="Calibri" w:eastAsia="Times New Roman" w:hAnsi="Calibri" w:cs="Calibri"/>
          <w:sz w:val="20"/>
          <w:szCs w:val="20"/>
        </w:rPr>
      </w:pPr>
    </w:p>
    <w:p w14:paraId="00776F17" w14:textId="29543F47" w:rsidR="00163F72" w:rsidRPr="00DD7BD1" w:rsidRDefault="00163F72" w:rsidP="00163F72">
      <w:pPr>
        <w:spacing w:after="0" w:line="240" w:lineRule="auto"/>
        <w:jc w:val="center"/>
        <w:rPr>
          <w:rStyle w:val="Strong"/>
          <w:rFonts w:ascii="Calibri" w:eastAsia="Times New Roman" w:hAnsi="Calibri" w:cs="Calibri"/>
          <w:color w:val="282828"/>
          <w:sz w:val="28"/>
          <w:szCs w:val="28"/>
        </w:rPr>
      </w:pPr>
      <w:r w:rsidRPr="00DD7BD1">
        <w:rPr>
          <w:rStyle w:val="Strong"/>
          <w:rFonts w:ascii="Calibri" w:eastAsia="Times New Roman" w:hAnsi="Calibri" w:cs="Calibri"/>
          <w:sz w:val="28"/>
          <w:szCs w:val="28"/>
        </w:rPr>
        <w:t>Chicago Start of New Paid Leave</w:t>
      </w:r>
    </w:p>
    <w:p w14:paraId="786B4E81" w14:textId="7BCE97CD" w:rsidR="00A83553"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December 13, 2023, the Chicago City Council voted to delay the implementation of the city’s new paid leave and paid sick and safe leave ordinance from Jan. 1, 2024, to July 1, 2024. The council also amended the ordinance in other ways, some of which are helpful to employers. The city’s existing paid sick leave </w:t>
      </w:r>
      <w:hyperlink r:id="rId757" w:history="1">
        <w:r w:rsidRPr="00DD7BD1">
          <w:rPr>
            <w:rStyle w:val="Hyperlink"/>
            <w:rFonts w:cs="Calibri"/>
            <w:szCs w:val="22"/>
          </w:rPr>
          <w:t>ordinance</w:t>
        </w:r>
      </w:hyperlink>
      <w:r w:rsidRPr="00DD7BD1">
        <w:rPr>
          <w:rFonts w:cs="Calibri"/>
          <w:szCs w:val="22"/>
        </w:rPr>
        <w:t xml:space="preserve"> </w:t>
      </w:r>
      <w:r w:rsidRPr="00DD7BD1">
        <w:rPr>
          <w:rFonts w:cs="Calibri"/>
          <w:color w:val="auto"/>
          <w:szCs w:val="22"/>
        </w:rPr>
        <w:t>will remain in effect until the new one takes effect in July.</w:t>
      </w:r>
    </w:p>
    <w:p w14:paraId="311636FE" w14:textId="77777777" w:rsidR="00163F72" w:rsidRPr="00DD7BD1" w:rsidRDefault="00163F72" w:rsidP="00163F72">
      <w:pPr>
        <w:pStyle w:val="SubHeader"/>
        <w:spacing w:line="240" w:lineRule="auto"/>
        <w:rPr>
          <w:rFonts w:cs="Calibri"/>
          <w:color w:val="auto"/>
          <w:sz w:val="12"/>
          <w:szCs w:val="12"/>
        </w:rPr>
      </w:pPr>
    </w:p>
    <w:p w14:paraId="3C488440"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Chicago Paid Leave and Paid Sick and Safe Leave Ordinance</w:t>
      </w:r>
    </w:p>
    <w:p w14:paraId="450671D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Nov. 9, 2023, Chicago passed an ordinance that significantly expanded the city’s paid sick leave requirement, mandating up to 40 hours of paid leave </w:t>
      </w:r>
      <w:r w:rsidRPr="00DD7BD1">
        <w:rPr>
          <w:rFonts w:cs="Calibri"/>
          <w:b/>
          <w:bCs/>
          <w:color w:val="auto"/>
          <w:szCs w:val="22"/>
        </w:rPr>
        <w:t>and</w:t>
      </w:r>
      <w:r w:rsidRPr="00DD7BD1">
        <w:rPr>
          <w:rFonts w:cs="Calibri"/>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D7BD1" w:rsidRDefault="00163F72" w:rsidP="00163F72">
      <w:pPr>
        <w:pStyle w:val="SubHeader"/>
        <w:spacing w:line="240" w:lineRule="auto"/>
        <w:rPr>
          <w:rFonts w:cs="Calibri"/>
          <w:color w:val="auto"/>
          <w:sz w:val="12"/>
          <w:szCs w:val="12"/>
        </w:rPr>
      </w:pPr>
    </w:p>
    <w:p w14:paraId="1188FD5C"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Amendments to the Ordinance</w:t>
      </w:r>
    </w:p>
    <w:p w14:paraId="4F6C62A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The amendments delay the start of the ordinance to July 1, 2024, when accrual begins. Furthermore, now leave will apply only to employees who have worked </w:t>
      </w:r>
      <w:r w:rsidRPr="00DD7BD1">
        <w:rPr>
          <w:rFonts w:cs="Calibri"/>
          <w:b/>
          <w:bCs/>
          <w:color w:val="auto"/>
          <w:szCs w:val="22"/>
        </w:rPr>
        <w:t>80 hours</w:t>
      </w:r>
      <w:r w:rsidRPr="00DD7BD1">
        <w:rPr>
          <w:rFonts w:cs="Calibri"/>
          <w:color w:val="auto"/>
          <w:szCs w:val="22"/>
        </w:rPr>
        <w:t xml:space="preserve"> in Chicago in any </w:t>
      </w:r>
      <w:r w:rsidRPr="00DD7BD1">
        <w:rPr>
          <w:rFonts w:cs="Calibri"/>
          <w:b/>
          <w:bCs/>
          <w:color w:val="auto"/>
          <w:szCs w:val="22"/>
        </w:rPr>
        <w:t>120-day period</w:t>
      </w:r>
      <w:r w:rsidRPr="00DD7BD1">
        <w:rPr>
          <w:rFonts w:cs="Calibri"/>
          <w:color w:val="auto"/>
          <w:szCs w:val="22"/>
        </w:rPr>
        <w:t xml:space="preserve">. Other key changes include that: </w:t>
      </w:r>
    </w:p>
    <w:p w14:paraId="0C125FCB"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Employers must provide written paid time off policies to each covered employee in the employee’s primary language;</w:t>
      </w:r>
    </w:p>
    <w:p w14:paraId="37F19329"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Until July 1, 2026, employees must wait 16 days (or a payroll period) before filing a civil action against employers for violating the ordinance; and</w:t>
      </w:r>
    </w:p>
    <w:p w14:paraId="49A77060" w14:textId="77777777" w:rsidR="00163F72" w:rsidRPr="00DD7BD1" w:rsidRDefault="00163F72" w:rsidP="00163F72">
      <w:pPr>
        <w:pStyle w:val="Bullet"/>
        <w:ind w:left="360"/>
        <w:rPr>
          <w:rFonts w:cs="Calibri"/>
          <w:color w:val="auto"/>
          <w:szCs w:val="22"/>
        </w:rPr>
      </w:pPr>
      <w:r w:rsidRPr="00DD7BD1">
        <w:rPr>
          <w:rFonts w:cs="Calibri"/>
          <w:color w:val="auto"/>
          <w:szCs w:val="22"/>
        </w:rPr>
        <w:t>All employers with employees who work in Chicago must comply with the recordkeeping requirements of the ordinance.</w:t>
      </w:r>
    </w:p>
    <w:p w14:paraId="1D97AE24" w14:textId="5F0068ED" w:rsidR="007555BC" w:rsidRPr="00DD7BD1" w:rsidRDefault="00163F72" w:rsidP="00163F72">
      <w:pPr>
        <w:spacing w:after="0" w:line="240" w:lineRule="auto"/>
        <w:jc w:val="both"/>
        <w:rPr>
          <w:rFonts w:ascii="Calibri" w:hAnsi="Calibri" w:cs="Calibri"/>
        </w:rPr>
      </w:pPr>
      <w:r w:rsidRPr="00DD7BD1">
        <w:rPr>
          <w:rFonts w:ascii="Calibri" w:hAnsi="Calibri" w:cs="Calibri"/>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Pr="00DD7BD1" w:rsidRDefault="008C6649" w:rsidP="00163F72">
      <w:pPr>
        <w:spacing w:after="0" w:line="240" w:lineRule="auto"/>
        <w:jc w:val="both"/>
        <w:rPr>
          <w:rFonts w:ascii="Calibri" w:hAnsi="Calibri" w:cs="Calibri"/>
        </w:rPr>
      </w:pPr>
    </w:p>
    <w:p w14:paraId="66B686BC" w14:textId="77777777" w:rsidR="008C6649" w:rsidRPr="00DD7BD1" w:rsidRDefault="008C6649" w:rsidP="008C6649">
      <w:pPr>
        <w:spacing w:after="0" w:line="240" w:lineRule="auto"/>
        <w:jc w:val="both"/>
        <w:rPr>
          <w:rFonts w:ascii="Calibri" w:hAnsi="Calibri" w:cs="Calibri"/>
          <w:b/>
          <w:bCs/>
        </w:rPr>
      </w:pPr>
      <w:proofErr w:type="gramStart"/>
      <w:r w:rsidRPr="00DD7BD1">
        <w:rPr>
          <w:rFonts w:ascii="Calibri" w:hAnsi="Calibri" w:cs="Calibri"/>
          <w:b/>
          <w:bCs/>
        </w:rPr>
        <w:t>Recap of</w:t>
      </w:r>
      <w:proofErr w:type="gramEnd"/>
      <w:r w:rsidRPr="00DD7BD1">
        <w:rPr>
          <w:rFonts w:ascii="Calibri" w:hAnsi="Calibri" w:cs="Calibri"/>
          <w:b/>
          <w:bCs/>
        </w:rPr>
        <w:t xml:space="preserve"> New Paid Leave &amp; Paid Sick &amp; Safe Leave Regulations:</w:t>
      </w:r>
    </w:p>
    <w:p w14:paraId="035BC33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Accrual</w:t>
      </w:r>
      <w:r w:rsidRPr="00DD7BD1">
        <w:rPr>
          <w:rFonts w:ascii="Calibri" w:hAnsi="Calibri" w:cs="Calibri"/>
          <w:sz w:val="22"/>
          <w:szCs w:val="22"/>
        </w:rPr>
        <w:br/>
        <w:t>Both types of leave begin to accrue on July 1, 2024 (or upon hire, if after that) at a rate of one hour for every 35 hours worked</w:t>
      </w:r>
      <w:r w:rsidRPr="00DD7BD1">
        <w:rPr>
          <w:rFonts w:ascii="Calibri" w:hAnsi="Calibri" w:cs="Calibri"/>
          <w:i/>
          <w:iCs/>
          <w:sz w:val="22"/>
          <w:szCs w:val="22"/>
        </w:rPr>
        <w:t> in Chicago. </w:t>
      </w:r>
      <w:r w:rsidRPr="00DD7BD1">
        <w:rPr>
          <w:rFonts w:ascii="Calibri" w:hAnsi="Calibri" w:cs="Calibri"/>
          <w:sz w:val="22"/>
          <w:szCs w:val="22"/>
        </w:rPr>
        <w:t>An employee who works 35 hours will have earned one hour of PL and one hour of PSL. Employers can cap </w:t>
      </w:r>
      <w:r w:rsidRPr="00DD7BD1">
        <w:rPr>
          <w:rFonts w:ascii="Calibri" w:hAnsi="Calibri" w:cs="Calibri"/>
          <w:i/>
          <w:iCs/>
          <w:sz w:val="22"/>
          <w:szCs w:val="22"/>
        </w:rPr>
        <w:t>annual</w:t>
      </w:r>
      <w:r w:rsidRPr="00DD7BD1">
        <w:rPr>
          <w:rFonts w:ascii="Calibri" w:hAnsi="Calibri" w:cs="Calibri"/>
          <w:sz w:val="22"/>
          <w:szCs w:val="22"/>
        </w:rPr>
        <w:t> accrual at 40 hours for each type of leave.</w:t>
      </w:r>
    </w:p>
    <w:p w14:paraId="5738F76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Carryover</w:t>
      </w:r>
      <w:r w:rsidRPr="00DD7BD1">
        <w:rPr>
          <w:rFonts w:ascii="Calibri" w:hAnsi="Calibri" w:cs="Calibri"/>
          <w:sz w:val="22"/>
          <w:szCs w:val="22"/>
        </w:rPr>
        <w:br/>
        <w:t>Employees can carry over</w:t>
      </w:r>
      <w:r w:rsidRPr="00DD7BD1">
        <w:rPr>
          <w:rStyle w:val="Strong"/>
          <w:rFonts w:ascii="Calibri" w:hAnsi="Calibri" w:cs="Calibri"/>
          <w:sz w:val="22"/>
          <w:szCs w:val="22"/>
        </w:rPr>
        <w:t> </w:t>
      </w:r>
      <w:r w:rsidRPr="00DD7BD1">
        <w:rPr>
          <w:rFonts w:ascii="Calibri" w:hAnsi="Calibri" w:cs="Calibri"/>
          <w:sz w:val="22"/>
          <w:szCs w:val="22"/>
        </w:rPr>
        <w:t>up to 16 hours of PL from one benefit year to the next unless their employer frontloads PL, in which case no PL needs to carry over. Employees can carry over up to 80 hours of PSL from one benefit year to the next, </w:t>
      </w:r>
      <w:r w:rsidRPr="00DD7BD1">
        <w:rPr>
          <w:rFonts w:ascii="Calibri" w:hAnsi="Calibri" w:cs="Calibri"/>
          <w:i/>
          <w:iCs/>
          <w:sz w:val="22"/>
          <w:szCs w:val="22"/>
        </w:rPr>
        <w:t>regardless</w:t>
      </w:r>
      <w:r w:rsidRPr="00DD7BD1">
        <w:rPr>
          <w:rFonts w:ascii="Calibri" w:hAnsi="Calibri" w:cs="Calibri"/>
          <w:sz w:val="22"/>
          <w:szCs w:val="22"/>
        </w:rPr>
        <w:t> of whether the employer frontloads.</w:t>
      </w:r>
    </w:p>
    <w:p w14:paraId="3F77113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Use</w:t>
      </w:r>
      <w:r w:rsidRPr="00DD7BD1">
        <w:rPr>
          <w:rFonts w:ascii="Calibri" w:hAnsi="Calibri" w:cs="Calibri"/>
          <w:sz w:val="22"/>
          <w:szCs w:val="22"/>
        </w:rPr>
        <w:br/>
        <w:t xml:space="preserve">Employers can’t cap use of either type of leave (except up to the amount that an employee has accrued). Employers can deny PL requests if the denial is based on a rationale covered by their written policy—they must also provide employees with a written </w:t>
      </w:r>
      <w:r w:rsidRPr="00DD7BD1">
        <w:rPr>
          <w:rFonts w:ascii="Calibri" w:hAnsi="Calibri" w:cs="Calibri"/>
          <w:sz w:val="22"/>
          <w:szCs w:val="22"/>
        </w:rPr>
        <w:lastRenderedPageBreak/>
        <w:t>explanation for the denial. Employers can impose a 30-day waiting period on use of PSL and a 90-day waiting period on use of PL from the time an employee begins to accrue.</w:t>
      </w:r>
    </w:p>
    <w:p w14:paraId="55DB4D2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Payout at Termination</w:t>
      </w:r>
      <w:r w:rsidRPr="00DD7BD1">
        <w:rPr>
          <w:rFonts w:ascii="Calibri" w:hAnsi="Calibri" w:cs="Calibri"/>
          <w:sz w:val="22"/>
          <w:szCs w:val="22"/>
        </w:rPr>
        <w:br/>
        <w:t>Employers don’t have to pay out any unused PSL but may need to pay out </w:t>
      </w:r>
      <w:r w:rsidRPr="00DD7BD1">
        <w:rPr>
          <w:rFonts w:ascii="Calibri" w:hAnsi="Calibri" w:cs="Calibri"/>
          <w:i/>
          <w:iCs/>
          <w:sz w:val="22"/>
          <w:szCs w:val="22"/>
        </w:rPr>
        <w:t>accrued but unused</w:t>
      </w:r>
      <w:r w:rsidRPr="00DD7BD1">
        <w:rPr>
          <w:rFonts w:ascii="Calibri" w:hAnsi="Calibri" w:cs="Calibri"/>
          <w:sz w:val="22"/>
          <w:szCs w:val="22"/>
        </w:rPr>
        <w:t> PL at termination, according to the following rules:</w:t>
      </w:r>
    </w:p>
    <w:p w14:paraId="592CC962"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1–50 employees are exempt from PL payout</w:t>
      </w:r>
    </w:p>
    <w:p w14:paraId="26368F1E"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51–100 employees must pay out up to 16 hours of PL through June 30, 2025, and all unused, accrued PL after that date</w:t>
      </w:r>
    </w:p>
    <w:p w14:paraId="161D3590"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101 or more employees must pay out all unused, accrued PL</w:t>
      </w:r>
    </w:p>
    <w:p w14:paraId="5CFF2F09"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799C899C" w14:textId="3FA2A0CA" w:rsidR="008C6649" w:rsidRPr="00DD7BD1" w:rsidRDefault="008C6649" w:rsidP="008C664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Notice to Employees</w:t>
      </w:r>
      <w:r w:rsidRPr="00DD7BD1">
        <w:rPr>
          <w:rFonts w:ascii="Calibri" w:hAnsi="Calibri" w:cs="Calibri"/>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6" w:name="_Hlk170732982"/>
      <w:r w:rsidRPr="00DD7BD1">
        <w:rPr>
          <w:rStyle w:val="Hyperlink"/>
          <w:rFonts w:ascii="Calibri" w:eastAsiaTheme="minorHAnsi" w:hAnsi="Calibri" w:cs="Calibri"/>
        </w:rPr>
        <w:fldChar w:fldCharType="begin"/>
      </w:r>
      <w:r w:rsidRPr="00DD7BD1">
        <w:rPr>
          <w:rStyle w:val="Hyperlink"/>
          <w:rFonts w:ascii="Calibri" w:eastAsiaTheme="minorHAnsi" w:hAnsi="Calibri" w:cs="Calibr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DD7BD1">
        <w:rPr>
          <w:rStyle w:val="Hyperlink"/>
          <w:rFonts w:ascii="Calibri" w:eastAsiaTheme="minorHAnsi" w:hAnsi="Calibri" w:cs="Calibri"/>
        </w:rPr>
      </w:r>
      <w:r w:rsidRPr="00DD7BD1">
        <w:rPr>
          <w:rStyle w:val="Hyperlink"/>
          <w:rFonts w:ascii="Calibri" w:eastAsiaTheme="minorHAnsi" w:hAnsi="Calibri" w:cs="Calibri"/>
        </w:rPr>
        <w:fldChar w:fldCharType="separate"/>
      </w:r>
      <w:r w:rsidRPr="00DD7BD1">
        <w:rPr>
          <w:rStyle w:val="Hyperlink"/>
          <w:rFonts w:ascii="Calibri" w:eastAsiaTheme="minorHAnsi" w:hAnsi="Calibri" w:cs="Calibri"/>
          <w:sz w:val="22"/>
          <w:szCs w:val="22"/>
        </w:rPr>
        <w:t>here</w:t>
      </w:r>
      <w:r w:rsidRPr="00DD7BD1">
        <w:rPr>
          <w:rStyle w:val="Hyperlink"/>
          <w:rFonts w:ascii="Calibri" w:eastAsiaTheme="minorHAnsi" w:hAnsi="Calibri" w:cs="Calibri"/>
        </w:rPr>
        <w:fldChar w:fldCharType="end"/>
      </w:r>
      <w:r w:rsidRPr="00DD7BD1">
        <w:rPr>
          <w:rStyle w:val="Hyperlink"/>
          <w:rFonts w:ascii="Calibri" w:eastAsiaTheme="minorHAnsi" w:hAnsi="Calibri" w:cs="Calibri"/>
        </w:rPr>
        <w:t>.</w:t>
      </w:r>
      <w:bookmarkEnd w:id="96"/>
    </w:p>
    <w:p w14:paraId="05581DA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2075A25A" w14:textId="44BC5B50"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Documentation for Use of Leave</w:t>
      </w:r>
      <w:r w:rsidRPr="00DD7BD1">
        <w:rPr>
          <w:rFonts w:ascii="Calibri" w:hAnsi="Calibri" w:cs="Calibri"/>
          <w:sz w:val="22"/>
          <w:szCs w:val="22"/>
        </w:rPr>
        <w:br/>
        <w:t>Employers can’t require any documentation for use of PL. Employers can require that employees provide certification of their need for PSL if they’re gone for </w:t>
      </w:r>
      <w:r w:rsidRPr="00DD7BD1">
        <w:rPr>
          <w:rFonts w:ascii="Calibri" w:hAnsi="Calibri" w:cs="Calibri"/>
          <w:i/>
          <w:iCs/>
          <w:sz w:val="22"/>
          <w:szCs w:val="22"/>
        </w:rPr>
        <w:t>more</w:t>
      </w:r>
      <w:r w:rsidRPr="00DD7BD1">
        <w:rPr>
          <w:rFonts w:ascii="Calibri" w:hAnsi="Calibri" w:cs="Calibri"/>
          <w:sz w:val="22"/>
          <w:szCs w:val="22"/>
        </w:rPr>
        <w:t> than three consecutive scheduled workdays. Note that the FAQs are a bit misleading in saying that an employer can ask for a note “after” an employee uses three days in a row—that's only true if the employee also</w:t>
      </w:r>
      <w:r w:rsidRPr="00DD7BD1">
        <w:rPr>
          <w:rFonts w:ascii="Calibri" w:hAnsi="Calibri" w:cs="Calibri"/>
          <w:i/>
          <w:iCs/>
          <w:sz w:val="22"/>
          <w:szCs w:val="22"/>
        </w:rPr>
        <w:t> </w:t>
      </w:r>
      <w:r w:rsidRPr="00DD7BD1">
        <w:rPr>
          <w:rFonts w:ascii="Calibri" w:hAnsi="Calibri" w:cs="Calibri"/>
          <w:sz w:val="22"/>
          <w:szCs w:val="22"/>
        </w:rPr>
        <w:t>uses PSL for all or part of a </w:t>
      </w:r>
      <w:r w:rsidRPr="00DD7BD1">
        <w:rPr>
          <w:rFonts w:ascii="Calibri" w:hAnsi="Calibri" w:cs="Calibri"/>
          <w:i/>
          <w:iCs/>
          <w:sz w:val="22"/>
          <w:szCs w:val="22"/>
        </w:rPr>
        <w:t>fourth</w:t>
      </w:r>
      <w:r w:rsidRPr="00DD7BD1">
        <w:rPr>
          <w:rFonts w:ascii="Calibri" w:hAnsi="Calibri" w:cs="Calibri"/>
          <w:sz w:val="22"/>
          <w:szCs w:val="22"/>
        </w:rPr>
        <w:t> scheduled workday in a row.</w:t>
      </w:r>
    </w:p>
    <w:p w14:paraId="5BE209A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sz w:val="22"/>
          <w:szCs w:val="22"/>
        </w:rPr>
      </w:pPr>
    </w:p>
    <w:p w14:paraId="0998EC9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For More Information</w:t>
      </w:r>
    </w:p>
    <w:p w14:paraId="4AB82030"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758" w:tgtFrame="_blank" w:history="1">
        <w:r w:rsidRPr="00DD7BD1">
          <w:rPr>
            <w:rStyle w:val="Hyperlink"/>
            <w:rFonts w:ascii="Calibri" w:hAnsi="Calibri" w:cs="Calibri"/>
          </w:rPr>
          <w:t>Ordinance</w:t>
        </w:r>
      </w:hyperlink>
    </w:p>
    <w:p w14:paraId="14B79D0B"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759" w:tgtFrame="_blank" w:history="1">
        <w:r w:rsidRPr="00DD7BD1">
          <w:rPr>
            <w:rStyle w:val="Hyperlink"/>
            <w:rFonts w:ascii="Calibri" w:hAnsi="Calibri" w:cs="Calibri"/>
          </w:rPr>
          <w:t>Rules</w:t>
        </w:r>
      </w:hyperlink>
    </w:p>
    <w:p w14:paraId="63106D09"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760" w:tgtFrame="_blank" w:history="1">
        <w:r w:rsidRPr="00DD7BD1">
          <w:rPr>
            <w:rStyle w:val="Hyperlink"/>
            <w:rFonts w:ascii="Calibri" w:hAnsi="Calibri" w:cs="Calibri"/>
          </w:rPr>
          <w:t>FAQs</w:t>
        </w:r>
      </w:hyperlink>
    </w:p>
    <w:p w14:paraId="2CB2E98D" w14:textId="0F13BC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Business Affairs and Consumer Protection </w:t>
      </w:r>
      <w:hyperlink r:id="rId761" w:tgtFrame="_blank" w:history="1">
        <w:r w:rsidRPr="00DD7BD1">
          <w:rPr>
            <w:rStyle w:val="Hyperlink"/>
            <w:rFonts w:ascii="Calibri" w:hAnsi="Calibri" w:cs="Calibri"/>
          </w:rPr>
          <w:t>public notices</w:t>
        </w:r>
      </w:hyperlink>
    </w:p>
    <w:p w14:paraId="149DB00C" w14:textId="77777777" w:rsidR="00163F72" w:rsidRPr="00DD7BD1" w:rsidRDefault="00163F72"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34839A43" w14:textId="2796C8E6" w:rsidR="00AF4ED7" w:rsidRPr="00DD7BD1" w:rsidRDefault="00AF4ED7" w:rsidP="00AF4ED7">
      <w:pPr>
        <w:shd w:val="clear" w:color="auto" w:fill="FFFFFF"/>
        <w:spacing w:after="0" w:line="240" w:lineRule="auto"/>
        <w:jc w:val="center"/>
        <w:outlineLvl w:val="2"/>
        <w:rPr>
          <w:rFonts w:ascii="Calibri" w:eastAsia="Times New Roman" w:hAnsi="Calibri" w:cs="Calibri"/>
          <w:b/>
          <w:bCs/>
          <w:color w:val="31313A"/>
          <w:sz w:val="27"/>
          <w:szCs w:val="27"/>
        </w:rPr>
      </w:pPr>
      <w:r w:rsidRPr="00DD7BD1">
        <w:rPr>
          <w:rStyle w:val="Strong"/>
          <w:rFonts w:ascii="Calibri" w:hAnsi="Calibri" w:cs="Calibri"/>
          <w:sz w:val="28"/>
          <w:szCs w:val="28"/>
        </w:rPr>
        <w:t>Illinois Issues Final Rules for Paid Leave for All Workers Act</w:t>
      </w:r>
    </w:p>
    <w:p w14:paraId="37C1C47F"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DD7BD1" w:rsidRDefault="00AF4ED7"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5E2346C0" w14:textId="1123B21B" w:rsidR="001221BB" w:rsidRPr="00DD7BD1" w:rsidRDefault="001221BB" w:rsidP="001221BB">
      <w:pPr>
        <w:pStyle w:val="Heading1"/>
        <w:shd w:val="clear" w:color="auto" w:fill="FFFFFF"/>
        <w:spacing w:before="0" w:beforeAutospacing="0" w:after="0" w:afterAutospacing="0"/>
        <w:ind w:right="180"/>
        <w:jc w:val="center"/>
        <w:rPr>
          <w:rFonts w:ascii="Calibri" w:hAnsi="Calibri" w:cs="Calibri"/>
          <w:sz w:val="28"/>
          <w:szCs w:val="28"/>
          <w:shd w:val="clear" w:color="auto" w:fill="FFFFFF"/>
        </w:rPr>
      </w:pPr>
      <w:r w:rsidRPr="00DD7BD1">
        <w:rPr>
          <w:rStyle w:val="Strong"/>
          <w:rFonts w:ascii="Calibri" w:hAnsi="Calibri" w:cs="Calibri"/>
          <w:b/>
          <w:bCs/>
          <w:sz w:val="28"/>
          <w:szCs w:val="28"/>
          <w:shd w:val="clear" w:color="auto" w:fill="FFFFFF"/>
        </w:rPr>
        <w:t xml:space="preserve">IL Equal Pay Act Registration Certification Filing Deadline March 23, 2024 </w:t>
      </w:r>
    </w:p>
    <w:p w14:paraId="1488C611" w14:textId="77777777" w:rsidR="001221BB" w:rsidRPr="00DD7BD1" w:rsidRDefault="001221BB"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6D2A8F60" w14:textId="090E0E1E" w:rsidR="00220C9A" w:rsidRPr="00DD7BD1" w:rsidRDefault="00220C9A" w:rsidP="00220C9A">
      <w:pPr>
        <w:pStyle w:val="Heading1"/>
        <w:shd w:val="clear" w:color="auto" w:fill="FFFFFF"/>
        <w:spacing w:before="0" w:beforeAutospacing="0" w:after="0" w:afterAutospacing="0" w:line="264" w:lineRule="atLeast"/>
        <w:jc w:val="center"/>
        <w:rPr>
          <w:rFonts w:ascii="Calibri" w:hAnsi="Calibri" w:cs="Calibri"/>
          <w:color w:val="000000"/>
        </w:rPr>
      </w:pPr>
      <w:r w:rsidRPr="00DD7BD1">
        <w:rPr>
          <w:rStyle w:val="Strong"/>
          <w:rFonts w:ascii="Calibri" w:hAnsi="Calibri" w:cs="Calibri"/>
          <w:b/>
          <w:bCs/>
          <w:sz w:val="28"/>
          <w:szCs w:val="28"/>
        </w:rPr>
        <w:t xml:space="preserve">State’s </w:t>
      </w:r>
      <w:r w:rsidRPr="00DD7BD1">
        <w:rPr>
          <w:rStyle w:val="Strong"/>
          <w:rFonts w:ascii="Calibri" w:hAnsi="Calibri" w:cs="Calibri"/>
          <w:b/>
          <w:bCs/>
          <w:kern w:val="0"/>
          <w:sz w:val="28"/>
          <w:szCs w:val="28"/>
        </w:rPr>
        <w:t>Equal Pay Act Registration Certificate Filing Deadline Is March 23</w:t>
      </w:r>
    </w:p>
    <w:p w14:paraId="14CB3603"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Employer Takeaway</w:t>
      </w:r>
      <w:r w:rsidRPr="00DD7BD1">
        <w:rPr>
          <w:rFonts w:ascii="Calibri" w:hAnsi="Calibri" w:cs="Calibri"/>
          <w:spacing w:val="3"/>
          <w:shd w:val="clear" w:color="auto" w:fill="FFFFFF"/>
        </w:rPr>
        <w:t>: Employers who have not yet filed for an Illinois Equal Pay Act Registration Certificate (EPRC) must do so by March 23, 2024</w:t>
      </w:r>
      <w:r w:rsidRPr="00DD7BD1">
        <w:rPr>
          <w:rFonts w:ascii="Calibri" w:hAnsi="Calibri" w:cs="Calibri"/>
          <w:color w:val="292929"/>
          <w:spacing w:val="3"/>
          <w:shd w:val="clear" w:color="auto" w:fill="FFFFFF"/>
        </w:rPr>
        <w:t xml:space="preserve">. </w:t>
      </w:r>
      <w:r w:rsidRPr="00DD7BD1">
        <w:rPr>
          <w:rFonts w:ascii="Calibri" w:hAnsi="Calibri" w:cs="Calibri"/>
          <w:spacing w:val="3"/>
          <w:shd w:val="clear" w:color="auto" w:fill="FFFFFF"/>
        </w:rPr>
        <w:t>This only applies to employers who have not filed for an EPRC in the past two years. </w:t>
      </w:r>
    </w:p>
    <w:p w14:paraId="52E3C65D" w14:textId="77777777" w:rsidR="00220C9A" w:rsidRPr="00DD7BD1" w:rsidRDefault="00220C9A" w:rsidP="00220C9A">
      <w:pPr>
        <w:spacing w:after="0" w:line="240" w:lineRule="auto"/>
        <w:jc w:val="both"/>
        <w:rPr>
          <w:rFonts w:ascii="Calibri" w:hAnsi="Calibri" w:cs="Calibri"/>
          <w:spacing w:val="3"/>
          <w:sz w:val="16"/>
          <w:szCs w:val="16"/>
          <w:shd w:val="clear" w:color="auto" w:fill="FFFFFF"/>
        </w:rPr>
      </w:pPr>
    </w:p>
    <w:p w14:paraId="073DBD3F"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DD7BD1" w:rsidRDefault="00220C9A" w:rsidP="00220C9A">
      <w:pPr>
        <w:spacing w:after="0" w:line="240" w:lineRule="auto"/>
        <w:jc w:val="both"/>
        <w:rPr>
          <w:rFonts w:ascii="Calibri" w:hAnsi="Calibri" w:cs="Calibri"/>
          <w:spacing w:val="3"/>
          <w:sz w:val="12"/>
          <w:szCs w:val="12"/>
          <w:shd w:val="clear" w:color="auto" w:fill="FFFFFF"/>
        </w:rPr>
      </w:pPr>
    </w:p>
    <w:p w14:paraId="04DBDF4D"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12"/>
          <w:szCs w:val="12"/>
        </w:rPr>
      </w:pPr>
    </w:p>
    <w:p w14:paraId="13B7B10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color w:val="292929"/>
          <w:spacing w:val="3"/>
          <w:sz w:val="22"/>
          <w:szCs w:val="22"/>
          <w:shd w:val="clear" w:color="auto" w:fill="FFFFFF"/>
        </w:rPr>
      </w:pPr>
      <w:r w:rsidRPr="00DD7BD1">
        <w:rPr>
          <w:rFonts w:ascii="Calibri" w:hAnsi="Calibri" w:cs="Calibri"/>
          <w:spacing w:val="3"/>
          <w:sz w:val="22"/>
          <w:szCs w:val="22"/>
        </w:rPr>
        <w:lastRenderedPageBreak/>
        <w:t>Employers with less than 100 employees must file for an exemption by completing an </w:t>
      </w:r>
      <w:hyperlink r:id="rId762" w:history="1">
        <w:r w:rsidRPr="00DD7BD1">
          <w:rPr>
            <w:rStyle w:val="Hyperlink"/>
            <w:rFonts w:ascii="Calibri" w:hAnsi="Calibri" w:cs="Calibri"/>
            <w:sz w:val="22"/>
            <w:szCs w:val="22"/>
          </w:rPr>
          <w:t>Exemption-Business form</w:t>
        </w:r>
      </w:hyperlink>
      <w:r w:rsidRPr="00DD7BD1">
        <w:rPr>
          <w:rFonts w:ascii="Calibri" w:hAnsi="Calibri" w:cs="Calibri"/>
          <w:color w:val="292929"/>
          <w:spacing w:val="3"/>
          <w:sz w:val="22"/>
          <w:szCs w:val="22"/>
        </w:rPr>
        <w:t> </w:t>
      </w:r>
      <w:r w:rsidRPr="00DD7BD1">
        <w:rPr>
          <w:rFonts w:ascii="Calibri" w:hAnsi="Calibri" w:cs="Calibri"/>
          <w:spacing w:val="3"/>
          <w:sz w:val="22"/>
          <w:szCs w:val="22"/>
        </w:rPr>
        <w:t>and e-mail it to</w:t>
      </w:r>
      <w:r w:rsidRPr="00DD7BD1">
        <w:rPr>
          <w:rStyle w:val="Hyperlink"/>
          <w:rFonts w:ascii="Calibri" w:hAnsi="Calibri" w:cs="Calibri"/>
          <w:color w:val="auto"/>
          <w:sz w:val="22"/>
          <w:szCs w:val="22"/>
        </w:rPr>
        <w:t> </w:t>
      </w:r>
      <w:hyperlink r:id="rId763" w:history="1">
        <w:r w:rsidRPr="00DD7BD1">
          <w:rPr>
            <w:rStyle w:val="Hyperlink"/>
            <w:rFonts w:ascii="Calibri" w:hAnsi="Calibri" w:cs="Calibri"/>
            <w:sz w:val="22"/>
            <w:szCs w:val="22"/>
          </w:rPr>
          <w:t>DOL.EPRC@illinois.gov</w:t>
        </w:r>
      </w:hyperlink>
      <w:r w:rsidRPr="00DD7BD1">
        <w:rPr>
          <w:rFonts w:ascii="Calibri" w:hAnsi="Calibri" w:cs="Calibri"/>
          <w:color w:val="292929"/>
          <w:spacing w:val="3"/>
          <w:sz w:val="22"/>
          <w:szCs w:val="22"/>
        </w:rPr>
        <w:t xml:space="preserve">. </w:t>
      </w:r>
      <w:proofErr w:type="gramStart"/>
      <w:r w:rsidRPr="00DD7BD1">
        <w:rPr>
          <w:rFonts w:ascii="Calibri" w:hAnsi="Calibri" w:cs="Calibri"/>
          <w:spacing w:val="3"/>
          <w:sz w:val="22"/>
          <w:szCs w:val="22"/>
        </w:rPr>
        <w:t>In order to</w:t>
      </w:r>
      <w:proofErr w:type="gramEnd"/>
      <w:r w:rsidRPr="00DD7BD1">
        <w:rPr>
          <w:rFonts w:ascii="Calibri" w:hAnsi="Calibri" w:cs="Calibri"/>
          <w:spacing w:val="3"/>
          <w:sz w:val="22"/>
          <w:szCs w:val="22"/>
        </w:rPr>
        <w:t xml:space="preserve"> determine whether an employer had less than 100 employees, the employer must have had less than 100 current employees on December 31, 2023. </w:t>
      </w:r>
      <w:r w:rsidRPr="00DD7BD1">
        <w:rPr>
          <w:rFonts w:ascii="Calibri" w:hAnsi="Calibri" w:cs="Calibri"/>
          <w:spacing w:val="3"/>
          <w:sz w:val="22"/>
          <w:szCs w:val="22"/>
          <w:shd w:val="clear" w:color="auto" w:fill="FFFFFF"/>
        </w:rPr>
        <w:t>Employers who do not comply with the filing deadline or request an exemption are subject to a $10,000 fine.</w:t>
      </w:r>
    </w:p>
    <w:p w14:paraId="70D9C369" w14:textId="77777777" w:rsidR="00220C9A" w:rsidRPr="00DD7BD1" w:rsidRDefault="00220C9A"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4BD4A2DB" w14:textId="77777777" w:rsidR="00145775" w:rsidRPr="00DD7BD1" w:rsidRDefault="00145775" w:rsidP="0014577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Independent Contractors Included in IL New Hire Reporting Requirements</w:t>
      </w:r>
    </w:p>
    <w:p w14:paraId="377893C9"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employers must include independent contractors in their </w:t>
      </w:r>
      <w:hyperlink r:id="rId764" w:tgtFrame="_blank" w:history="1">
        <w:r w:rsidRPr="00DD7BD1">
          <w:rPr>
            <w:rStyle w:val="Hyperlink"/>
            <w:rFonts w:ascii="Calibri" w:hAnsi="Calibri" w:cs="Calibri"/>
            <w:sz w:val="22"/>
            <w:szCs w:val="22"/>
          </w:rPr>
          <w:t>new hire reporting</w:t>
        </w:r>
      </w:hyperlink>
      <w:r w:rsidRPr="00DD7BD1">
        <w:rPr>
          <w:rFonts w:ascii="Calibri" w:hAnsi="Calibri" w:cs="Calibri"/>
          <w:color w:val="282828"/>
          <w:sz w:val="22"/>
          <w:szCs w:val="22"/>
        </w:rPr>
        <w:t xml:space="preserve">. </w:t>
      </w:r>
    </w:p>
    <w:p w14:paraId="27CA52E6"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 xml:space="preserve">All employers must report new employees to their state’s New Hire Directory within 20 days of their first day on the payroll with directory-specified information. </w:t>
      </w:r>
      <w:r w:rsidRPr="00DD7BD1">
        <w:rPr>
          <w:rFonts w:ascii="Calibri" w:hAnsi="Calibri" w:cs="Calibri"/>
          <w:color w:val="282828"/>
          <w:sz w:val="22"/>
          <w:szCs w:val="22"/>
        </w:rPr>
        <w:t>(</w:t>
      </w:r>
      <w:hyperlink r:id="rId765" w:tgtFrame="_blank" w:history="1">
        <w:r w:rsidRPr="00DD7BD1">
          <w:rPr>
            <w:rStyle w:val="Hyperlink"/>
            <w:rFonts w:ascii="Calibri" w:hAnsi="Calibri" w:cs="Calibri"/>
            <w:sz w:val="22"/>
            <w:szCs w:val="22"/>
          </w:rPr>
          <w:t>2023 IL HB 3301</w:t>
        </w:r>
      </w:hyperlink>
      <w:r w:rsidRPr="00DD7BD1">
        <w:rPr>
          <w:rFonts w:ascii="Calibri" w:hAnsi="Calibri" w:cs="Calibri"/>
          <w:color w:val="282828"/>
          <w:sz w:val="22"/>
          <w:szCs w:val="22"/>
        </w:rPr>
        <w:t>) </w:t>
      </w:r>
    </w:p>
    <w:p w14:paraId="17DB02F8"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12"/>
          <w:szCs w:val="12"/>
        </w:rPr>
      </w:pPr>
    </w:p>
    <w:p w14:paraId="480DAD86" w14:textId="77777777" w:rsidR="00145775" w:rsidRPr="00DD7BD1" w:rsidRDefault="00145775" w:rsidP="00145775">
      <w:pPr>
        <w:pStyle w:val="NormalWeb"/>
        <w:shd w:val="clear" w:color="auto" w:fill="FFFFFF"/>
        <w:spacing w:before="0" w:beforeAutospacing="0" w:after="0" w:afterAutospacing="0"/>
        <w:jc w:val="center"/>
        <w:rPr>
          <w:rStyle w:val="Strong"/>
          <w:rFonts w:ascii="Calibri" w:hAnsi="Calibri" w:cs="Calibri"/>
          <w:sz w:val="23"/>
          <w:szCs w:val="23"/>
        </w:rPr>
      </w:pPr>
      <w:r w:rsidRPr="00DD7BD1">
        <w:rPr>
          <w:rStyle w:val="Strong"/>
          <w:rFonts w:ascii="Calibri" w:hAnsi="Calibri" w:cs="Calibri"/>
          <w:sz w:val="28"/>
          <w:szCs w:val="28"/>
        </w:rPr>
        <w:t>Employers Liable for Gender-Related Violence</w:t>
      </w:r>
    </w:p>
    <w:p w14:paraId="4FC6C7D1"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 xml:space="preserve">employers are liable if their employees or agents commit gender-related violence at work that results in harm. </w:t>
      </w:r>
      <w:r w:rsidRPr="00DD7BD1">
        <w:rPr>
          <w:rFonts w:ascii="Calibri" w:hAnsi="Calibri" w:cs="Calibri"/>
          <w:color w:val="282828"/>
          <w:sz w:val="22"/>
          <w:szCs w:val="22"/>
        </w:rPr>
        <w:t>(</w:t>
      </w:r>
      <w:hyperlink r:id="rId766" w:tgtFrame="_blank" w:history="1">
        <w:r w:rsidRPr="00DD7BD1">
          <w:rPr>
            <w:rStyle w:val="Hyperlink"/>
            <w:rFonts w:ascii="Calibri" w:hAnsi="Calibri" w:cs="Calibri"/>
            <w:sz w:val="22"/>
            <w:szCs w:val="22"/>
          </w:rPr>
          <w:t>2023 IL HB 1363</w:t>
        </w:r>
      </w:hyperlink>
      <w:r w:rsidRPr="00DD7BD1">
        <w:rPr>
          <w:rFonts w:ascii="Calibri" w:hAnsi="Calibri" w:cs="Calibri"/>
          <w:color w:val="282828"/>
          <w:sz w:val="22"/>
          <w:szCs w:val="22"/>
        </w:rPr>
        <w:t>)</w:t>
      </w:r>
    </w:p>
    <w:p w14:paraId="17EC8A79"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However, </w:t>
      </w:r>
      <w:r w:rsidRPr="00DD7BD1">
        <w:rPr>
          <w:rFonts w:ascii="Calibri" w:hAnsi="Calibri" w:cs="Calibri"/>
          <w:sz w:val="22"/>
          <w:szCs w:val="22"/>
          <w:u w:val="single"/>
        </w:rPr>
        <w:t>employers will only be liable if they</w:t>
      </w:r>
      <w:r w:rsidRPr="00DD7BD1">
        <w:rPr>
          <w:rFonts w:ascii="Calibri" w:hAnsi="Calibri" w:cs="Calibri"/>
          <w:sz w:val="22"/>
          <w:szCs w:val="22"/>
        </w:rPr>
        <w:t>:</w:t>
      </w:r>
    </w:p>
    <w:p w14:paraId="68890CDC"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supervise, train, or monitor the employee or agent who caused harm; or</w:t>
      </w:r>
    </w:p>
    <w:p w14:paraId="6CBF4A02"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investigate complaints or reports (to a supervisor, manager, etc.) about the employee or agent who caused harm and didn’t try to fix the problem.</w:t>
      </w:r>
    </w:p>
    <w:p w14:paraId="018712C3"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u w:val="single"/>
        </w:rPr>
        <w:t>Workplaces covered by these protections include</w:t>
      </w:r>
      <w:r w:rsidRPr="00DD7BD1">
        <w:rPr>
          <w:rFonts w:ascii="Calibri" w:hAnsi="Calibri" w:cs="Calibri"/>
          <w:sz w:val="22"/>
          <w:szCs w:val="22"/>
        </w:rPr>
        <w:t>:</w:t>
      </w:r>
    </w:p>
    <w:p w14:paraId="35E762D6"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Employer premises, including any building, property, and parking area under the employer’s control, or any location used by an employee while they’re working; and</w:t>
      </w:r>
    </w:p>
    <w:p w14:paraId="08C774BA"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Off-premises activities at employer-sponsored events when the employee isn’t working. </w:t>
      </w:r>
    </w:p>
    <w:p w14:paraId="66D5BF5C" w14:textId="77777777" w:rsidR="00145775" w:rsidRPr="00DD7BD1" w:rsidRDefault="00145775" w:rsidP="00145775">
      <w:pPr>
        <w:shd w:val="clear" w:color="auto" w:fill="FFFFFF"/>
        <w:spacing w:after="0" w:line="240" w:lineRule="auto"/>
        <w:ind w:left="720"/>
        <w:rPr>
          <w:rStyle w:val="typographytype-sc-ws1d2d-0"/>
          <w:rFonts w:ascii="Calibri" w:hAnsi="Calibri" w:cs="Calibri"/>
          <w:sz w:val="12"/>
          <w:szCs w:val="12"/>
        </w:rPr>
      </w:pPr>
    </w:p>
    <w:p w14:paraId="311B2AAD"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Personnel Record Copies &amp; Employer-Provided Notices' Changes</w:t>
      </w:r>
    </w:p>
    <w:p w14:paraId="7A410B28"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June 1, 2024</w:t>
      </w:r>
      <w:r w:rsidRPr="00DD7BD1">
        <w:rPr>
          <w:rFonts w:ascii="Calibri" w:hAnsi="Calibri" w:cs="Calibri"/>
          <w:color w:val="282828"/>
          <w:sz w:val="22"/>
          <w:szCs w:val="22"/>
        </w:rPr>
        <w:t xml:space="preserve">, </w:t>
      </w:r>
      <w:r w:rsidRPr="00DD7BD1">
        <w:rPr>
          <w:rFonts w:ascii="Calibri" w:hAnsi="Calibri" w:cs="Calibri"/>
          <w:sz w:val="22"/>
          <w:szCs w:val="22"/>
        </w:rPr>
        <w:t>the following Illinois laws will be amended as follows:</w:t>
      </w:r>
    </w:p>
    <w:p w14:paraId="2C55F558"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The Illinois Personnel Record Review Act will allow employers to mail or email a copy of requested records and charge a fee limited to the actual cost of duplicating the requested record.</w:t>
      </w:r>
    </w:p>
    <w:p w14:paraId="78B1F586"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 xml:space="preserve">The Illinois Minimum Wage Law, the Equal Pay Act (EPA), the Illinois Wage Payment and Collection Act, and the Child Labor Law will require employers to provide notices to remote employees via email or by posting on their website. </w:t>
      </w:r>
      <w:r w:rsidRPr="00DD7BD1">
        <w:rPr>
          <w:rFonts w:ascii="Calibri" w:hAnsi="Calibri" w:cs="Calibri"/>
          <w:color w:val="282828"/>
        </w:rPr>
        <w:t>. (</w:t>
      </w:r>
      <w:hyperlink r:id="rId767" w:tgtFrame="_blank" w:history="1">
        <w:r w:rsidRPr="00DD7BD1">
          <w:rPr>
            <w:rStyle w:val="Hyperlink"/>
            <w:rFonts w:ascii="Calibri" w:hAnsi="Calibri" w:cs="Calibri"/>
          </w:rPr>
          <w:t>IL HB 3733</w:t>
        </w:r>
      </w:hyperlink>
      <w:r w:rsidRPr="00DD7BD1">
        <w:rPr>
          <w:rFonts w:ascii="Calibri" w:hAnsi="Calibri" w:cs="Calibri"/>
          <w:color w:val="282828"/>
        </w:rPr>
        <w:t>)</w:t>
      </w:r>
    </w:p>
    <w:p w14:paraId="73CCD9F2" w14:textId="77777777" w:rsidR="00D66B68" w:rsidRPr="00DD7BD1" w:rsidRDefault="00D66B68" w:rsidP="00145775">
      <w:pPr>
        <w:shd w:val="clear" w:color="auto" w:fill="FFFFFF"/>
        <w:spacing w:after="0" w:line="240" w:lineRule="auto"/>
        <w:jc w:val="center"/>
        <w:rPr>
          <w:rStyle w:val="Strong"/>
          <w:rFonts w:ascii="Calibri" w:eastAsia="Times New Roman" w:hAnsi="Calibri" w:cs="Calibri"/>
          <w:sz w:val="12"/>
          <w:szCs w:val="12"/>
        </w:rPr>
      </w:pPr>
    </w:p>
    <w:p w14:paraId="50ED639A"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Updated State EEO Data Filing Obligations</w:t>
      </w:r>
    </w:p>
    <w:p w14:paraId="6CED23B2" w14:textId="5C661BBC" w:rsidR="008561D0" w:rsidRPr="00DD7BD1" w:rsidRDefault="00145775" w:rsidP="00D66B68">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 xml:space="preserve">Additionally, businesses required to file an annual Employer Information Report (EEO-1) with the federal Equal Employment Opportunity Commission will </w:t>
      </w:r>
      <w:r w:rsidRPr="00DD7BD1">
        <w:rPr>
          <w:rFonts w:ascii="Calibri" w:hAnsi="Calibri" w:cs="Calibri"/>
          <w:b/>
          <w:bCs/>
          <w:sz w:val="22"/>
          <w:szCs w:val="22"/>
        </w:rPr>
        <w:t>no longer be required</w:t>
      </w:r>
      <w:r w:rsidRPr="00DD7BD1">
        <w:rPr>
          <w:rFonts w:ascii="Calibri" w:hAnsi="Calibri" w:cs="Calibri"/>
          <w:sz w:val="22"/>
          <w:szCs w:val="22"/>
        </w:rPr>
        <w:t xml:space="preserve"> to submit it to the Illinois Director of Labor. However, </w:t>
      </w:r>
      <w:r w:rsidRPr="00DD7BD1">
        <w:rPr>
          <w:rFonts w:ascii="Calibri" w:hAnsi="Calibri" w:cs="Calibri"/>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D7BD1">
        <w:rPr>
          <w:rFonts w:ascii="Calibri" w:hAnsi="Calibri" w:cs="Calibri"/>
          <w:sz w:val="22"/>
          <w:szCs w:val="22"/>
        </w:rPr>
        <w:t> </w:t>
      </w:r>
      <w:hyperlink r:id="rId768" w:tgtFrame="_blank" w:history="1">
        <w:r w:rsidRPr="00DD7BD1">
          <w:rPr>
            <w:rStyle w:val="Hyperlink"/>
            <w:rFonts w:ascii="Calibri" w:hAnsi="Calibri" w:cs="Calibri"/>
            <w:sz w:val="22"/>
            <w:szCs w:val="22"/>
          </w:rPr>
          <w:t>state's EPA</w:t>
        </w:r>
      </w:hyperlink>
      <w:r w:rsidRPr="00DD7BD1">
        <w:rPr>
          <w:rFonts w:ascii="Calibri" w:hAnsi="Calibri" w:cs="Calibri"/>
          <w:color w:val="282828"/>
          <w:sz w:val="22"/>
          <w:szCs w:val="22"/>
        </w:rPr>
        <w:t>. (</w:t>
      </w:r>
      <w:hyperlink r:id="rId769" w:tgtFrame="_blank" w:history="1">
        <w:r w:rsidRPr="00DD7BD1">
          <w:rPr>
            <w:rStyle w:val="Hyperlink"/>
            <w:rFonts w:ascii="Calibri" w:hAnsi="Calibri" w:cs="Calibri"/>
            <w:sz w:val="22"/>
            <w:szCs w:val="22"/>
          </w:rPr>
          <w:t>IL HB 3733</w:t>
        </w:r>
      </w:hyperlink>
      <w:r w:rsidRPr="00DD7BD1">
        <w:rPr>
          <w:rFonts w:ascii="Calibri" w:hAnsi="Calibri" w:cs="Calibri"/>
          <w:color w:val="282828"/>
          <w:sz w:val="22"/>
          <w:szCs w:val="22"/>
        </w:rPr>
        <w:t>)</w:t>
      </w:r>
    </w:p>
    <w:p w14:paraId="356D5706" w14:textId="77777777" w:rsidR="00022BF0" w:rsidRPr="00DD7BD1" w:rsidRDefault="00022BF0" w:rsidP="00022BF0">
      <w:pPr>
        <w:shd w:val="clear" w:color="auto" w:fill="FFFFFF"/>
        <w:spacing w:after="0" w:line="240" w:lineRule="auto"/>
        <w:jc w:val="both"/>
        <w:rPr>
          <w:rFonts w:ascii="Calibri" w:hAnsi="Calibri" w:cs="Calibri"/>
          <w:color w:val="282828"/>
          <w:sz w:val="12"/>
          <w:szCs w:val="12"/>
        </w:rPr>
      </w:pPr>
    </w:p>
    <w:p w14:paraId="3EB04763" w14:textId="3FC71BF1" w:rsidR="00022BF0" w:rsidRPr="00DD7BD1" w:rsidRDefault="00022BF0" w:rsidP="00022BF0">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u w:val="single"/>
        </w:rPr>
        <w:t>Cook County</w:t>
      </w:r>
      <w:r w:rsidRPr="00DD7BD1">
        <w:rPr>
          <w:rStyle w:val="Strong"/>
          <w:rFonts w:ascii="Calibri" w:eastAsia="Times New Roman" w:hAnsi="Calibri" w:cs="Calibri"/>
          <w:sz w:val="28"/>
          <w:szCs w:val="28"/>
        </w:rPr>
        <w:t xml:space="preserve"> Transportation Benefits Program Act</w:t>
      </w:r>
    </w:p>
    <w:p w14:paraId="61A31B21" w14:textId="5232DC6F" w:rsidR="00B06DBE" w:rsidRPr="00DD7BD1" w:rsidRDefault="00022BF0" w:rsidP="00022BF0">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Effective </w:t>
      </w:r>
      <w:r w:rsidRPr="00DD7BD1">
        <w:rPr>
          <w:rFonts w:ascii="Calibri" w:hAnsi="Calibri" w:cs="Calibri"/>
          <w:color w:val="C00000"/>
          <w:spacing w:val="3"/>
          <w:sz w:val="22"/>
          <w:szCs w:val="22"/>
        </w:rPr>
        <w:t>January 1, 2024</w:t>
      </w:r>
      <w:r w:rsidRPr="00DD7BD1">
        <w:rPr>
          <w:rFonts w:ascii="Calibri" w:hAnsi="Calibri" w:cs="Calibri"/>
          <w:spacing w:val="3"/>
          <w:sz w:val="22"/>
          <w:szCs w:val="22"/>
        </w:rPr>
        <w:t>, the </w:t>
      </w:r>
      <w:hyperlink r:id="rId770" w:tgtFrame="_blank" w:history="1">
        <w:r w:rsidRPr="00DD7BD1">
          <w:rPr>
            <w:rStyle w:val="Hyperlink"/>
            <w:rFonts w:ascii="Calibri" w:hAnsi="Calibri" w:cs="Calibri"/>
            <w:sz w:val="22"/>
            <w:szCs w:val="22"/>
          </w:rPr>
          <w:t>Transportation Benefits Program Act</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(TBPA) will require that Illinois employers in 38 designated transit zones with 50 or employees at an address within one mile of a fixed-route transit service, and within designated transit </w:t>
      </w:r>
      <w:proofErr w:type="gramStart"/>
      <w:r w:rsidRPr="00DD7BD1">
        <w:rPr>
          <w:rFonts w:ascii="Calibri" w:hAnsi="Calibri" w:cs="Calibri"/>
          <w:spacing w:val="3"/>
          <w:sz w:val="22"/>
          <w:szCs w:val="22"/>
        </w:rPr>
        <w:t>zones to</w:t>
      </w:r>
      <w:proofErr w:type="gramEnd"/>
      <w:r w:rsidRPr="00DD7BD1">
        <w:rPr>
          <w:rFonts w:ascii="Calibri" w:hAnsi="Calibri" w:cs="Calibri"/>
          <w:spacing w:val="3"/>
          <w:sz w:val="22"/>
          <w:szCs w:val="22"/>
        </w:rPr>
        <w:t xml:space="preserve"> provide transit benefits to certain covered employees. Covered employees under the TBPA are full-time employees of a covered employer who work an average of at least 35 hours per week for compensation.</w:t>
      </w:r>
    </w:p>
    <w:p w14:paraId="2E2F3D89" w14:textId="781318FB" w:rsidR="00514DD1" w:rsidRPr="00DD7BD1" w:rsidRDefault="00022BF0" w:rsidP="00514DD1">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DD7BD1" w:rsidRDefault="00514DD1" w:rsidP="00AF4ED7">
      <w:pPr>
        <w:spacing w:after="0" w:line="240" w:lineRule="auto"/>
        <w:jc w:val="both"/>
        <w:rPr>
          <w:rFonts w:ascii="Calibri" w:hAnsi="Calibri" w:cs="Calibri"/>
          <w:b/>
          <w:bCs/>
          <w:color w:val="2E74B5" w:themeColor="accent5" w:themeShade="BF"/>
          <w:shd w:val="clear" w:color="auto" w:fill="FFFFFF"/>
          <w:lang w:val="en"/>
        </w:rPr>
      </w:pPr>
    </w:p>
    <w:p w14:paraId="213E5DD8" w14:textId="2F78CA72" w:rsidR="00402F96" w:rsidRPr="00DD7BD1" w:rsidRDefault="00402F96"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Indiana</w:t>
      </w:r>
    </w:p>
    <w:p w14:paraId="09FAAA1D" w14:textId="77777777" w:rsidR="00C6528C" w:rsidRDefault="00C6528C" w:rsidP="00C6528C">
      <w:pPr>
        <w:rPr>
          <w:rFonts w:ascii="Roboto" w:hAnsi="Roboto"/>
          <w:shd w:val="clear" w:color="auto" w:fill="FFFFFF"/>
        </w:rPr>
      </w:pPr>
      <w:r w:rsidRPr="00275D0A">
        <w:rPr>
          <w:b/>
          <w:bCs/>
          <w:caps/>
          <w:noProof/>
          <w:color w:val="0E425C"/>
          <w:sz w:val="26"/>
          <w:szCs w:val="26"/>
        </w:rPr>
        <w:t xml:space="preserve">Reminder: </w:t>
      </w:r>
      <w:r w:rsidRPr="00057724">
        <w:rPr>
          <w:b/>
          <w:bCs/>
          <w:caps/>
          <w:noProof/>
          <w:color w:val="0E425C"/>
          <w:sz w:val="26"/>
          <w:szCs w:val="26"/>
        </w:rPr>
        <w:t>State Imposes Employment Eligibility Requirements</w:t>
      </w:r>
      <w:r>
        <w:rPr>
          <w:b/>
          <w:bCs/>
          <w:caps/>
          <w:noProof/>
          <w:color w:val="0E425C"/>
          <w:sz w:val="26"/>
          <w:szCs w:val="26"/>
        </w:rPr>
        <w:t xml:space="preserve"> regarding Undocumented workers</w:t>
      </w:r>
      <w:r w:rsidRPr="00057724">
        <w:rPr>
          <w:b/>
          <w:bCs/>
          <w:caps/>
          <w:noProof/>
          <w:color w:val="0E425C"/>
          <w:sz w:val="26"/>
          <w:szCs w:val="26"/>
        </w:rPr>
        <w:t xml:space="preserve"> Eff</w:t>
      </w:r>
      <w:r>
        <w:rPr>
          <w:b/>
          <w:bCs/>
          <w:caps/>
          <w:noProof/>
          <w:color w:val="0E425C"/>
          <w:sz w:val="26"/>
          <w:szCs w:val="26"/>
        </w:rPr>
        <w:t>ective</w:t>
      </w:r>
      <w:r w:rsidRPr="00057724">
        <w:rPr>
          <w:b/>
          <w:bCs/>
          <w:caps/>
          <w:noProof/>
          <w:color w:val="0E425C"/>
          <w:sz w:val="26"/>
          <w:szCs w:val="26"/>
        </w:rPr>
        <w:t xml:space="preserve"> </w:t>
      </w:r>
      <w:r w:rsidRPr="00057724">
        <w:rPr>
          <w:b/>
          <w:bCs/>
          <w:caps/>
          <w:color w:val="0070C0"/>
          <w:sz w:val="26"/>
          <w:szCs w:val="26"/>
        </w:rPr>
        <w:t>July 1, 2026</w:t>
      </w:r>
    </w:p>
    <w:p w14:paraId="76E9FF79" w14:textId="4F4738FB" w:rsidR="00C6528C" w:rsidRPr="00C6528C" w:rsidRDefault="00C6528C" w:rsidP="00C6528C">
      <w:pPr>
        <w:rPr>
          <w:shd w:val="clear" w:color="auto" w:fill="FFFFFF"/>
        </w:rPr>
      </w:pPr>
      <w:r w:rsidRPr="00275D0A">
        <w:rPr>
          <w:shd w:val="clear" w:color="auto" w:fill="FFFFFF"/>
        </w:rPr>
        <w:lastRenderedPageBreak/>
        <w:t>On March 5, 2026, Indiana enacted</w:t>
      </w:r>
      <w:r w:rsidRPr="00C05EAD">
        <w:rPr>
          <w:shd w:val="clear" w:color="auto" w:fill="FFFFFF"/>
        </w:rPr>
        <w:t xml:space="preserve"> </w:t>
      </w:r>
      <w:hyperlink r:id="rId771" w:history="1">
        <w:r w:rsidRPr="00C05EAD">
          <w:rPr>
            <w:rStyle w:val="Hyperlink"/>
            <w:shd w:val="clear" w:color="auto" w:fill="FFFFFF"/>
          </w:rPr>
          <w:t>Senate Bill (SB) 76</w:t>
        </w:r>
      </w:hyperlink>
      <w:r w:rsidRPr="00A2630C">
        <w:rPr>
          <w:shd w:val="clear" w:color="auto" w:fill="FFFFFF"/>
        </w:rPr>
        <w:t>,</w:t>
      </w:r>
      <w:r>
        <w:rPr>
          <w:shd w:val="clear" w:color="auto" w:fill="FFFFFF"/>
        </w:rPr>
        <w:t xml:space="preserve"> the State’s Fairness Act,</w:t>
      </w:r>
      <w:r w:rsidRPr="00275D0A">
        <w:rPr>
          <w:shd w:val="clear" w:color="auto" w:fill="FFFFFF"/>
        </w:rPr>
        <w:t xml:space="preserve"> which prohibits employers from knowingly or intentionally recruiting, hiring or continuing to employ unauthorized workers in the state.</w:t>
      </w:r>
      <w:r w:rsidRPr="00600A02">
        <w:rPr>
          <w:rFonts w:ascii="Roboto" w:hAnsi="Roboto"/>
          <w:color w:val="333333"/>
          <w:sz w:val="23"/>
          <w:szCs w:val="23"/>
          <w:shd w:val="clear" w:color="auto" w:fill="FFFFFF"/>
        </w:rPr>
        <w:t xml:space="preserve"> </w:t>
      </w:r>
      <w:r w:rsidRPr="00600A02">
        <w:rPr>
          <w:shd w:val="clear" w:color="auto" w:fill="FFFFFF"/>
        </w:rPr>
        <w:t>The law focuses on preventing the employment of undocumented workers and introduces significant new enforcement mechanisms and penalties for employment-eligibility violations</w:t>
      </w:r>
      <w:r>
        <w:rPr>
          <w:shd w:val="clear" w:color="auto" w:fill="FFFFFF"/>
        </w:rPr>
        <w:t xml:space="preserve"> and </w:t>
      </w:r>
      <w:r w:rsidRPr="00275D0A">
        <w:rPr>
          <w:shd w:val="clear" w:color="auto" w:fill="FFFFFF"/>
        </w:rPr>
        <w:t xml:space="preserve">takes effect on July 1, 2026. The law does not apply to the hiring, recruitment or employment of unauthorized workers that occurred before July 1, 2026. </w:t>
      </w:r>
    </w:p>
    <w:p w14:paraId="2F48C6AC" w14:textId="241C90C1" w:rsidR="00FD3270" w:rsidRDefault="00FD3270" w:rsidP="00FD3270">
      <w:pPr>
        <w:jc w:val="center"/>
        <w:rPr>
          <w:rFonts w:ascii="Roboto" w:hAnsi="Roboto"/>
          <w:shd w:val="clear" w:color="auto" w:fill="FFFFFF"/>
        </w:rPr>
      </w:pPr>
      <w:r w:rsidRPr="00057724">
        <w:rPr>
          <w:b/>
          <w:bCs/>
          <w:caps/>
          <w:color w:val="0070C0"/>
          <w:sz w:val="26"/>
          <w:szCs w:val="26"/>
        </w:rPr>
        <w:t>NEW</w:t>
      </w:r>
      <w:r>
        <w:rPr>
          <w:b/>
          <w:bCs/>
          <w:caps/>
          <w:color w:val="0070C0"/>
          <w:sz w:val="26"/>
          <w:szCs w:val="26"/>
        </w:rPr>
        <w:t>!</w:t>
      </w:r>
      <w:r w:rsidRPr="00057724">
        <w:rPr>
          <w:b/>
          <w:bCs/>
          <w:caps/>
          <w:color w:val="0070C0"/>
          <w:sz w:val="26"/>
          <w:szCs w:val="26"/>
        </w:rPr>
        <w:t xml:space="preserve"> </w:t>
      </w:r>
      <w:r w:rsidRPr="00057724">
        <w:rPr>
          <w:b/>
          <w:bCs/>
          <w:caps/>
          <w:noProof/>
          <w:color w:val="0E425C"/>
          <w:sz w:val="26"/>
          <w:szCs w:val="26"/>
        </w:rPr>
        <w:t xml:space="preserve">State Law Imposes Employment Eligibility Requirements Eff </w:t>
      </w:r>
      <w:r w:rsidRPr="00057724">
        <w:rPr>
          <w:b/>
          <w:bCs/>
          <w:caps/>
          <w:color w:val="0070C0"/>
          <w:sz w:val="26"/>
          <w:szCs w:val="26"/>
        </w:rPr>
        <w:t>July 1, 2026</w:t>
      </w:r>
    </w:p>
    <w:p w14:paraId="5E604BCC" w14:textId="3DFDFA74" w:rsidR="00FD3270" w:rsidRPr="00FD3270" w:rsidRDefault="00FD3270" w:rsidP="00FD3270">
      <w:pPr>
        <w:rPr>
          <w:shd w:val="clear" w:color="auto" w:fill="FFFFFF"/>
        </w:rPr>
      </w:pPr>
      <w:r w:rsidRPr="00A2630C">
        <w:rPr>
          <w:shd w:val="clear" w:color="auto" w:fill="FFFFFF"/>
        </w:rPr>
        <w:t>On March 5, 2026, Indiana enacted</w:t>
      </w:r>
      <w:r w:rsidRPr="00C05EAD">
        <w:rPr>
          <w:shd w:val="clear" w:color="auto" w:fill="FFFFFF"/>
        </w:rPr>
        <w:t xml:space="preserve"> </w:t>
      </w:r>
      <w:hyperlink r:id="rId772" w:history="1">
        <w:r w:rsidRPr="00C05EAD">
          <w:rPr>
            <w:rStyle w:val="Hyperlink"/>
            <w:shd w:val="clear" w:color="auto" w:fill="FFFFFF"/>
          </w:rPr>
          <w:t>Senate Bill (SB) 76</w:t>
        </w:r>
      </w:hyperlink>
      <w:r w:rsidRPr="00A2630C">
        <w:rPr>
          <w:shd w:val="clear" w:color="auto" w:fill="FFFFFF"/>
        </w:rPr>
        <w:t xml:space="preserve">, which prohibits employers from knowingly or intentionally recruiting, hiring or continuing to employ unauthorized workers in the state. The new law takes effect on July 1, 2026. The law does not apply to the hiring, recruitment or employment of unauthorized workers that occurred before July 1, 2026. </w:t>
      </w:r>
    </w:p>
    <w:p w14:paraId="7B7C8C8C" w14:textId="5B0B5F9F"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Employee School Conference Leave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July 1, 2025</w:t>
      </w:r>
    </w:p>
    <w:p w14:paraId="7428C095" w14:textId="77777777" w:rsidR="00402F96" w:rsidRPr="00DD7BD1" w:rsidRDefault="00402F96" w:rsidP="00402F96">
      <w:pPr>
        <w:rPr>
          <w:rFonts w:ascii="Calibri" w:hAnsi="Calibri" w:cs="Calibri"/>
        </w:rPr>
      </w:pPr>
      <w:r w:rsidRPr="00DD7BD1">
        <w:rPr>
          <w:rFonts w:ascii="Calibri" w:hAnsi="Calibri" w:cs="Calibri"/>
        </w:rPr>
        <w:t>Effective July 1, 2025, Indiana employers must allow their employees to take unpaid time off to attend certain school conferences concerning their children. The measure expires July 1, 2029</w:t>
      </w:r>
    </w:p>
    <w:p w14:paraId="5A70F95B" w14:textId="77777777" w:rsidR="00402F96" w:rsidRPr="00DD7BD1" w:rsidRDefault="00402F96" w:rsidP="00402F96">
      <w:pPr>
        <w:pStyle w:val="BodyText"/>
        <w:spacing w:after="0" w:line="240" w:lineRule="auto"/>
        <w:rPr>
          <w:rFonts w:cs="Calibri"/>
          <w:color w:val="auto"/>
          <w:sz w:val="16"/>
          <w:szCs w:val="16"/>
        </w:rPr>
      </w:pPr>
    </w:p>
    <w:p w14:paraId="3B1B012F"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 xml:space="preserve">Under the new law, </w:t>
      </w:r>
      <w:hyperlink r:id="rId773" w:history="1">
        <w:r w:rsidRPr="00DD7BD1">
          <w:rPr>
            <w:rStyle w:val="Hyperlink"/>
            <w:rFonts w:cs="Calibri"/>
            <w:szCs w:val="22"/>
          </w:rPr>
          <w:t>SB 409</w:t>
        </w:r>
      </w:hyperlink>
      <w:r w:rsidRPr="00DD7BD1">
        <w:rPr>
          <w:rFonts w:cs="Calibri"/>
          <w:szCs w:val="22"/>
        </w:rPr>
        <w:t xml:space="preserve">, </w:t>
      </w:r>
      <w:r w:rsidRPr="00DD7BD1">
        <w:rPr>
          <w:rFonts w:cs="Calibri"/>
          <w:color w:val="auto"/>
          <w:szCs w:val="22"/>
        </w:rPr>
        <w:t xml:space="preserve">all employers will be prohibited from taking adverse employment action against employees because they </w:t>
      </w:r>
      <w:proofErr w:type="gramStart"/>
      <w:r w:rsidRPr="00DD7BD1">
        <w:rPr>
          <w:rFonts w:cs="Calibri"/>
          <w:color w:val="auto"/>
          <w:szCs w:val="22"/>
        </w:rPr>
        <w:t>were</w:t>
      </w:r>
      <w:proofErr w:type="gramEnd"/>
      <w:r w:rsidRPr="00DD7BD1">
        <w:rPr>
          <w:rFonts w:cs="Calibri"/>
          <w:color w:val="auto"/>
          <w:szCs w:val="22"/>
        </w:rPr>
        <w:t xml:space="preserve"> absent from work to attend: </w:t>
      </w:r>
    </w:p>
    <w:p w14:paraId="16093BD9" w14:textId="77777777" w:rsidR="00402F96" w:rsidRPr="00DD7BD1" w:rsidRDefault="00402F96">
      <w:pPr>
        <w:pStyle w:val="BodyText"/>
        <w:numPr>
          <w:ilvl w:val="0"/>
          <w:numId w:val="160"/>
        </w:numPr>
        <w:spacing w:after="0" w:line="240" w:lineRule="auto"/>
        <w:rPr>
          <w:rFonts w:cs="Calibri"/>
          <w:color w:val="auto"/>
          <w:szCs w:val="22"/>
        </w:rPr>
      </w:pPr>
      <w:r w:rsidRPr="00DD7BD1">
        <w:rPr>
          <w:rFonts w:cs="Calibri"/>
          <w:color w:val="auto"/>
          <w:szCs w:val="22"/>
        </w:rPr>
        <w:t xml:space="preserve">An attendance conference concerning their child, pursuant to state law addressing truancy prevention; or </w:t>
      </w:r>
    </w:p>
    <w:p w14:paraId="7B49AA27" w14:textId="77777777" w:rsidR="00402F96" w:rsidRPr="00DD7BD1" w:rsidRDefault="00402F96">
      <w:pPr>
        <w:pStyle w:val="BodyText"/>
        <w:numPr>
          <w:ilvl w:val="0"/>
          <w:numId w:val="160"/>
        </w:numPr>
        <w:spacing w:after="0" w:line="240" w:lineRule="auto"/>
        <w:jc w:val="left"/>
        <w:rPr>
          <w:rFonts w:cs="Calibri"/>
          <w:color w:val="auto"/>
          <w:szCs w:val="22"/>
        </w:rPr>
      </w:pPr>
      <w:r w:rsidRPr="00DD7BD1">
        <w:rPr>
          <w:rFonts w:cs="Calibri"/>
          <w:color w:val="auto"/>
          <w:szCs w:val="22"/>
        </w:rPr>
        <w:t>A case conference committee meeting concerning their child.</w:t>
      </w:r>
    </w:p>
    <w:p w14:paraId="54118E75" w14:textId="77777777" w:rsidR="00402F96" w:rsidRPr="00DD7BD1" w:rsidRDefault="00402F96" w:rsidP="00402F96">
      <w:pPr>
        <w:pStyle w:val="BodyText"/>
        <w:spacing w:after="0" w:line="240" w:lineRule="auto"/>
        <w:jc w:val="left"/>
        <w:rPr>
          <w:rFonts w:cs="Calibri"/>
          <w:color w:val="auto"/>
          <w:sz w:val="16"/>
          <w:szCs w:val="16"/>
        </w:rPr>
      </w:pPr>
    </w:p>
    <w:p w14:paraId="4092F4BF" w14:textId="77777777" w:rsidR="00402F96" w:rsidRPr="00DD7BD1" w:rsidRDefault="00402F96" w:rsidP="00402F96">
      <w:pPr>
        <w:pStyle w:val="BodyText"/>
        <w:spacing w:after="0" w:line="240" w:lineRule="auto"/>
        <w:jc w:val="left"/>
        <w:rPr>
          <w:rFonts w:cs="Calibri"/>
          <w:color w:val="auto"/>
          <w:szCs w:val="22"/>
        </w:rPr>
      </w:pPr>
      <w:r w:rsidRPr="00DD7BD1">
        <w:rPr>
          <w:rFonts w:cs="Calibri"/>
          <w:color w:val="auto"/>
          <w:szCs w:val="22"/>
        </w:rPr>
        <w:t>The law covers conferences and meetings for employees’ biological, adopted, foster or stepchildren.</w:t>
      </w:r>
    </w:p>
    <w:p w14:paraId="60C41FD9"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Employees must give employers at least five days’ advance notice of the conference or meeting.</w:t>
      </w:r>
    </w:p>
    <w:p w14:paraId="0BBD1214" w14:textId="4669AF46" w:rsidR="00402F96" w:rsidRPr="00DD7BD1" w:rsidRDefault="00402F96" w:rsidP="00402F96">
      <w:pPr>
        <w:rPr>
          <w:rFonts w:ascii="Calibri" w:hAnsi="Calibri" w:cs="Calibri"/>
        </w:rPr>
      </w:pPr>
      <w:r w:rsidRPr="00DD7BD1">
        <w:rPr>
          <w:rFonts w:ascii="Calibri" w:hAnsi="Calibri" w:cs="Calibri"/>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 ETC release</w:t>
      </w:r>
      <w:r w:rsidR="00784E6F" w:rsidRPr="00DD7BD1">
        <w:rPr>
          <w:rFonts w:ascii="Calibri" w:hAnsi="Calibri" w:cs="Calibri"/>
        </w:rPr>
        <w:t>d</w:t>
      </w:r>
      <w:r w:rsidRPr="00DD7BD1">
        <w:rPr>
          <w:rFonts w:ascii="Calibri" w:hAnsi="Calibri" w:cs="Calibri"/>
        </w:rPr>
        <w:t xml:space="preserve"> an updated State Handbook Addendum for Indiana ahead of the effective date</w:t>
      </w:r>
      <w:r w:rsidR="00784E6F" w:rsidRPr="00DD7BD1">
        <w:rPr>
          <w:rFonts w:ascii="Calibri" w:hAnsi="Calibri" w:cs="Calibri"/>
        </w:rPr>
        <w:t xml:space="preserve"> May 2025.</w:t>
      </w:r>
    </w:p>
    <w:p w14:paraId="488C978B" w14:textId="15EAA326"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Iowa</w:t>
      </w:r>
    </w:p>
    <w:p w14:paraId="0D9F6712" w14:textId="77777777" w:rsidR="00A942A1" w:rsidRPr="001578A1" w:rsidRDefault="00A942A1" w:rsidP="00A942A1">
      <w:pPr>
        <w:rPr>
          <w:b/>
          <w:bCs/>
          <w:caps/>
          <w:noProof/>
          <w:color w:val="0E425C"/>
          <w:sz w:val="26"/>
          <w:szCs w:val="26"/>
        </w:rPr>
      </w:pPr>
      <w:r w:rsidRPr="001578A1">
        <w:rPr>
          <w:b/>
          <w:bCs/>
          <w:caps/>
          <w:color w:val="0070C0"/>
          <w:sz w:val="26"/>
          <w:szCs w:val="26"/>
        </w:rPr>
        <w:t xml:space="preserve">New! </w:t>
      </w:r>
      <w:r w:rsidRPr="001578A1">
        <w:rPr>
          <w:b/>
          <w:bCs/>
          <w:caps/>
          <w:noProof/>
          <w:color w:val="0E425C"/>
          <w:sz w:val="26"/>
          <w:szCs w:val="26"/>
        </w:rPr>
        <w:t>State Imposes Penalties on Employers for Accepting False Social Security Numbers Effective</w:t>
      </w:r>
      <w:r w:rsidRPr="001578A1">
        <w:rPr>
          <w:b/>
          <w:bCs/>
          <w:caps/>
          <w:color w:val="0070C0"/>
          <w:sz w:val="26"/>
          <w:szCs w:val="26"/>
        </w:rPr>
        <w:t xml:space="preserve"> July 1, 2026</w:t>
      </w:r>
    </w:p>
    <w:p w14:paraId="3741E792" w14:textId="77777777" w:rsidR="00A942A1" w:rsidRPr="001578A1" w:rsidRDefault="00A942A1" w:rsidP="00A942A1">
      <w:r w:rsidRPr="001578A1">
        <w:t xml:space="preserve">On June 2, 2026, Iowa enacted </w:t>
      </w:r>
      <w:hyperlink r:id="rId774" w:history="1">
        <w:r w:rsidRPr="002312BD">
          <w:rPr>
            <w:rStyle w:val="Hyperlink"/>
          </w:rPr>
          <w:t>Senate File (SF) 2218</w:t>
        </w:r>
      </w:hyperlink>
      <w:r w:rsidRPr="001578A1">
        <w:t>, which, among other things, prohibits employers from employing individuals who provide false Social Security numbers (SSNs)</w:t>
      </w:r>
      <w:r>
        <w:t xml:space="preserve"> and takes </w:t>
      </w:r>
      <w:r w:rsidRPr="001578A1">
        <w:t>effect on July 1, 2026.</w:t>
      </w:r>
    </w:p>
    <w:p w14:paraId="765D9132" w14:textId="77777777" w:rsidR="00A942A1" w:rsidRPr="00B41069" w:rsidRDefault="00A942A1" w:rsidP="00A942A1">
      <w:r w:rsidRPr="00B41069">
        <w:t xml:space="preserve">Under SF 2218, employers are prohibited from hiring or continuing to employ an employee who the employer </w:t>
      </w:r>
      <w:r w:rsidRPr="00B41069">
        <w:rPr>
          <w:u w:val="single"/>
        </w:rPr>
        <w:t>knows</w:t>
      </w:r>
      <w:r w:rsidRPr="00B41069">
        <w:t xml:space="preserve"> to have provided </w:t>
      </w:r>
      <w:proofErr w:type="gramStart"/>
      <w:r w:rsidRPr="00B41069">
        <w:t>a</w:t>
      </w:r>
      <w:proofErr w:type="gramEnd"/>
      <w:r w:rsidRPr="00B41069">
        <w:t xml:space="preserve"> SSN that does not belong to the employee on any employment documentation.</w:t>
      </w:r>
    </w:p>
    <w:p w14:paraId="7E981E1A" w14:textId="77777777" w:rsidR="00A942A1" w:rsidRPr="00B41069" w:rsidRDefault="00A942A1" w:rsidP="00A942A1">
      <w:r w:rsidRPr="00B41069">
        <w:t xml:space="preserve">The Iowa Workforce Development (IWD) </w:t>
      </w:r>
      <w:r>
        <w:t xml:space="preserve">will </w:t>
      </w:r>
      <w:r w:rsidRPr="00B41069">
        <w:t>enforce the new law</w:t>
      </w:r>
      <w:r>
        <w:t>, and e</w:t>
      </w:r>
      <w:r w:rsidRPr="00B41069">
        <w:t>mployers</w:t>
      </w:r>
      <w:r>
        <w:t xml:space="preserve"> </w:t>
      </w:r>
      <w:r w:rsidRPr="00B41069">
        <w:t>violat</w:t>
      </w:r>
      <w:r>
        <w:t>ing</w:t>
      </w:r>
      <w:r w:rsidRPr="00B41069">
        <w:t xml:space="preserve"> the law are subject to a civil penalty of $10,000. In addition to the civil penalty, for a fourth or subsequent violation, the employer must cease operations at the location where the violation occurred until any individual who holds a majority interest in the business and all managerial staff at that location participate in an IWD-developed training.</w:t>
      </w:r>
    </w:p>
    <w:p w14:paraId="2CC7BDDD" w14:textId="77777777" w:rsidR="00A942A1" w:rsidRPr="00B41069" w:rsidRDefault="00A942A1" w:rsidP="00A942A1">
      <w:r w:rsidRPr="00B41069">
        <w:t>The law also amends the state’s fraudulent practices law to prohibit employers from knowingly providing a potential employee with a fraudulent SSN for the purpose of hiring the individual.</w:t>
      </w:r>
    </w:p>
    <w:p w14:paraId="6952193F" w14:textId="15BAF8A9" w:rsidR="00A942A1" w:rsidRPr="00A942A1" w:rsidRDefault="00A942A1" w:rsidP="00A942A1">
      <w:r w:rsidRPr="00B41069">
        <w:rPr>
          <w:b/>
          <w:bCs/>
          <w:highlight w:val="lightGray"/>
        </w:rPr>
        <w:t xml:space="preserve">Employer </w:t>
      </w:r>
      <w:r>
        <w:rPr>
          <w:b/>
          <w:bCs/>
          <w:highlight w:val="lightGray"/>
        </w:rPr>
        <w:t>T</w:t>
      </w:r>
      <w:r w:rsidRPr="00B41069">
        <w:rPr>
          <w:b/>
          <w:bCs/>
          <w:highlight w:val="lightGray"/>
        </w:rPr>
        <w:t>akeaway:</w:t>
      </w:r>
      <w:r w:rsidRPr="00B41069">
        <w:t xml:space="preserve"> employers should ensure that their employment eligibility verification practices and procedures align with state and federal law prior to the law’s effective date.</w:t>
      </w:r>
    </w:p>
    <w:p w14:paraId="3DCB286A" w14:textId="6E2A56D5"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Requires Equal Treatment for Employees Who Adopt Children (Parity for Adoptive Parents) - </w:t>
      </w:r>
      <w:r w:rsidRPr="00DD7BD1">
        <w:rPr>
          <w:rFonts w:ascii="Calibri" w:hAnsi="Calibri" w:cs="Calibri"/>
          <w:b/>
          <w:bCs/>
          <w:color w:val="C00000"/>
          <w:sz w:val="28"/>
          <w:szCs w:val="28"/>
          <w:shd w:val="clear" w:color="auto" w:fill="FFFFFF"/>
          <w:lang w:val="en"/>
        </w:rPr>
        <w:t>Eff July 1, 2025</w:t>
      </w:r>
    </w:p>
    <w:p w14:paraId="1023EB87" w14:textId="112C656C"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July 1, 2025, Iowa employers must provide the same employment benefits and protections to adoptive parents as biological parents. The Iowa Legislature passed </w:t>
      </w:r>
      <w:hyperlink r:id="rId775" w:history="1">
        <w:r w:rsidRPr="00DD7BD1">
          <w:rPr>
            <w:rStyle w:val="Hyperlink"/>
            <w:rFonts w:ascii="Calibri" w:hAnsi="Calibri" w:cs="Calibri"/>
            <w:shd w:val="clear" w:color="auto" w:fill="FFFFFF"/>
          </w:rPr>
          <w:t>House File 248</w:t>
        </w:r>
      </w:hyperlink>
      <w:r w:rsidRPr="00DD7BD1">
        <w:rPr>
          <w:rFonts w:ascii="Calibri" w:hAnsi="Calibri" w:cs="Calibri"/>
          <w:shd w:val="clear" w:color="auto" w:fill="FFFFFF"/>
        </w:rPr>
        <w:t>, providing rights to employees who adopt children. Gov. Kim Reynolds signed the measure into law.</w:t>
      </w:r>
    </w:p>
    <w:p w14:paraId="4D0F48DF"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Employment policies;</w:t>
      </w:r>
    </w:p>
    <w:p w14:paraId="5D40F614"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Benefits; and </w:t>
      </w:r>
    </w:p>
    <w:p w14:paraId="202D3AA1" w14:textId="77777777" w:rsidR="00784E6F" w:rsidRPr="00DD7BD1" w:rsidRDefault="00784E6F">
      <w:pPr>
        <w:pStyle w:val="ListParagraph"/>
        <w:numPr>
          <w:ilvl w:val="0"/>
          <w:numId w:val="217"/>
        </w:num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 xml:space="preserve">Protections. </w:t>
      </w:r>
      <w:r w:rsidRPr="00DD7BD1">
        <w:rPr>
          <w:rFonts w:ascii="Calibri" w:hAnsi="Calibri" w:cs="Calibri"/>
          <w:shd w:val="clear" w:color="auto" w:fill="FFFFFF"/>
        </w:rPr>
        <w:br/>
      </w:r>
    </w:p>
    <w:p w14:paraId="022EF268"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requirement for equal treatment applies during the first year of the child’s adoption.</w:t>
      </w:r>
    </w:p>
    <w:p w14:paraId="5E1630EF" w14:textId="77777777" w:rsidR="00784E6F" w:rsidRPr="00DD7BD1" w:rsidRDefault="00784E6F" w:rsidP="00784E6F">
      <w:pPr>
        <w:pStyle w:val="ListParagraph"/>
        <w:ind w:left="0"/>
        <w:rPr>
          <w:rFonts w:ascii="Calibri" w:hAnsi="Calibri" w:cs="Calibri"/>
          <w:sz w:val="16"/>
          <w:szCs w:val="16"/>
          <w:shd w:val="clear" w:color="auto" w:fill="FFFFFF"/>
        </w:rPr>
      </w:pPr>
    </w:p>
    <w:p w14:paraId="3A666139" w14:textId="1672E45E"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b/>
          <w:bCs/>
          <w:highlight w:val="lightGray"/>
          <w:shd w:val="clear" w:color="auto" w:fill="FFFFFF"/>
        </w:rPr>
        <w:t>Employer-Takeaway</w:t>
      </w:r>
      <w:r w:rsidRPr="00DD7BD1">
        <w:rPr>
          <w:rFonts w:ascii="Calibri" w:hAnsi="Calibri" w:cs="Calibri"/>
          <w:shd w:val="clear" w:color="auto" w:fill="FFFFFF"/>
        </w:rPr>
        <w:t>: Employers should review their company policies to ensure none exist counter this new enactment.</w:t>
      </w:r>
    </w:p>
    <w:p w14:paraId="1B13EE6A" w14:textId="77777777" w:rsidR="00784E6F" w:rsidRPr="00DD7BD1" w:rsidRDefault="00784E6F" w:rsidP="00784E6F">
      <w:pPr>
        <w:pStyle w:val="ListParagraph"/>
        <w:ind w:left="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Drug Testing Regulatory Updates – </w:t>
      </w:r>
      <w:r w:rsidRPr="00DD7BD1">
        <w:rPr>
          <w:rFonts w:ascii="Calibri" w:hAnsi="Calibri" w:cs="Calibri"/>
          <w:b/>
          <w:bCs/>
          <w:color w:val="C00000"/>
          <w:sz w:val="28"/>
          <w:szCs w:val="28"/>
          <w:shd w:val="clear" w:color="auto" w:fill="FFFFFF"/>
        </w:rPr>
        <w:t>Eff July 1, 2025</w:t>
      </w:r>
    </w:p>
    <w:p w14:paraId="66AE0A8F"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state has made two minor changes to its employment drug and alcohol testing laws.</w:t>
      </w:r>
    </w:p>
    <w:p w14:paraId="3DD7F6AD" w14:textId="77777777" w:rsidR="00784E6F" w:rsidRPr="00DD7BD1" w:rsidRDefault="00784E6F" w:rsidP="00784E6F">
      <w:pPr>
        <w:pStyle w:val="ListParagraph"/>
        <w:ind w:left="0"/>
        <w:rPr>
          <w:rFonts w:ascii="Calibri" w:hAnsi="Calibri" w:cs="Calibri"/>
          <w:shd w:val="clear" w:color="auto" w:fill="FFFFFF"/>
        </w:rPr>
      </w:pPr>
    </w:p>
    <w:p w14:paraId="211F25D0"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Pr="00DD7BD1" w:rsidRDefault="00784E6F" w:rsidP="00784E6F">
      <w:pPr>
        <w:pStyle w:val="ListParagraph"/>
        <w:ind w:left="0"/>
        <w:rPr>
          <w:rFonts w:ascii="Calibri" w:hAnsi="Calibri" w:cs="Calibri"/>
          <w:shd w:val="clear" w:color="auto" w:fill="FFFFFF"/>
        </w:rPr>
      </w:pPr>
    </w:p>
    <w:p w14:paraId="6A996DBD" w14:textId="0EAACE79" w:rsidR="00784E6F"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105BEC51" w14:textId="77777777" w:rsidR="00DF1DC8" w:rsidRDefault="00DF1DC8" w:rsidP="00784E6F">
      <w:pPr>
        <w:pStyle w:val="ListParagraph"/>
        <w:ind w:left="0"/>
        <w:rPr>
          <w:rFonts w:ascii="Calibri" w:hAnsi="Calibri" w:cs="Calibri"/>
          <w:shd w:val="clear" w:color="auto" w:fill="FFFFFF"/>
        </w:rPr>
      </w:pPr>
    </w:p>
    <w:p w14:paraId="44C59671" w14:textId="4651EE62" w:rsidR="00DF1DC8" w:rsidRDefault="00DF1DC8" w:rsidP="00784E6F">
      <w:pPr>
        <w:pStyle w:val="ListParagraph"/>
        <w:ind w:left="0"/>
        <w:rPr>
          <w:rFonts w:ascii="Calibri" w:hAnsi="Calibri" w:cs="Calibri"/>
          <w:b/>
          <w:bCs/>
          <w:color w:val="2E74B5" w:themeColor="accent5" w:themeShade="BF"/>
          <w:sz w:val="28"/>
          <w:szCs w:val="28"/>
          <w:shd w:val="clear" w:color="auto" w:fill="FFFFFF"/>
          <w:lang w:val="en"/>
        </w:rPr>
      </w:pPr>
      <w:r w:rsidRPr="00DF1DC8">
        <w:rPr>
          <w:rFonts w:ascii="Calibri" w:hAnsi="Calibri" w:cs="Calibri"/>
          <w:b/>
          <w:bCs/>
          <w:color w:val="2E74B5" w:themeColor="accent5" w:themeShade="BF"/>
          <w:sz w:val="28"/>
          <w:szCs w:val="28"/>
          <w:shd w:val="clear" w:color="auto" w:fill="FFFFFF"/>
          <w:lang w:val="en"/>
        </w:rPr>
        <w:t>Kentucky</w:t>
      </w:r>
    </w:p>
    <w:p w14:paraId="25CD7407" w14:textId="77777777" w:rsidR="007A1F76" w:rsidRPr="00BE1E04" w:rsidRDefault="007A1F76" w:rsidP="00E07A37">
      <w:pPr>
        <w:jc w:val="center"/>
        <w:rPr>
          <w:b/>
          <w:bCs/>
          <w:caps/>
          <w:noProof/>
          <w:color w:val="0E425C"/>
          <w:sz w:val="26"/>
          <w:szCs w:val="26"/>
        </w:rPr>
      </w:pPr>
      <w:r w:rsidRPr="00BE1E04">
        <w:rPr>
          <w:b/>
          <w:bCs/>
          <w:caps/>
          <w:color w:val="0070C0"/>
          <w:sz w:val="26"/>
          <w:szCs w:val="26"/>
        </w:rPr>
        <w:t xml:space="preserve">New! </w:t>
      </w:r>
      <w:r w:rsidRPr="00BE1E04">
        <w:rPr>
          <w:b/>
          <w:bCs/>
          <w:caps/>
          <w:noProof/>
          <w:color w:val="0E425C"/>
          <w:sz w:val="26"/>
          <w:szCs w:val="26"/>
        </w:rPr>
        <w:t xml:space="preserve">Tipped Employee Definition </w:t>
      </w:r>
      <w:r>
        <w:rPr>
          <w:b/>
          <w:bCs/>
          <w:caps/>
          <w:noProof/>
          <w:color w:val="0E425C"/>
          <w:sz w:val="26"/>
          <w:szCs w:val="26"/>
        </w:rPr>
        <w:t xml:space="preserve">Updated </w:t>
      </w:r>
      <w:r w:rsidRPr="005E5793">
        <w:rPr>
          <w:b/>
          <w:bCs/>
          <w:caps/>
          <w:noProof/>
          <w:color w:val="0E425C"/>
          <w:sz w:val="26"/>
          <w:szCs w:val="26"/>
        </w:rPr>
        <w:t>Eff</w:t>
      </w:r>
      <w:r>
        <w:rPr>
          <w:b/>
          <w:bCs/>
          <w:caps/>
          <w:noProof/>
          <w:color w:val="0E425C"/>
          <w:sz w:val="26"/>
          <w:szCs w:val="26"/>
        </w:rPr>
        <w:t>ective</w:t>
      </w:r>
      <w:r w:rsidRPr="005E5793">
        <w:rPr>
          <w:b/>
          <w:bCs/>
          <w:caps/>
          <w:noProof/>
          <w:color w:val="0E425C"/>
          <w:sz w:val="26"/>
          <w:szCs w:val="26"/>
        </w:rPr>
        <w:t xml:space="preserve"> </w:t>
      </w:r>
      <w:r w:rsidRPr="001D2E4F">
        <w:rPr>
          <w:b/>
          <w:bCs/>
          <w:caps/>
          <w:color w:val="0070C0"/>
          <w:sz w:val="26"/>
          <w:szCs w:val="26"/>
        </w:rPr>
        <w:t>April 10, 2026</w:t>
      </w:r>
    </w:p>
    <w:p w14:paraId="55E8FD91" w14:textId="77777777" w:rsidR="007A1F76" w:rsidRPr="002D5422" w:rsidRDefault="007A1F76" w:rsidP="007A1F76">
      <w:r w:rsidRPr="002D5422">
        <w:rPr>
          <w:b/>
          <w:bCs/>
          <w:highlight w:val="lightGray"/>
        </w:rPr>
        <w:t>Employer Takeaway:</w:t>
      </w:r>
      <w:r w:rsidRPr="002D5422">
        <w:rPr>
          <w:b/>
          <w:bCs/>
        </w:rPr>
        <w:t xml:space="preserve"> </w:t>
      </w:r>
      <w:r w:rsidRPr="002D5422">
        <w:t xml:space="preserve">Employers with tipped employees in Kentucky should review and update payroll processes to reflect the updated definition of “tipped employee” &amp; “tip pooling arrangements” to ensure compliance with new regulations. </w:t>
      </w:r>
    </w:p>
    <w:p w14:paraId="66549963" w14:textId="77777777" w:rsidR="007A1F76" w:rsidRPr="00A11F2A" w:rsidRDefault="007A1F76" w:rsidP="007A1F76">
      <w:pPr>
        <w:rPr>
          <w:highlight w:val="yellow"/>
        </w:rPr>
      </w:pPr>
      <w:r w:rsidRPr="002D5422">
        <w:t>On April 10, 2026, Kentucky passed a</w:t>
      </w:r>
      <w:r>
        <w:t xml:space="preserve"> </w:t>
      </w:r>
      <w:hyperlink r:id="rId776" w:history="1">
        <w:r w:rsidRPr="00FE1EFA">
          <w:rPr>
            <w:rStyle w:val="Hyperlink"/>
          </w:rPr>
          <w:t>law</w:t>
        </w:r>
      </w:hyperlink>
      <w:r>
        <w:t xml:space="preserve"> </w:t>
      </w:r>
      <w:r w:rsidRPr="002D5422">
        <w:t>updating the definition of “tipped employee” and rules regarding tip pools.  In Kentucky, tipped employee wages are calculated using a cash wage, a tip credit and the state minimum wage rate. The cash wage in Kentucky is $2.13 per hour. The cash wage is determined by subtracting the tip credit from the minimum wage rate. State law requires that employers make up the difference when an employee’s tips, combined with the employee’s cash wage, fall below the minimum wage.</w:t>
      </w:r>
    </w:p>
    <w:p w14:paraId="568D5284" w14:textId="77777777" w:rsidR="007A1F76" w:rsidRPr="00914812" w:rsidRDefault="007A1F76" w:rsidP="007A1F76">
      <w:pPr>
        <w:rPr>
          <w:b/>
          <w:bCs/>
        </w:rPr>
      </w:pPr>
      <w:r w:rsidRPr="00914812">
        <w:rPr>
          <w:b/>
          <w:bCs/>
        </w:rPr>
        <w:t>Updated Definition of “Tipped Employee”</w:t>
      </w:r>
    </w:p>
    <w:p w14:paraId="06A36CD8" w14:textId="77777777" w:rsidR="007A1F76" w:rsidRPr="002D5422" w:rsidRDefault="007A1F76" w:rsidP="007A1F76">
      <w:r w:rsidRPr="002D5422">
        <w:t xml:space="preserve">In Kentucky, a </w:t>
      </w:r>
      <w:r w:rsidRPr="002D5422">
        <w:rPr>
          <w:b/>
          <w:bCs/>
        </w:rPr>
        <w:t>tipped employee</w:t>
      </w:r>
      <w:r w:rsidRPr="002D5422">
        <w:t xml:space="preserve"> is any employee engaged in an occupation in which the employee customarily and regularly receives more than $30 per month in tips. The law updates the definition of a “tipped employee” by requiring a tipped employee to also: </w:t>
      </w:r>
    </w:p>
    <w:p w14:paraId="46935A9B" w14:textId="77777777" w:rsidR="007A1F76" w:rsidRPr="002D5422" w:rsidRDefault="007A1F76" w:rsidP="007A1F76">
      <w:pPr>
        <w:pStyle w:val="Bullet"/>
        <w:spacing w:after="80"/>
        <w:ind w:left="648"/>
        <w:rPr>
          <w:color w:val="auto"/>
        </w:rPr>
      </w:pPr>
      <w:r w:rsidRPr="002D5422">
        <w:rPr>
          <w:color w:val="auto"/>
        </w:rPr>
        <w:t xml:space="preserve">Perform work that directly supports or is itself the service function for which a customer would tip, regardless of whether the employee performs the service function; or </w:t>
      </w:r>
    </w:p>
    <w:p w14:paraId="1E07D8BB" w14:textId="77777777" w:rsidR="007A1F76" w:rsidRPr="002D5422" w:rsidRDefault="007A1F76" w:rsidP="007A1F76">
      <w:pPr>
        <w:pStyle w:val="Bullet"/>
        <w:spacing w:after="80"/>
        <w:ind w:left="648"/>
        <w:rPr>
          <w:color w:val="auto"/>
        </w:rPr>
      </w:pPr>
      <w:r w:rsidRPr="002D5422">
        <w:rPr>
          <w:color w:val="auto"/>
        </w:rPr>
        <w:lastRenderedPageBreak/>
        <w:t>Directly supports the service function that involves any amount of direct customer interaction or is performed in the direct line of sight of customers.</w:t>
      </w:r>
    </w:p>
    <w:p w14:paraId="4ECF0B9C" w14:textId="51B34243" w:rsidR="00DF1DC8" w:rsidRPr="00C649F8" w:rsidRDefault="007A1F76" w:rsidP="00C649F8">
      <w:r w:rsidRPr="002D5422">
        <w:t>The new law also clarifies that a tip pooling arrangement may include tipped employees but must exclude salaried employees, managers or supervisors.</w:t>
      </w:r>
    </w:p>
    <w:p w14:paraId="3CC9C7AA" w14:textId="064B3990" w:rsidR="00646562" w:rsidRPr="00DD7BD1" w:rsidRDefault="001C5F42" w:rsidP="00C2099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Louisiana </w:t>
      </w:r>
    </w:p>
    <w:p w14:paraId="53706914" w14:textId="77777777" w:rsidR="00A942A1" w:rsidRPr="001578A1" w:rsidRDefault="00A942A1" w:rsidP="00A942A1">
      <w:pPr>
        <w:rPr>
          <w:b/>
          <w:bCs/>
          <w:caps/>
          <w:color w:val="0070C0"/>
          <w:sz w:val="26"/>
          <w:szCs w:val="26"/>
        </w:rPr>
      </w:pPr>
      <w:r w:rsidRPr="001578A1">
        <w:rPr>
          <w:b/>
          <w:bCs/>
          <w:caps/>
          <w:color w:val="0070C0"/>
          <w:sz w:val="26"/>
          <w:szCs w:val="26"/>
        </w:rPr>
        <w:t>New!</w:t>
      </w:r>
      <w:r w:rsidRPr="001578A1">
        <w:rPr>
          <w:b/>
          <w:bCs/>
          <w:caps/>
          <w:noProof/>
          <w:color w:val="0E425C"/>
          <w:sz w:val="26"/>
          <w:szCs w:val="26"/>
        </w:rPr>
        <w:t xml:space="preserve"> Organ &amp; Bone Marrow Donation Leave Effective </w:t>
      </w:r>
      <w:r w:rsidRPr="001578A1">
        <w:rPr>
          <w:b/>
          <w:bCs/>
          <w:caps/>
          <w:color w:val="0070C0"/>
          <w:sz w:val="26"/>
          <w:szCs w:val="26"/>
        </w:rPr>
        <w:t>August 1, 2026</w:t>
      </w:r>
    </w:p>
    <w:p w14:paraId="1A7C0F57" w14:textId="77777777" w:rsidR="00A942A1" w:rsidRDefault="00A942A1" w:rsidP="00A942A1">
      <w:r>
        <w:t>Effective August 1, 2026, e</w:t>
      </w:r>
      <w:r w:rsidRPr="0061305C">
        <w:t xml:space="preserve">mployers with 20 or more employees must allow </w:t>
      </w:r>
      <w:r w:rsidRPr="0061305C">
        <w:rPr>
          <w:b/>
          <w:bCs/>
        </w:rPr>
        <w:t xml:space="preserve">paid </w:t>
      </w:r>
      <w:r w:rsidRPr="0061305C">
        <w:t xml:space="preserve">leave (no more than </w:t>
      </w:r>
      <w:r w:rsidRPr="0061305C">
        <w:rPr>
          <w:b/>
          <w:bCs/>
        </w:rPr>
        <w:t>40 hours</w:t>
      </w:r>
      <w:r w:rsidRPr="0061305C">
        <w:t>) to any employee who works</w:t>
      </w:r>
      <w:r>
        <w:t xml:space="preserve"> </w:t>
      </w:r>
      <w:r w:rsidRPr="0061305C">
        <w:t xml:space="preserve">at least 20 hours per week and seeks to </w:t>
      </w:r>
      <w:r w:rsidRPr="005D1B29">
        <w:rPr>
          <w:b/>
          <w:bCs/>
        </w:rPr>
        <w:t>donate bone marrow</w:t>
      </w:r>
      <w:r w:rsidRPr="0061305C">
        <w:t>. The employer may require verification from a</w:t>
      </w:r>
      <w:r>
        <w:t xml:space="preserve"> medical provider</w:t>
      </w:r>
      <w:r w:rsidRPr="0061305C">
        <w:t xml:space="preserve"> before allowing leave. Employers cannot discriminate against employees who take such leave.</w:t>
      </w:r>
    </w:p>
    <w:p w14:paraId="246545BD" w14:textId="77777777" w:rsidR="00A942A1" w:rsidRPr="0061305C" w:rsidRDefault="00A942A1" w:rsidP="00A942A1">
      <w:r>
        <w:t>Also, e</w:t>
      </w:r>
      <w:r w:rsidRPr="0061305C">
        <w:t>ffective Aug</w:t>
      </w:r>
      <w:r>
        <w:t>ust</w:t>
      </w:r>
      <w:r w:rsidRPr="0061305C">
        <w:t xml:space="preserve"> 1, all private employers must provide unpaid leave to their employees to serve as</w:t>
      </w:r>
      <w:r>
        <w:t xml:space="preserve"> </w:t>
      </w:r>
      <w:r w:rsidRPr="0061305C">
        <w:t>an organ or bone marrow donor. The length of leave is either the time requested by the employee or 30 consecutive</w:t>
      </w:r>
      <w:r>
        <w:t xml:space="preserve"> </w:t>
      </w:r>
      <w:r w:rsidRPr="0061305C">
        <w:t xml:space="preserve">calendar days, although employers may grant a longer leave if they choose. </w:t>
      </w:r>
    </w:p>
    <w:p w14:paraId="5C3121ED" w14:textId="77777777" w:rsidR="00A942A1" w:rsidRDefault="00A942A1" w:rsidP="00A942A1">
      <w:r w:rsidRPr="0061305C">
        <w:t>Organ donation is defined in the law as the donation of all or part of a liver, pancreas, kidney, intestine or lung.</w:t>
      </w:r>
    </w:p>
    <w:p w14:paraId="40E3AF20" w14:textId="20D79611" w:rsidR="00A942A1" w:rsidRPr="00A942A1" w:rsidRDefault="00A942A1" w:rsidP="00A942A1">
      <w:r w:rsidRPr="00D73E9C">
        <w:t>ETC will publish an updated State Handbook Addendum with the July HR WIRE.</w:t>
      </w:r>
    </w:p>
    <w:p w14:paraId="36BCBFF8" w14:textId="7DF87D16" w:rsidR="001C5F42" w:rsidRPr="00DD7BD1" w:rsidRDefault="001C5F42" w:rsidP="0064656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Update</w:t>
      </w:r>
      <w:r w:rsidR="003B29FD" w:rsidRPr="00DD7BD1">
        <w:rPr>
          <w:rFonts w:ascii="Calibri" w:hAnsi="Calibri" w:cs="Calibri"/>
          <w:b/>
          <w:bCs/>
          <w:sz w:val="28"/>
          <w:szCs w:val="28"/>
          <w:shd w:val="clear" w:color="auto" w:fill="FFFFFF"/>
        </w:rPr>
        <w:t>d</w:t>
      </w:r>
      <w:r w:rsidRPr="00DD7BD1">
        <w:rPr>
          <w:rFonts w:ascii="Calibri" w:hAnsi="Calibri" w:cs="Calibri"/>
          <w:b/>
          <w:bCs/>
          <w:sz w:val="28"/>
          <w:szCs w:val="28"/>
          <w:shd w:val="clear" w:color="auto" w:fill="FFFFFF"/>
        </w:rPr>
        <w:t xml:space="preserve"> Meal Breaks for Minors – </w:t>
      </w:r>
      <w:r w:rsidRPr="00DD7BD1">
        <w:rPr>
          <w:rFonts w:ascii="Calibri" w:hAnsi="Calibri" w:cs="Calibri"/>
          <w:b/>
          <w:bCs/>
          <w:color w:val="C00000"/>
          <w:sz w:val="28"/>
          <w:szCs w:val="28"/>
          <w:shd w:val="clear" w:color="auto" w:fill="FFFFFF"/>
        </w:rPr>
        <w:t>Aug 1, 2024</w:t>
      </w:r>
    </w:p>
    <w:p w14:paraId="777DEBF4" w14:textId="62A492C2" w:rsidR="001C5F42" w:rsidRPr="00DD7BD1" w:rsidRDefault="001C5F42"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As of August 1, 2024, the law requiring meal breaks for minors will </w:t>
      </w:r>
      <w:r w:rsidRPr="00DD7BD1">
        <w:rPr>
          <w:rFonts w:ascii="Calibri" w:hAnsi="Calibri" w:cs="Calibri"/>
          <w:i/>
          <w:iCs/>
          <w:shd w:val="clear" w:color="auto" w:fill="FFFFFF"/>
        </w:rPr>
        <w:t>only</w:t>
      </w:r>
      <w:r w:rsidRPr="00DD7BD1">
        <w:rPr>
          <w:rFonts w:ascii="Calibri" w:hAnsi="Calibri" w:cs="Calibri"/>
          <w:shd w:val="clear" w:color="auto" w:fill="FFFFFF"/>
        </w:rPr>
        <w:t xml:space="preserve"> apply to minors who are 15 years old or younger. </w:t>
      </w:r>
      <w:hyperlink r:id="rId777" w:tgtFrame="_blank" w:history="1">
        <w:r w:rsidRPr="00DD7BD1">
          <w:rPr>
            <w:rStyle w:val="Hyperlink"/>
            <w:rFonts w:ascii="Calibri" w:hAnsi="Calibri" w:cs="Calibri"/>
            <w:shd w:val="clear" w:color="auto" w:fill="FFFFFF"/>
          </w:rPr>
          <w:t>HB 156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signed by the governor on June 11, 2024.</w:t>
      </w:r>
    </w:p>
    <w:p w14:paraId="7497A70A" w14:textId="77777777" w:rsidR="001C5F42" w:rsidRPr="00DD7BD1" w:rsidRDefault="001C5F42" w:rsidP="00AF4ED7">
      <w:pPr>
        <w:spacing w:after="0" w:line="240" w:lineRule="auto"/>
        <w:jc w:val="both"/>
        <w:rPr>
          <w:rFonts w:ascii="Calibri" w:hAnsi="Calibri" w:cs="Calibri"/>
          <w:b/>
          <w:bCs/>
          <w:color w:val="2E74B5" w:themeColor="accent5" w:themeShade="BF"/>
          <w:shd w:val="clear" w:color="auto" w:fill="FFFFFF"/>
          <w:lang w:val="en"/>
        </w:rPr>
      </w:pPr>
    </w:p>
    <w:p w14:paraId="116AE09B" w14:textId="77777777" w:rsidR="003B29FD" w:rsidRPr="00DD7BD1" w:rsidRDefault="00AF4ED7" w:rsidP="003B29F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Maine</w:t>
      </w:r>
    </w:p>
    <w:p w14:paraId="6CA27CD1" w14:textId="77777777"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309B4E2B" w14:textId="77777777" w:rsidR="00204F44" w:rsidRPr="0055141A" w:rsidRDefault="00204F44">
      <w:pPr>
        <w:pStyle w:val="ListParagraph"/>
        <w:numPr>
          <w:ilvl w:val="0"/>
          <w:numId w:val="371"/>
        </w:numPr>
        <w:spacing w:after="100" w:line="276" w:lineRule="auto"/>
        <w:rPr>
          <w:caps/>
          <w:noProof/>
          <w:color w:val="0E425C"/>
        </w:rPr>
      </w:pPr>
      <w:r w:rsidRPr="0055141A">
        <w:rPr>
          <w:caps/>
          <w:noProof/>
          <w:color w:val="0E425C"/>
        </w:rPr>
        <w:t xml:space="preserve">New Restrictions Workplace Monitoring Expected Effective </w:t>
      </w:r>
      <w:r w:rsidRPr="0055141A">
        <w:rPr>
          <w:caps/>
          <w:color w:val="0070C0"/>
        </w:rPr>
        <w:t>July 14, 2026</w:t>
      </w:r>
    </w:p>
    <w:p w14:paraId="5112A55B" w14:textId="77777777" w:rsidR="00204F44" w:rsidRPr="003B104F" w:rsidRDefault="00204F44">
      <w:pPr>
        <w:pStyle w:val="ListParagraph"/>
        <w:numPr>
          <w:ilvl w:val="0"/>
          <w:numId w:val="371"/>
        </w:numPr>
        <w:spacing w:after="100" w:line="276" w:lineRule="auto"/>
        <w:rPr>
          <w:caps/>
          <w:noProof/>
          <w:color w:val="0E425C"/>
        </w:rPr>
      </w:pPr>
      <w:r w:rsidRPr="0055141A">
        <w:rPr>
          <w:caps/>
          <w:noProof/>
          <w:color w:val="0E425C"/>
        </w:rPr>
        <w:t xml:space="preserve">State Enacts Pay Transparency Regulations Effective </w:t>
      </w:r>
      <w:r w:rsidRPr="0055141A">
        <w:rPr>
          <w:caps/>
          <w:color w:val="0070C0"/>
        </w:rPr>
        <w:t>July 29, 2026</w:t>
      </w:r>
    </w:p>
    <w:p w14:paraId="6D3E0786" w14:textId="6216EB5C" w:rsidR="00204F44" w:rsidRPr="00204F44" w:rsidRDefault="00204F44">
      <w:pPr>
        <w:pStyle w:val="ListParagraph"/>
        <w:numPr>
          <w:ilvl w:val="1"/>
          <w:numId w:val="371"/>
        </w:numPr>
        <w:spacing w:after="100" w:line="276" w:lineRule="auto"/>
      </w:pPr>
      <w:r w:rsidRPr="003B104F">
        <w:t>Job P</w:t>
      </w:r>
      <w:r>
        <w:t>o</w:t>
      </w:r>
      <w:r w:rsidRPr="003B104F">
        <w:t>stings &amp; Employee Disclosures</w:t>
      </w:r>
    </w:p>
    <w:p w14:paraId="7BD8CF46" w14:textId="621F7E52" w:rsidR="00C6528C" w:rsidRPr="007A72A0" w:rsidRDefault="00C6528C" w:rsidP="00C6528C">
      <w:pPr>
        <w:rPr>
          <w:b/>
          <w:bCs/>
          <w:caps/>
          <w:color w:val="0070C0"/>
          <w:sz w:val="26"/>
          <w:szCs w:val="26"/>
        </w:rPr>
      </w:pPr>
      <w:r>
        <w:rPr>
          <w:b/>
          <w:bCs/>
          <w:caps/>
          <w:color w:val="0070C0"/>
          <w:sz w:val="26"/>
          <w:szCs w:val="26"/>
        </w:rPr>
        <w:t xml:space="preserve">UPDATE! </w:t>
      </w:r>
      <w:r w:rsidRPr="00AB0C94">
        <w:rPr>
          <w:b/>
          <w:bCs/>
          <w:caps/>
          <w:noProof/>
          <w:color w:val="0E425C"/>
          <w:sz w:val="26"/>
          <w:szCs w:val="26"/>
        </w:rPr>
        <w:t xml:space="preserve">State Enacts Pay Transparency Regulations Effective </w:t>
      </w:r>
      <w:r w:rsidRPr="00275D0A">
        <w:rPr>
          <w:b/>
          <w:bCs/>
          <w:caps/>
          <w:color w:val="0070C0"/>
          <w:sz w:val="26"/>
          <w:szCs w:val="26"/>
        </w:rPr>
        <w:t xml:space="preserve">July </w:t>
      </w:r>
      <w:r w:rsidRPr="007A72A0">
        <w:rPr>
          <w:b/>
          <w:bCs/>
          <w:caps/>
          <w:color w:val="0070C0"/>
          <w:sz w:val="26"/>
          <w:szCs w:val="26"/>
          <w:u w:val="single"/>
        </w:rPr>
        <w:t>29,</w:t>
      </w:r>
      <w:r>
        <w:rPr>
          <w:b/>
          <w:bCs/>
          <w:caps/>
          <w:color w:val="0070C0"/>
          <w:sz w:val="26"/>
          <w:szCs w:val="26"/>
        </w:rPr>
        <w:t xml:space="preserve"> 2026</w:t>
      </w:r>
    </w:p>
    <w:p w14:paraId="4794B401" w14:textId="77777777" w:rsidR="00C6528C" w:rsidRPr="005E4403" w:rsidRDefault="00C6528C" w:rsidP="00C6528C">
      <w:r w:rsidRPr="0079289B">
        <w:t xml:space="preserve">The enactment of </w:t>
      </w:r>
      <w:hyperlink r:id="rId778" w:history="1">
        <w:r w:rsidRPr="009D398E">
          <w:rPr>
            <w:rStyle w:val="Hyperlink"/>
          </w:rPr>
          <w:t>LD 54,</w:t>
        </w:r>
      </w:hyperlink>
      <w:r>
        <w:t xml:space="preserve"> Maine employers with 10 or more employees must now include </w:t>
      </w:r>
      <w:r w:rsidRPr="00C430C0">
        <w:t>hourly or salary pay rate</w:t>
      </w:r>
      <w:r>
        <w:t>/</w:t>
      </w:r>
      <w:r w:rsidRPr="00C430C0">
        <w:t>range in postings and include preferred qualifications.</w:t>
      </w:r>
    </w:p>
    <w:p w14:paraId="2ECA62B5" w14:textId="77777777" w:rsidR="00C6528C" w:rsidRPr="00652DB1" w:rsidRDefault="00C6528C" w:rsidP="00C6528C">
      <w:pPr>
        <w:rPr>
          <w:b/>
          <w:bCs/>
          <w:caps/>
          <w:noProof/>
          <w:color w:val="0E425C"/>
          <w:sz w:val="28"/>
          <w:szCs w:val="28"/>
        </w:rPr>
      </w:pPr>
      <w:r w:rsidRPr="00D56833">
        <w:rPr>
          <w:b/>
          <w:bCs/>
          <w:caps/>
          <w:noProof/>
          <w:color w:val="0E425C"/>
          <w:sz w:val="26"/>
          <w:szCs w:val="26"/>
        </w:rPr>
        <w:t xml:space="preserve">Reminder: </w:t>
      </w:r>
      <w:r w:rsidRPr="0000153A">
        <w:rPr>
          <w:b/>
          <w:bCs/>
          <w:caps/>
          <w:noProof/>
          <w:color w:val="0E425C"/>
          <w:sz w:val="26"/>
          <w:szCs w:val="26"/>
        </w:rPr>
        <w:t>State Paid Family &amp; medical Leave Benefits Effective</w:t>
      </w:r>
      <w:r>
        <w:rPr>
          <w:b/>
          <w:bCs/>
          <w:caps/>
          <w:noProof/>
          <w:color w:val="0E425C"/>
          <w:sz w:val="28"/>
          <w:szCs w:val="28"/>
        </w:rPr>
        <w:t xml:space="preserve"> </w:t>
      </w:r>
      <w:r w:rsidRPr="0000153A">
        <w:rPr>
          <w:b/>
          <w:bCs/>
          <w:caps/>
          <w:color w:val="0070C0"/>
          <w:sz w:val="26"/>
          <w:szCs w:val="26"/>
        </w:rPr>
        <w:t>May 1, 2026</w:t>
      </w:r>
    </w:p>
    <w:p w14:paraId="25397327" w14:textId="77777777" w:rsidR="00C6528C" w:rsidRPr="00482A0C" w:rsidRDefault="00C6528C" w:rsidP="00C6528C">
      <w:pPr>
        <w:spacing w:after="0" w:line="240" w:lineRule="auto"/>
        <w:jc w:val="both"/>
        <w:rPr>
          <w:b/>
          <w:bCs/>
          <w:caps/>
          <w:noProof/>
          <w:color w:val="0E425C"/>
          <w:sz w:val="26"/>
          <w:szCs w:val="26"/>
        </w:rPr>
      </w:pPr>
      <w:r w:rsidRPr="008A7BBC">
        <w:rPr>
          <w:b/>
          <w:bCs/>
          <w:caps/>
          <w:noProof/>
          <w:color w:val="0E425C"/>
          <w:sz w:val="26"/>
          <w:szCs w:val="26"/>
        </w:rPr>
        <w:t>Reminder: New Restrictions on Workplace Monitoring Expected</w:t>
      </w:r>
      <w:r>
        <w:rPr>
          <w:b/>
          <w:bCs/>
          <w:caps/>
          <w:noProof/>
          <w:color w:val="0E425C"/>
          <w:sz w:val="26"/>
          <w:szCs w:val="26"/>
        </w:rPr>
        <w:t xml:space="preserve"> Effective as of </w:t>
      </w:r>
      <w:r w:rsidRPr="008A7BBC">
        <w:rPr>
          <w:b/>
          <w:bCs/>
          <w:caps/>
          <w:color w:val="0070C0"/>
          <w:sz w:val="26"/>
          <w:szCs w:val="26"/>
        </w:rPr>
        <w:t>July 14, 2026</w:t>
      </w:r>
    </w:p>
    <w:p w14:paraId="280357E4" w14:textId="77777777" w:rsidR="00C6528C" w:rsidRPr="00275D0A" w:rsidRDefault="00C6528C" w:rsidP="00C6528C">
      <w:pPr>
        <w:spacing w:after="0"/>
        <w:rPr>
          <w:shd w:val="clear" w:color="auto" w:fill="FFFFFF"/>
        </w:rPr>
      </w:pPr>
      <w:r w:rsidRPr="007021C8">
        <w:rPr>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7021C8">
        <w:rPr>
          <w:b/>
          <w:bCs/>
          <w:shd w:val="clear" w:color="auto" w:fill="FFFFFF"/>
        </w:rPr>
        <w:t>An Act to Regulate Employer Surveillance to Protect Workers </w:t>
      </w:r>
      <w:r w:rsidRPr="007021C8">
        <w:rPr>
          <w:shd w:val="clear" w:color="auto" w:fill="FFFFFF"/>
        </w:rPr>
        <w:t>(</w:t>
      </w:r>
      <w:hyperlink r:id="rId779" w:history="1">
        <w:r w:rsidRPr="007021C8">
          <w:rPr>
            <w:rStyle w:val="Hyperlink"/>
            <w:color w:val="auto"/>
            <w:shd w:val="clear" w:color="auto" w:fill="FFFFFF"/>
          </w:rPr>
          <w:t>LD 61</w:t>
        </w:r>
      </w:hyperlink>
      <w:r w:rsidRPr="007021C8">
        <w:rPr>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34F8C90" w14:textId="77777777" w:rsidR="00C6528C" w:rsidRPr="007021C8" w:rsidRDefault="00C6528C" w:rsidP="00C6528C">
      <w:pPr>
        <w:spacing w:after="0"/>
        <w:rPr>
          <w:b/>
          <w:bCs/>
          <w:shd w:val="clear" w:color="auto" w:fill="FFFFFF"/>
        </w:rPr>
      </w:pPr>
      <w:r w:rsidRPr="007021C8">
        <w:rPr>
          <w:b/>
          <w:bCs/>
          <w:shd w:val="clear" w:color="auto" w:fill="FFFFFF"/>
        </w:rPr>
        <w:t>Covered Employers</w:t>
      </w:r>
    </w:p>
    <w:p w14:paraId="3DD035C6" w14:textId="77777777" w:rsidR="00C6528C" w:rsidRPr="00275D0A" w:rsidRDefault="00C6528C" w:rsidP="00C6528C">
      <w:pPr>
        <w:spacing w:after="0"/>
        <w:rPr>
          <w:shd w:val="clear" w:color="auto" w:fill="FFFFFF"/>
        </w:rPr>
      </w:pPr>
      <w:r w:rsidRPr="007021C8">
        <w:rPr>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77ABAF03" w14:textId="77777777" w:rsidR="00C6528C" w:rsidRPr="007021C8" w:rsidRDefault="00C6528C" w:rsidP="00C6528C">
      <w:pPr>
        <w:spacing w:after="0"/>
        <w:rPr>
          <w:b/>
          <w:bCs/>
          <w:shd w:val="clear" w:color="auto" w:fill="FFFFFF"/>
        </w:rPr>
      </w:pPr>
      <w:r w:rsidRPr="007021C8">
        <w:rPr>
          <w:b/>
          <w:bCs/>
          <w:shd w:val="clear" w:color="auto" w:fill="FFFFFF"/>
        </w:rPr>
        <w:t>Banned Practices and Notice Requirements</w:t>
      </w:r>
    </w:p>
    <w:p w14:paraId="10660E3D" w14:textId="77777777" w:rsidR="00C6528C" w:rsidRPr="007021C8" w:rsidRDefault="00C6528C" w:rsidP="00C6528C">
      <w:pPr>
        <w:spacing w:after="0"/>
        <w:rPr>
          <w:shd w:val="clear" w:color="auto" w:fill="FFFFFF"/>
        </w:rPr>
      </w:pPr>
      <w:r w:rsidRPr="007021C8">
        <w:rPr>
          <w:shd w:val="clear" w:color="auto" w:fill="FFFFFF"/>
        </w:rPr>
        <w:lastRenderedPageBreak/>
        <w:t>LD 61 prohibits certain practices by employers. That includes:</w:t>
      </w:r>
    </w:p>
    <w:p w14:paraId="363CEF49" w14:textId="77777777" w:rsidR="00C6528C" w:rsidRPr="007021C8" w:rsidRDefault="00C6528C" w:rsidP="00C6528C">
      <w:pPr>
        <w:numPr>
          <w:ilvl w:val="0"/>
          <w:numId w:val="320"/>
        </w:numPr>
        <w:spacing w:after="0" w:line="276" w:lineRule="auto"/>
        <w:ind w:left="810"/>
        <w:rPr>
          <w:shd w:val="clear" w:color="auto" w:fill="FFFFFF"/>
        </w:rPr>
      </w:pPr>
      <w:r w:rsidRPr="007021C8">
        <w:rPr>
          <w:shd w:val="clear" w:color="auto" w:fill="FFFFFF"/>
        </w:rPr>
        <w:t>Engaging in surveillance in an employee’s home, on the employee’s personal property, or in the employee’s personal vehicle, unless such surveillance is required or necessary for the employee’s job duties.</w:t>
      </w:r>
    </w:p>
    <w:p w14:paraId="5AB4950A" w14:textId="77777777" w:rsidR="00C6528C" w:rsidRPr="00275D0A" w:rsidRDefault="00C6528C" w:rsidP="00C6528C">
      <w:pPr>
        <w:numPr>
          <w:ilvl w:val="0"/>
          <w:numId w:val="320"/>
        </w:numPr>
        <w:spacing w:after="0" w:line="276" w:lineRule="auto"/>
        <w:ind w:left="810"/>
        <w:rPr>
          <w:shd w:val="clear" w:color="auto" w:fill="FFFFFF"/>
        </w:rPr>
      </w:pPr>
      <w:proofErr w:type="gramStart"/>
      <w:r w:rsidRPr="007021C8">
        <w:rPr>
          <w:shd w:val="clear" w:color="auto" w:fill="FFFFFF"/>
        </w:rPr>
        <w:t>Requiring</w:t>
      </w:r>
      <w:proofErr w:type="gramEnd"/>
      <w:r w:rsidRPr="007021C8">
        <w:rPr>
          <w:shd w:val="clear" w:color="auto" w:fill="FFFFFF"/>
        </w:rPr>
        <w:t xml:space="preserve"> their staff to install data collecting software on their personal devices. The law allows employees to decline an employer’s request to install such applications on their device.</w:t>
      </w:r>
    </w:p>
    <w:p w14:paraId="5CC69273" w14:textId="77777777" w:rsidR="00C6528C" w:rsidRPr="007021C8" w:rsidRDefault="00C6528C" w:rsidP="00C6528C">
      <w:pPr>
        <w:spacing w:after="0"/>
        <w:rPr>
          <w:shd w:val="clear" w:color="auto" w:fill="FFFFFF"/>
        </w:rPr>
      </w:pPr>
      <w:r w:rsidRPr="007021C8">
        <w:rPr>
          <w:shd w:val="clear" w:color="auto" w:fill="FFFFFF"/>
        </w:rPr>
        <w:t>The law also sets out several new disclosure requirements including that employers must:</w:t>
      </w:r>
    </w:p>
    <w:p w14:paraId="48ED1C3F" w14:textId="77777777" w:rsidR="00C6528C" w:rsidRPr="007021C8" w:rsidRDefault="00C6528C" w:rsidP="00C6528C">
      <w:pPr>
        <w:numPr>
          <w:ilvl w:val="0"/>
          <w:numId w:val="321"/>
        </w:numPr>
        <w:spacing w:after="0" w:line="276" w:lineRule="auto"/>
        <w:ind w:left="810"/>
        <w:rPr>
          <w:shd w:val="clear" w:color="auto" w:fill="FFFFFF"/>
        </w:rPr>
      </w:pPr>
      <w:r w:rsidRPr="007021C8">
        <w:rPr>
          <w:shd w:val="clear" w:color="auto" w:fill="FFFFFF"/>
        </w:rPr>
        <w:t>Inform employees before implementing any electronic monitoring</w:t>
      </w:r>
    </w:p>
    <w:p w14:paraId="4B6167E4" w14:textId="77777777" w:rsidR="00C6528C" w:rsidRPr="007021C8" w:rsidRDefault="00C6528C" w:rsidP="00C6528C">
      <w:pPr>
        <w:numPr>
          <w:ilvl w:val="0"/>
          <w:numId w:val="321"/>
        </w:numPr>
        <w:spacing w:after="0" w:line="276" w:lineRule="auto"/>
        <w:ind w:left="810"/>
        <w:rPr>
          <w:shd w:val="clear" w:color="auto" w:fill="FFFFFF"/>
        </w:rPr>
      </w:pPr>
      <w:r w:rsidRPr="007021C8">
        <w:rPr>
          <w:shd w:val="clear" w:color="auto" w:fill="FFFFFF"/>
        </w:rPr>
        <w:t>Disclose to job applicants that the employer engages in employee monitoring</w:t>
      </w:r>
    </w:p>
    <w:p w14:paraId="72DB68D9" w14:textId="77777777" w:rsidR="00C6528C" w:rsidRPr="00275D0A" w:rsidRDefault="00C6528C" w:rsidP="00C6528C">
      <w:pPr>
        <w:numPr>
          <w:ilvl w:val="0"/>
          <w:numId w:val="321"/>
        </w:numPr>
        <w:spacing w:after="0" w:line="276" w:lineRule="auto"/>
        <w:ind w:left="810"/>
        <w:rPr>
          <w:shd w:val="clear" w:color="auto" w:fill="FFFFFF"/>
        </w:rPr>
      </w:pPr>
      <w:r w:rsidRPr="007021C8">
        <w:rPr>
          <w:shd w:val="clear" w:color="auto" w:fill="FFFFFF"/>
        </w:rPr>
        <w:t>Provide employees with an annual written notice confirming that the company conducts employee surveillance</w:t>
      </w:r>
    </w:p>
    <w:p w14:paraId="6652308F" w14:textId="77777777" w:rsidR="00C6528C" w:rsidRPr="007021C8" w:rsidRDefault="00C6528C" w:rsidP="00C6528C">
      <w:pPr>
        <w:spacing w:after="0"/>
        <w:rPr>
          <w:b/>
          <w:bCs/>
          <w:shd w:val="clear" w:color="auto" w:fill="FFFFFF"/>
        </w:rPr>
      </w:pPr>
      <w:r w:rsidRPr="007021C8">
        <w:rPr>
          <w:b/>
          <w:bCs/>
          <w:shd w:val="clear" w:color="auto" w:fill="FFFFFF"/>
        </w:rPr>
        <w:t>Penalties</w:t>
      </w:r>
    </w:p>
    <w:p w14:paraId="7A1DD528" w14:textId="77777777" w:rsidR="00C6528C" w:rsidRPr="00275D0A" w:rsidRDefault="00C6528C" w:rsidP="00C6528C">
      <w:pPr>
        <w:spacing w:after="0"/>
        <w:rPr>
          <w:shd w:val="clear" w:color="auto" w:fill="FFFFFF"/>
        </w:rPr>
      </w:pPr>
      <w:r w:rsidRPr="007021C8">
        <w:rPr>
          <w:shd w:val="clear" w:color="auto" w:fill="FFFFFF"/>
        </w:rPr>
        <w:t>The Maine Department of Labor is authorized to enforce LD 61 and to impose civil penalties for violations, ranging from a minimum of $100 to a maximum of $500 per violation. There is no private right of action.</w:t>
      </w:r>
    </w:p>
    <w:p w14:paraId="65875F5B" w14:textId="77777777" w:rsidR="00C6528C" w:rsidRPr="007021C8" w:rsidRDefault="00C6528C" w:rsidP="00C6528C">
      <w:pPr>
        <w:spacing w:after="0"/>
        <w:rPr>
          <w:b/>
          <w:bCs/>
          <w:shd w:val="clear" w:color="auto" w:fill="FFFFFF"/>
        </w:rPr>
      </w:pPr>
      <w:r w:rsidRPr="007021C8">
        <w:rPr>
          <w:b/>
          <w:bCs/>
          <w:highlight w:val="lightGray"/>
          <w:shd w:val="clear" w:color="auto" w:fill="FFFFFF"/>
        </w:rPr>
        <w:t>Employer Takeaways:</w:t>
      </w:r>
    </w:p>
    <w:p w14:paraId="156221C5" w14:textId="77777777" w:rsidR="00C6528C" w:rsidRPr="007021C8" w:rsidRDefault="00C6528C" w:rsidP="00C6528C">
      <w:pPr>
        <w:spacing w:after="0"/>
        <w:rPr>
          <w:shd w:val="clear" w:color="auto" w:fill="FFFFFF"/>
        </w:rPr>
      </w:pPr>
      <w:r w:rsidRPr="007021C8">
        <w:rPr>
          <w:shd w:val="clear" w:color="auto" w:fill="FFFFFF"/>
        </w:rPr>
        <w:t>Employers operating in Maine or across multiple states should consider:</w:t>
      </w:r>
    </w:p>
    <w:p w14:paraId="70B631C5" w14:textId="77777777" w:rsidR="00C6528C" w:rsidRPr="007021C8"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Policy updates -</w:t>
      </w:r>
      <w:r w:rsidRPr="007021C8">
        <w:rPr>
          <w:shd w:val="clear" w:color="auto" w:fill="FFFFFF"/>
        </w:rPr>
        <w:t> Review employee handbooks, acceptable use policies, and privacy policies to ensure they describe electronic monitoring practices accurately.</w:t>
      </w:r>
    </w:p>
    <w:p w14:paraId="18A03D0B" w14:textId="77777777" w:rsidR="00C6528C" w:rsidRPr="007021C8" w:rsidRDefault="00C6528C" w:rsidP="00C6528C">
      <w:pPr>
        <w:pStyle w:val="ListParagraph"/>
        <w:numPr>
          <w:ilvl w:val="2"/>
          <w:numId w:val="322"/>
        </w:numPr>
        <w:spacing w:after="0" w:line="276" w:lineRule="auto"/>
        <w:ind w:left="1350"/>
        <w:rPr>
          <w:shd w:val="clear" w:color="auto" w:fill="FFFFFF"/>
        </w:rPr>
      </w:pPr>
      <w:r w:rsidRPr="007021C8">
        <w:rPr>
          <w:b/>
          <w:bCs/>
          <w:shd w:val="clear" w:color="auto" w:fill="FFFFFF"/>
        </w:rPr>
        <w:t xml:space="preserve">Bring-Your-Own-Device Policies - </w:t>
      </w:r>
      <w:r w:rsidRPr="007021C8">
        <w:rPr>
          <w:shd w:val="clear" w:color="auto" w:fill="FFFFFF"/>
        </w:rPr>
        <w:t>Consider how LD 61 may impact the use of such policies, and how to work with employees that decline to install monitoring software on their personal devices.</w:t>
      </w:r>
    </w:p>
    <w:p w14:paraId="565286D1" w14:textId="77777777" w:rsidR="00C6528C" w:rsidRPr="007021C8"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Notice protocols -</w:t>
      </w:r>
      <w:r w:rsidRPr="007021C8">
        <w:rPr>
          <w:shd w:val="clear" w:color="auto" w:fill="FFFFFF"/>
        </w:rPr>
        <w:t> Implement notice policies and procedures for current employees and for job applicants.</w:t>
      </w:r>
    </w:p>
    <w:p w14:paraId="3972955C" w14:textId="7C30660A" w:rsidR="00C6528C"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Training and documentation -</w:t>
      </w:r>
      <w:r w:rsidRPr="007021C8">
        <w:rPr>
          <w:shd w:val="clear" w:color="auto" w:fill="FFFFFF"/>
        </w:rPr>
        <w:t> Train on new obligations and maintain documentation of employee notices and acknowledgments.</w:t>
      </w:r>
    </w:p>
    <w:p w14:paraId="6A999EF1" w14:textId="77777777" w:rsidR="00C6528C" w:rsidRPr="00C6528C" w:rsidRDefault="00C6528C" w:rsidP="00C6528C">
      <w:pPr>
        <w:pStyle w:val="ListParagraph"/>
        <w:spacing w:after="0" w:line="276" w:lineRule="auto"/>
        <w:ind w:left="810"/>
        <w:rPr>
          <w:shd w:val="clear" w:color="auto" w:fill="FFFFFF"/>
        </w:rPr>
      </w:pPr>
    </w:p>
    <w:p w14:paraId="751BEC0C" w14:textId="03143645" w:rsidR="00E07A37" w:rsidRDefault="00E07A37" w:rsidP="00E07A37">
      <w:pPr>
        <w:jc w:val="center"/>
        <w:rPr>
          <w:b/>
          <w:bCs/>
          <w:caps/>
          <w:noProof/>
          <w:color w:val="0E425C"/>
          <w:sz w:val="26"/>
          <w:szCs w:val="26"/>
        </w:rPr>
      </w:pPr>
      <w:r w:rsidRPr="009D398E">
        <w:rPr>
          <w:b/>
          <w:bCs/>
          <w:caps/>
          <w:color w:val="0070C0"/>
          <w:sz w:val="26"/>
          <w:szCs w:val="26"/>
        </w:rPr>
        <w:t xml:space="preserve">New! </w:t>
      </w:r>
      <w:r>
        <w:rPr>
          <w:b/>
          <w:bCs/>
          <w:caps/>
          <w:noProof/>
          <w:color w:val="0E425C"/>
          <w:sz w:val="26"/>
          <w:szCs w:val="26"/>
        </w:rPr>
        <w:t xml:space="preserve">StAte Enacts Wage Transparency Regulations Effective </w:t>
      </w:r>
      <w:r w:rsidRPr="00185826">
        <w:rPr>
          <w:b/>
          <w:bCs/>
          <w:caps/>
          <w:color w:val="0070C0"/>
          <w:sz w:val="26"/>
          <w:szCs w:val="26"/>
        </w:rPr>
        <w:t>JUly 1, 2026</w:t>
      </w:r>
    </w:p>
    <w:p w14:paraId="4B3B78FA" w14:textId="77777777" w:rsidR="00E07A37" w:rsidRDefault="00E07A37" w:rsidP="00E07A37">
      <w:r w:rsidRPr="0079289B">
        <w:t xml:space="preserve">The enactment of </w:t>
      </w:r>
      <w:hyperlink r:id="rId780" w:history="1">
        <w:r w:rsidRPr="009D398E">
          <w:rPr>
            <w:rStyle w:val="Hyperlink"/>
          </w:rPr>
          <w:t>LD 54,</w:t>
        </w:r>
      </w:hyperlink>
      <w:r>
        <w:t xml:space="preserve"> Maine will mandate wage </w:t>
      </w:r>
      <w:r w:rsidRPr="005A7DBC">
        <w:t>transparency in job postings. </w:t>
      </w:r>
      <w:r>
        <w:t>A</w:t>
      </w:r>
      <w:r w:rsidRPr="00CC59BE">
        <w:t xml:space="preserve">ll employers with 10 or more employees </w:t>
      </w:r>
      <w:r>
        <w:t>will be required to</w:t>
      </w:r>
      <w:r w:rsidRPr="00CC59BE">
        <w:t xml:space="preserve"> include a prospective “range of pay” in any job posting. </w:t>
      </w:r>
      <w:r w:rsidRPr="00075034">
        <w:t>The new law covers electronic and printed job postings made by an employer directly or through a third party. In addition to mandating wage transparency in job postings, LD 54 also requires that upon the request of an employee, an employer shall disclose the range of pay the employer offers for the position the employee currently holds. </w:t>
      </w:r>
    </w:p>
    <w:p w14:paraId="439CE8F6" w14:textId="77777777" w:rsidR="00E07A37" w:rsidRPr="00CC59BE" w:rsidRDefault="00E07A37" w:rsidP="00E07A37">
      <w:r w:rsidRPr="00CC59BE">
        <w:t>The law defines “range of pay” as:</w:t>
      </w:r>
    </w:p>
    <w:p w14:paraId="75A1EC8C" w14:textId="77777777" w:rsidR="00E07A37" w:rsidRPr="006C4A7E" w:rsidRDefault="00E07A37" w:rsidP="00E07A37">
      <w:pPr>
        <w:rPr>
          <w:i/>
          <w:iCs/>
        </w:rPr>
      </w:pPr>
      <w:r w:rsidRPr="006C4A7E">
        <w:rPr>
          <w:i/>
          <w:iCs/>
        </w:rPr>
        <w:t>the range of pay that an employer anticipates relying on in setting wages for a position, including, but not limited to:</w:t>
      </w:r>
    </w:p>
    <w:p w14:paraId="5FFCA620" w14:textId="77777777" w:rsidR="00E07A37" w:rsidRPr="00CC59BE" w:rsidRDefault="00E07A37" w:rsidP="00E07A37">
      <w:r w:rsidRPr="00CC59BE">
        <w:t>(1) Any applicable pay scale; </w:t>
      </w:r>
    </w:p>
    <w:p w14:paraId="7A7E0FC9" w14:textId="77777777" w:rsidR="00E07A37" w:rsidRPr="00CC59BE" w:rsidRDefault="00E07A37" w:rsidP="00E07A37">
      <w:r w:rsidRPr="00CC59BE">
        <w:t>(2) A previously determined range of wages for the position; </w:t>
      </w:r>
    </w:p>
    <w:p w14:paraId="51307D04" w14:textId="77777777" w:rsidR="00E07A37" w:rsidRPr="00CC59BE" w:rsidRDefault="00E07A37" w:rsidP="00E07A37">
      <w:r w:rsidRPr="00CC59BE">
        <w:t>(3) The actual range of wages for those currently holding equivalent positions; or </w:t>
      </w:r>
    </w:p>
    <w:p w14:paraId="4C38EAFA" w14:textId="77777777" w:rsidR="00E07A37" w:rsidRPr="00CC59BE" w:rsidRDefault="00E07A37" w:rsidP="00E07A37">
      <w:r w:rsidRPr="00CC59BE">
        <w:t>(4) The budgeted amount for the position.</w:t>
      </w:r>
    </w:p>
    <w:p w14:paraId="3E9B6192" w14:textId="77777777" w:rsidR="00E07A37" w:rsidRDefault="00E07A37" w:rsidP="00E07A37">
      <w:r w:rsidRPr="00CC59BE">
        <w:t>26 MRSA §622-A(1)(B). </w:t>
      </w:r>
    </w:p>
    <w:p w14:paraId="6B76A7B5" w14:textId="032E3B9B" w:rsidR="001E43A5" w:rsidRDefault="00E07A37" w:rsidP="00E07A37">
      <w:r>
        <w:t>Employer Takeaway: Covered employers should review any current (as of July) job postings to ensure required disclosure of pay ranges and update processes to ensure future job postings meet compliance requirements.</w:t>
      </w:r>
    </w:p>
    <w:p w14:paraId="4A2B8A9E" w14:textId="77777777" w:rsidR="001E43A5" w:rsidRDefault="001E43A5" w:rsidP="001E43A5">
      <w:pPr>
        <w:jc w:val="center"/>
        <w:rPr>
          <w:b/>
          <w:bCs/>
          <w:caps/>
          <w:noProof/>
          <w:color w:val="0E425C"/>
          <w:sz w:val="28"/>
          <w:szCs w:val="28"/>
        </w:rPr>
      </w:pPr>
      <w:r w:rsidRPr="0000153A">
        <w:rPr>
          <w:b/>
          <w:bCs/>
          <w:caps/>
          <w:noProof/>
          <w:color w:val="0E425C"/>
          <w:sz w:val="26"/>
          <w:szCs w:val="26"/>
        </w:rPr>
        <w:t>State Paid Family &amp; medical Leave Benefits Effective</w:t>
      </w:r>
      <w:r>
        <w:rPr>
          <w:b/>
          <w:bCs/>
          <w:caps/>
          <w:noProof/>
          <w:color w:val="0E425C"/>
          <w:sz w:val="28"/>
          <w:szCs w:val="28"/>
        </w:rPr>
        <w:t xml:space="preserve"> </w:t>
      </w:r>
      <w:r w:rsidRPr="0000153A">
        <w:rPr>
          <w:b/>
          <w:bCs/>
          <w:caps/>
          <w:color w:val="0070C0"/>
          <w:sz w:val="26"/>
          <w:szCs w:val="26"/>
        </w:rPr>
        <w:t>May 1, 2026</w:t>
      </w:r>
    </w:p>
    <w:p w14:paraId="0371BD52" w14:textId="77777777" w:rsidR="001E43A5" w:rsidRPr="004D382C" w:rsidRDefault="001E43A5" w:rsidP="001E43A5">
      <w:r w:rsidRPr="004D382C">
        <w:lastRenderedPageBreak/>
        <w:t>As a reminder, Maine’s paid family and medical leave (PFML) benefits will be available to employees beginning May 1, 2026. Employees who work for at least 120 consecutive calendar days prior to taking leave will generally be entitled to job protection.</w:t>
      </w:r>
    </w:p>
    <w:p w14:paraId="3D78B82C" w14:textId="77777777" w:rsidR="001E43A5" w:rsidRPr="004D382C" w:rsidRDefault="001E43A5" w:rsidP="001E43A5">
      <w:r w:rsidRPr="004D382C">
        <w:rPr>
          <w:b/>
          <w:bCs/>
        </w:rPr>
        <w:t>Notice and Posting</w:t>
      </w:r>
      <w:r>
        <w:rPr>
          <w:b/>
          <w:bCs/>
        </w:rPr>
        <w:t xml:space="preserve"> Requirements</w:t>
      </w:r>
    </w:p>
    <w:p w14:paraId="5B3E5177" w14:textId="77777777" w:rsidR="001E43A5" w:rsidRPr="004D382C" w:rsidRDefault="001E43A5">
      <w:pPr>
        <w:pStyle w:val="ListParagraph"/>
        <w:numPr>
          <w:ilvl w:val="0"/>
          <w:numId w:val="334"/>
        </w:numPr>
        <w:spacing w:after="100" w:line="276" w:lineRule="auto"/>
      </w:pPr>
      <w:r w:rsidRPr="004D382C">
        <w:t xml:space="preserve">Employers are required to provide new hires with a written notice within 30 days of hire in the employee’s primary language. </w:t>
      </w:r>
    </w:p>
    <w:p w14:paraId="00C82823" w14:textId="77777777" w:rsidR="001E43A5" w:rsidRPr="004D382C" w:rsidRDefault="001E43A5">
      <w:pPr>
        <w:pStyle w:val="ListParagraph"/>
        <w:numPr>
          <w:ilvl w:val="0"/>
          <w:numId w:val="334"/>
        </w:numPr>
        <w:spacing w:after="100" w:line="276" w:lineRule="auto"/>
      </w:pPr>
      <w:r w:rsidRPr="004D382C">
        <w:t>Employers are required to display a poster in a conspicuous place in English and in any language that is the primary language of at least three employees</w:t>
      </w:r>
    </w:p>
    <w:p w14:paraId="19B87B64" w14:textId="77777777" w:rsidR="001E43A5" w:rsidRPr="004D382C" w:rsidRDefault="001E43A5">
      <w:pPr>
        <w:pStyle w:val="ListParagraph"/>
        <w:numPr>
          <w:ilvl w:val="0"/>
          <w:numId w:val="334"/>
        </w:numPr>
        <w:spacing w:after="100" w:line="276" w:lineRule="auto"/>
      </w:pPr>
      <w:r w:rsidRPr="004D382C">
        <w:t>See State Labor Notice Updates Section in April’s HR WIRE to access Notices</w:t>
      </w:r>
    </w:p>
    <w:p w14:paraId="7D51E783" w14:textId="2CDC7C43" w:rsidR="001E43A5" w:rsidRPr="00E07A37" w:rsidRDefault="001E43A5" w:rsidP="00E07A37">
      <w:r w:rsidRPr="00BE0AA9">
        <w:t xml:space="preserve">ETC released </w:t>
      </w:r>
      <w:r>
        <w:t>an</w:t>
      </w:r>
      <w:r w:rsidRPr="00BE0AA9">
        <w:t xml:space="preserve"> updated </w:t>
      </w:r>
      <w:r w:rsidRPr="00BE0AA9">
        <w:rPr>
          <w:b/>
          <w:bCs/>
        </w:rPr>
        <w:t>State Handbook Addendum</w:t>
      </w:r>
      <w:r w:rsidRPr="00BE0AA9">
        <w:t xml:space="preserve"> </w:t>
      </w:r>
      <w:r>
        <w:t>which includes the</w:t>
      </w:r>
      <w:r w:rsidRPr="00BE0AA9">
        <w:t xml:space="preserve"> State PFML Policy, February 2026  </w:t>
      </w:r>
    </w:p>
    <w:p w14:paraId="5670EDD3" w14:textId="14AC2BAD" w:rsidR="00127BCE" w:rsidRPr="00DD7BD1" w:rsidRDefault="00127BCE" w:rsidP="00943075">
      <w:pPr>
        <w:spacing w:after="0" w:line="240" w:lineRule="auto"/>
        <w:ind w:left="108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w:t>
      </w:r>
      <w:r w:rsidRPr="00DD7BD1">
        <w:rPr>
          <w:rFonts w:ascii="Calibri" w:hAnsi="Calibri" w:cs="Calibri"/>
          <w:b/>
          <w:bCs/>
          <w:sz w:val="28"/>
          <w:szCs w:val="28"/>
          <w:shd w:val="clear" w:color="auto" w:fill="FFFFFF"/>
          <w:lang w:val="en"/>
        </w:rPr>
        <w:t xml:space="preserve"> New Restrictions on Workplace Monitoring – </w:t>
      </w:r>
      <w:r w:rsidRPr="00DD7BD1">
        <w:rPr>
          <w:rFonts w:ascii="Calibri" w:hAnsi="Calibri" w:cs="Calibri"/>
          <w:b/>
          <w:bCs/>
          <w:color w:val="C00000"/>
          <w:sz w:val="28"/>
          <w:szCs w:val="28"/>
          <w:shd w:val="clear" w:color="auto" w:fill="FFFFFF"/>
          <w:lang w:val="en"/>
        </w:rPr>
        <w:t>Expected July 2026</w:t>
      </w:r>
    </w:p>
    <w:p w14:paraId="4560ADAA"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DD7BD1">
        <w:rPr>
          <w:rFonts w:ascii="Calibri" w:hAnsi="Calibri" w:cs="Calibri"/>
          <w:b/>
          <w:bCs/>
          <w:shd w:val="clear" w:color="auto" w:fill="FFFFFF"/>
        </w:rPr>
        <w:t xml:space="preserve"> An Act to Regulate Employer Surveillance to Protect Workers </w:t>
      </w:r>
      <w:r w:rsidRPr="00DD7BD1">
        <w:rPr>
          <w:rFonts w:ascii="Calibri" w:hAnsi="Calibri" w:cs="Calibri"/>
          <w:shd w:val="clear" w:color="auto" w:fill="FFFFFF"/>
        </w:rPr>
        <w:t>(</w:t>
      </w:r>
      <w:hyperlink r:id="rId781" w:history="1">
        <w:r w:rsidRPr="00DD7BD1">
          <w:rPr>
            <w:rStyle w:val="Hyperlink"/>
            <w:rFonts w:ascii="Calibri" w:hAnsi="Calibri" w:cs="Calibri"/>
            <w:shd w:val="clear" w:color="auto" w:fill="FFFFFF"/>
          </w:rPr>
          <w:t>LD 61</w:t>
        </w:r>
      </w:hyperlink>
      <w:r w:rsidRPr="00DD7BD1">
        <w:rPr>
          <w:rFonts w:ascii="Calibri" w:hAnsi="Calibri" w:cs="Calibri"/>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8F32FD2" w14:textId="77777777" w:rsidR="00127BCE" w:rsidRPr="00DD7BD1" w:rsidRDefault="00127BCE" w:rsidP="00660A2F">
      <w:pPr>
        <w:spacing w:after="0" w:line="240" w:lineRule="auto"/>
        <w:rPr>
          <w:rFonts w:ascii="Calibri" w:hAnsi="Calibri" w:cs="Calibri"/>
          <w:sz w:val="16"/>
          <w:szCs w:val="16"/>
          <w:shd w:val="clear" w:color="auto" w:fill="FFFFFF"/>
        </w:rPr>
      </w:pPr>
    </w:p>
    <w:p w14:paraId="147E55B2"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DAA4F4D"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19B11B4F" w14:textId="77777777" w:rsidR="00127BCE" w:rsidRPr="00DD7BD1" w:rsidRDefault="00127BCE" w:rsidP="00660A2F">
      <w:pPr>
        <w:spacing w:after="0" w:line="240" w:lineRule="auto"/>
        <w:rPr>
          <w:rFonts w:ascii="Calibri" w:hAnsi="Calibri" w:cs="Calibri"/>
          <w:sz w:val="16"/>
          <w:szCs w:val="16"/>
          <w:shd w:val="clear" w:color="auto" w:fill="FFFFFF"/>
        </w:rPr>
      </w:pPr>
    </w:p>
    <w:p w14:paraId="3A71737A"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Banned Practices and Notice Requirements</w:t>
      </w:r>
    </w:p>
    <w:p w14:paraId="2D67D7A1"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prohibits certain practices by employers. That includes:</w:t>
      </w:r>
    </w:p>
    <w:p w14:paraId="03C7F9D5" w14:textId="77777777" w:rsidR="00127BCE" w:rsidRPr="00DD7BD1" w:rsidRDefault="00127BCE">
      <w:pPr>
        <w:numPr>
          <w:ilvl w:val="0"/>
          <w:numId w:val="320"/>
        </w:numPr>
        <w:spacing w:after="0" w:line="240" w:lineRule="auto"/>
        <w:ind w:left="810"/>
        <w:rPr>
          <w:rFonts w:ascii="Calibri" w:hAnsi="Calibri" w:cs="Calibri"/>
          <w:shd w:val="clear" w:color="auto" w:fill="FFFFFF"/>
        </w:rPr>
      </w:pPr>
      <w:r w:rsidRPr="00DD7BD1">
        <w:rPr>
          <w:rFonts w:ascii="Calibri" w:hAnsi="Calibri" w:cs="Calibri"/>
          <w:shd w:val="clear" w:color="auto" w:fill="FFFFFF"/>
        </w:rPr>
        <w:t>Engaging in surveillance in an employee’s home, on the employee’s personal property, or in the employee’s personal vehicle, unless such surveillance is required or necessary for the employee’s job duties.</w:t>
      </w:r>
    </w:p>
    <w:p w14:paraId="29C818A7" w14:textId="77777777" w:rsidR="00127BCE" w:rsidRPr="00DD7BD1" w:rsidRDefault="00127BCE">
      <w:pPr>
        <w:numPr>
          <w:ilvl w:val="0"/>
          <w:numId w:val="320"/>
        </w:numPr>
        <w:spacing w:after="0" w:line="240" w:lineRule="auto"/>
        <w:ind w:left="810"/>
        <w:rPr>
          <w:rFonts w:ascii="Calibri" w:hAnsi="Calibri" w:cs="Calibri"/>
          <w:shd w:val="clear" w:color="auto" w:fill="FFFFFF"/>
        </w:rPr>
      </w:pPr>
      <w:proofErr w:type="gramStart"/>
      <w:r w:rsidRPr="00DD7BD1">
        <w:rPr>
          <w:rFonts w:ascii="Calibri" w:hAnsi="Calibri" w:cs="Calibri"/>
          <w:shd w:val="clear" w:color="auto" w:fill="FFFFFF"/>
        </w:rPr>
        <w:t>Requiring</w:t>
      </w:r>
      <w:proofErr w:type="gramEnd"/>
      <w:r w:rsidRPr="00DD7BD1">
        <w:rPr>
          <w:rFonts w:ascii="Calibri" w:hAnsi="Calibri" w:cs="Calibri"/>
          <w:shd w:val="clear" w:color="auto" w:fill="FFFFFF"/>
        </w:rPr>
        <w:t xml:space="preserve"> their staff to install data collecting software on their personal devices. The law allows employees to decline an employer’s request to install such applications on their device.</w:t>
      </w:r>
    </w:p>
    <w:p w14:paraId="7C6681F3" w14:textId="77777777" w:rsidR="00127BCE" w:rsidRPr="00DD7BD1" w:rsidRDefault="00127BCE" w:rsidP="00660A2F">
      <w:pPr>
        <w:spacing w:after="0" w:line="240" w:lineRule="auto"/>
        <w:ind w:left="810"/>
        <w:rPr>
          <w:rFonts w:ascii="Calibri" w:hAnsi="Calibri" w:cs="Calibri"/>
          <w:sz w:val="16"/>
          <w:szCs w:val="16"/>
          <w:shd w:val="clear" w:color="auto" w:fill="FFFFFF"/>
        </w:rPr>
      </w:pPr>
    </w:p>
    <w:p w14:paraId="03944BD4" w14:textId="77777777" w:rsidR="00127BCE" w:rsidRPr="00DD7BD1" w:rsidRDefault="00127BCE" w:rsidP="00660A2F">
      <w:pPr>
        <w:spacing w:after="0" w:line="240" w:lineRule="auto"/>
        <w:ind w:left="810"/>
        <w:rPr>
          <w:rFonts w:ascii="Calibri" w:hAnsi="Calibri" w:cs="Calibri"/>
          <w:shd w:val="clear" w:color="auto" w:fill="FFFFFF"/>
        </w:rPr>
      </w:pPr>
      <w:r w:rsidRPr="00DD7BD1">
        <w:rPr>
          <w:rFonts w:ascii="Calibri" w:hAnsi="Calibri" w:cs="Calibri"/>
          <w:shd w:val="clear" w:color="auto" w:fill="FFFFFF"/>
        </w:rPr>
        <w:t>The law also sets out several new disclosure requirements including that employers must:</w:t>
      </w:r>
    </w:p>
    <w:p w14:paraId="6B2DC3ED"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Inform employees before implementing any electronic monitoring</w:t>
      </w:r>
    </w:p>
    <w:p w14:paraId="55C258FA"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Disclose to job applicants that the employer engages in employee monitoring</w:t>
      </w:r>
    </w:p>
    <w:p w14:paraId="1BDC4EA8"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Provide employees with an annual written notice confirming that the company conducts employee surveillance</w:t>
      </w:r>
    </w:p>
    <w:p w14:paraId="6DC242B8" w14:textId="77777777" w:rsidR="00127BCE" w:rsidRPr="00DD7BD1" w:rsidRDefault="00127BCE" w:rsidP="00660A2F">
      <w:pPr>
        <w:spacing w:after="0" w:line="240" w:lineRule="auto"/>
        <w:ind w:left="540"/>
        <w:rPr>
          <w:rFonts w:ascii="Calibri" w:hAnsi="Calibri" w:cs="Calibri"/>
          <w:b/>
          <w:bCs/>
          <w:sz w:val="16"/>
          <w:szCs w:val="16"/>
          <w:shd w:val="clear" w:color="auto" w:fill="FFFFFF"/>
        </w:rPr>
      </w:pPr>
    </w:p>
    <w:p w14:paraId="508675D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Penalties</w:t>
      </w:r>
    </w:p>
    <w:p w14:paraId="5162BF32"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The Maine Department of Labor is authorized to enforce LD 61 and to impose civil penalties for violations, ranging from a minimum of $100 to a maximum of $500 per violation. There is no private right of action.</w:t>
      </w:r>
    </w:p>
    <w:p w14:paraId="544DCD0F" w14:textId="77777777" w:rsidR="00127BCE" w:rsidRPr="00DD7BD1" w:rsidRDefault="00127BCE" w:rsidP="00660A2F">
      <w:pPr>
        <w:spacing w:after="0" w:line="240" w:lineRule="auto"/>
        <w:rPr>
          <w:rFonts w:ascii="Calibri" w:hAnsi="Calibri" w:cs="Calibri"/>
          <w:b/>
          <w:bCs/>
          <w:sz w:val="16"/>
          <w:szCs w:val="16"/>
          <w:shd w:val="clear" w:color="auto" w:fill="FFFFFF"/>
        </w:rPr>
      </w:pPr>
    </w:p>
    <w:p w14:paraId="47C0A7DE"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Looking Ahead</w:t>
      </w:r>
    </w:p>
    <w:p w14:paraId="44F4CD4F"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will become effective 90 days after the close of Maine’s current legislative session. Employers should expect LD 61 to be effective summer 2026, likely July 14.</w:t>
      </w:r>
    </w:p>
    <w:p w14:paraId="7E752B7C" w14:textId="77777777" w:rsidR="00127BCE" w:rsidRPr="00DD7BD1" w:rsidRDefault="00127BCE" w:rsidP="00660A2F">
      <w:pPr>
        <w:spacing w:after="0" w:line="240" w:lineRule="auto"/>
        <w:rPr>
          <w:rFonts w:ascii="Calibri" w:hAnsi="Calibri" w:cs="Calibri"/>
          <w:sz w:val="16"/>
          <w:szCs w:val="16"/>
          <w:shd w:val="clear" w:color="auto" w:fill="FFFFFF"/>
        </w:rPr>
      </w:pPr>
    </w:p>
    <w:p w14:paraId="7012217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299CD63"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Employers operating in Maine or across multiple states should consider:</w:t>
      </w:r>
    </w:p>
    <w:p w14:paraId="616900A4"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Policy updates -</w:t>
      </w:r>
      <w:r w:rsidRPr="00DD7BD1">
        <w:rPr>
          <w:rFonts w:ascii="Calibri" w:hAnsi="Calibri" w:cs="Calibri"/>
          <w:shd w:val="clear" w:color="auto" w:fill="FFFFFF"/>
        </w:rPr>
        <w:t> Review employee handbooks, acceptable use policies, and privacy policies to ensure they describe electronic monitoring practices accurately.</w:t>
      </w:r>
    </w:p>
    <w:p w14:paraId="144A7DD5" w14:textId="77777777" w:rsidR="00127BCE" w:rsidRPr="00DD7BD1" w:rsidRDefault="00127BCE">
      <w:pPr>
        <w:pStyle w:val="ListParagraph"/>
        <w:numPr>
          <w:ilvl w:val="2"/>
          <w:numId w:val="322"/>
        </w:numPr>
        <w:spacing w:after="0" w:line="240" w:lineRule="auto"/>
        <w:ind w:left="1350"/>
        <w:rPr>
          <w:rFonts w:ascii="Calibri" w:hAnsi="Calibri" w:cs="Calibri"/>
          <w:shd w:val="clear" w:color="auto" w:fill="FFFFFF"/>
        </w:rPr>
      </w:pPr>
      <w:r w:rsidRPr="00DD7BD1">
        <w:rPr>
          <w:rFonts w:ascii="Calibri" w:hAnsi="Calibri" w:cs="Calibri"/>
          <w:b/>
          <w:bCs/>
          <w:shd w:val="clear" w:color="auto" w:fill="FFFFFF"/>
        </w:rPr>
        <w:t xml:space="preserve">Bring-Your-Own-Device Policies - </w:t>
      </w:r>
      <w:r w:rsidRPr="00DD7BD1">
        <w:rPr>
          <w:rFonts w:ascii="Calibri" w:hAnsi="Calibri" w:cs="Calibri"/>
          <w:shd w:val="clear" w:color="auto" w:fill="FFFFFF"/>
        </w:rPr>
        <w:t>Consider how LD 61 may impact the use of such policies, and how to work with employees that decline to install monitoring software on their personal devices.</w:t>
      </w:r>
    </w:p>
    <w:p w14:paraId="08CA0E3A"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lastRenderedPageBreak/>
        <w:t>Notice protocols -</w:t>
      </w:r>
      <w:r w:rsidRPr="00DD7BD1">
        <w:rPr>
          <w:rFonts w:ascii="Calibri" w:hAnsi="Calibri" w:cs="Calibri"/>
          <w:shd w:val="clear" w:color="auto" w:fill="FFFFFF"/>
        </w:rPr>
        <w:t> Implement notice policies and procedures for current employees and for job applicants.</w:t>
      </w:r>
    </w:p>
    <w:p w14:paraId="4A90833D"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Training and documentation -</w:t>
      </w:r>
      <w:r w:rsidRPr="00DD7BD1">
        <w:rPr>
          <w:rFonts w:ascii="Calibri" w:hAnsi="Calibri" w:cs="Calibri"/>
          <w:shd w:val="clear" w:color="auto" w:fill="FFFFFF"/>
        </w:rPr>
        <w:t> Train on new obligations and maintain documentation of employee notices and acknowledgments.</w:t>
      </w:r>
    </w:p>
    <w:p w14:paraId="00DB161E" w14:textId="77777777" w:rsidR="00092274" w:rsidRPr="00DD7BD1" w:rsidRDefault="00092274" w:rsidP="00C2099D">
      <w:pPr>
        <w:spacing w:after="0" w:line="240" w:lineRule="auto"/>
        <w:jc w:val="center"/>
        <w:rPr>
          <w:rFonts w:ascii="Calibri" w:hAnsi="Calibri" w:cs="Calibri"/>
          <w:b/>
          <w:bCs/>
          <w:shd w:val="clear" w:color="auto" w:fill="FFFFFF"/>
          <w:lang w:val="en"/>
        </w:rPr>
      </w:pPr>
    </w:p>
    <w:p w14:paraId="2DD31715" w14:textId="227BC256" w:rsidR="00C2099D" w:rsidRPr="00DD7BD1" w:rsidRDefault="00C2099D" w:rsidP="00C2099D">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Jan 1, 2026</w:t>
      </w:r>
    </w:p>
    <w:p w14:paraId="16295A8C"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Statewide</w:t>
      </w:r>
      <w:r w:rsidRPr="00DD7BD1">
        <w:rPr>
          <w:rFonts w:ascii="Calibri" w:hAnsi="Calibri" w:cs="Calibri"/>
          <w:shd w:val="clear" w:color="auto" w:fill="FFFFFF"/>
        </w:rPr>
        <w:t xml:space="preserve">: The minimum wage in Maine will increase to $15.10 per hour. The minimum base wage for tipped employees will increase to $7.55 per hour. Additionally, the minimum amount a tipped employee needs to earn through tips alone </w:t>
      </w:r>
      <w:proofErr w:type="gramStart"/>
      <w:r w:rsidRPr="00DD7BD1">
        <w:rPr>
          <w:rFonts w:ascii="Calibri" w:hAnsi="Calibri" w:cs="Calibri"/>
          <w:shd w:val="clear" w:color="auto" w:fill="FFFFFF"/>
        </w:rPr>
        <w:t>in order for</w:t>
      </w:r>
      <w:proofErr w:type="gramEnd"/>
      <w:r w:rsidRPr="00DD7BD1">
        <w:rPr>
          <w:rFonts w:ascii="Calibri" w:hAnsi="Calibri" w:cs="Calibri"/>
          <w:shd w:val="clear" w:color="auto" w:fill="FFFFFF"/>
        </w:rPr>
        <w:t xml:space="preserve"> the employer to take a tip credit will increase to $191 per month.</w:t>
      </w:r>
    </w:p>
    <w:p w14:paraId="4B835F23"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shd w:val="clear" w:color="auto" w:fill="FFFFFF"/>
        </w:rPr>
        <w:t>The minimum salary for exempt executive, administrative, and professional employees will increase to $871.16 per week, or $45,300.32 per year.</w:t>
      </w:r>
    </w:p>
    <w:p w14:paraId="09E596FD"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Portland</w:t>
      </w:r>
      <w:r w:rsidRPr="00DD7BD1">
        <w:rPr>
          <w:rFonts w:ascii="Calibri" w:hAnsi="Calibri" w:cs="Calibri"/>
          <w:shd w:val="clear" w:color="auto" w:fill="FFFFFF"/>
        </w:rPr>
        <w:t>: The minimum wage in Portland will increase to $16.75 per hour. The minimum base wage for tipped employees will increase to $8.38 per hour.</w:t>
      </w:r>
    </w:p>
    <w:p w14:paraId="47DE1026"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Rockland</w:t>
      </w:r>
      <w:r w:rsidRPr="00DD7BD1">
        <w:rPr>
          <w:rFonts w:ascii="Calibri" w:hAnsi="Calibri" w:cs="Calibri"/>
          <w:shd w:val="clear" w:color="auto" w:fill="FFFFFF"/>
        </w:rPr>
        <w:t>: The minimum wage in Rockland for employers with 26 or more employees will increase to $16 per hour, and the minimum base wage for tipped employees will increase to $8 per hour. Smaller employers can pay the state minimum wage and tipped employee base wage.</w:t>
      </w:r>
    </w:p>
    <w:p w14:paraId="241AA906" w14:textId="77777777" w:rsidR="00C2099D" w:rsidRPr="00DD7BD1" w:rsidRDefault="00C2099D" w:rsidP="00F9575D">
      <w:pPr>
        <w:spacing w:after="0" w:line="240" w:lineRule="auto"/>
        <w:ind w:right="-274"/>
        <w:jc w:val="center"/>
        <w:rPr>
          <w:rFonts w:ascii="Calibri" w:hAnsi="Calibri" w:cs="Calibri"/>
          <w:b/>
          <w:bCs/>
          <w:shd w:val="clear" w:color="auto" w:fill="FFFFFF"/>
        </w:rPr>
      </w:pPr>
    </w:p>
    <w:p w14:paraId="0444D62F" w14:textId="57C46319" w:rsidR="00F9575D" w:rsidRPr="00DD7BD1" w:rsidRDefault="00F9575D" w:rsidP="00F9575D">
      <w:pPr>
        <w:spacing w:after="0" w:line="240" w:lineRule="auto"/>
        <w:ind w:right="-274"/>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Reporting Time Pay &amp; Updates Earned Paid Leave – Eff </w:t>
      </w:r>
      <w:r w:rsidRPr="00DD7BD1">
        <w:rPr>
          <w:rFonts w:ascii="Calibri" w:hAnsi="Calibri" w:cs="Calibri"/>
          <w:b/>
          <w:bCs/>
          <w:color w:val="C00000"/>
          <w:sz w:val="28"/>
          <w:szCs w:val="28"/>
          <w:shd w:val="clear" w:color="auto" w:fill="FFFFFF"/>
        </w:rPr>
        <w:t>Sept 24, 2025</w:t>
      </w:r>
    </w:p>
    <w:p w14:paraId="5FD969E4"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Reporting Time Pay</w:t>
      </w:r>
    </w:p>
    <w:p w14:paraId="32C03F19"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 xml:space="preserve">Employers with </w:t>
      </w:r>
      <w:r w:rsidRPr="00DD7BD1">
        <w:rPr>
          <w:rFonts w:cs="Calibri"/>
          <w:color w:val="auto"/>
          <w:w w:val="110"/>
          <w:szCs w:val="22"/>
          <w:u w:val="single"/>
        </w:rPr>
        <w:t>10 or more employees</w:t>
      </w:r>
      <w:r w:rsidRPr="00DD7BD1">
        <w:rPr>
          <w:rFonts w:cs="Calibri"/>
          <w:color w:val="auto"/>
          <w:w w:val="110"/>
          <w:szCs w:val="22"/>
        </w:rPr>
        <w:t xml:space="preserve"> will need to pay nonexempt employees for reporting to work when the </w:t>
      </w:r>
      <w:r w:rsidRPr="00DD7BD1">
        <w:rPr>
          <w:rFonts w:cs="Calibri"/>
          <w:color w:val="auto"/>
          <w:spacing w:val="-2"/>
          <w:w w:val="110"/>
          <w:szCs w:val="22"/>
        </w:rPr>
        <w:t>employer</w:t>
      </w:r>
      <w:r w:rsidRPr="00DD7BD1">
        <w:rPr>
          <w:rFonts w:cs="Calibri"/>
          <w:color w:val="auto"/>
          <w:spacing w:val="-12"/>
          <w:w w:val="110"/>
          <w:szCs w:val="22"/>
        </w:rPr>
        <w:t xml:space="preserve"> </w:t>
      </w:r>
      <w:r w:rsidRPr="00DD7BD1">
        <w:rPr>
          <w:rFonts w:cs="Calibri"/>
          <w:color w:val="auto"/>
          <w:spacing w:val="-2"/>
          <w:w w:val="110"/>
          <w:szCs w:val="22"/>
        </w:rPr>
        <w:t>cancels</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4"/>
          <w:w w:val="110"/>
          <w:szCs w:val="22"/>
        </w:rPr>
        <w:t xml:space="preserve"> </w:t>
      </w:r>
      <w:r w:rsidRPr="00DD7BD1">
        <w:rPr>
          <w:rFonts w:cs="Calibri"/>
          <w:color w:val="auto"/>
          <w:spacing w:val="-2"/>
          <w:w w:val="110"/>
          <w:szCs w:val="22"/>
        </w:rPr>
        <w:t>reduces</w:t>
      </w:r>
      <w:r w:rsidRPr="00DD7BD1">
        <w:rPr>
          <w:rFonts w:cs="Calibri"/>
          <w:color w:val="auto"/>
          <w:spacing w:val="-11"/>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hours</w:t>
      </w:r>
      <w:r w:rsidRPr="00DD7BD1">
        <w:rPr>
          <w:rFonts w:cs="Calibri"/>
          <w:color w:val="auto"/>
          <w:spacing w:val="-13"/>
          <w:w w:val="110"/>
          <w:szCs w:val="22"/>
        </w:rPr>
        <w:t xml:space="preserve"> </w:t>
      </w:r>
      <w:r w:rsidRPr="00DD7BD1">
        <w:rPr>
          <w:rFonts w:cs="Calibri"/>
          <w:color w:val="auto"/>
          <w:spacing w:val="-2"/>
          <w:w w:val="110"/>
          <w:szCs w:val="22"/>
        </w:rPr>
        <w:t>they</w:t>
      </w:r>
      <w:r w:rsidRPr="00DD7BD1">
        <w:rPr>
          <w:rFonts w:cs="Calibri"/>
          <w:color w:val="auto"/>
          <w:spacing w:val="-11"/>
          <w:w w:val="110"/>
          <w:szCs w:val="22"/>
        </w:rPr>
        <w:t xml:space="preserve"> </w:t>
      </w:r>
      <w:r w:rsidRPr="00DD7BD1">
        <w:rPr>
          <w:rFonts w:cs="Calibri"/>
          <w:color w:val="auto"/>
          <w:spacing w:val="-2"/>
          <w:w w:val="110"/>
          <w:szCs w:val="22"/>
        </w:rPr>
        <w:t>were</w:t>
      </w:r>
      <w:r w:rsidRPr="00DD7BD1">
        <w:rPr>
          <w:rFonts w:cs="Calibri"/>
          <w:color w:val="auto"/>
          <w:spacing w:val="-15"/>
          <w:w w:val="110"/>
          <w:szCs w:val="22"/>
        </w:rPr>
        <w:t xml:space="preserve"> </w:t>
      </w:r>
      <w:r w:rsidRPr="00DD7BD1">
        <w:rPr>
          <w:rFonts w:cs="Calibri"/>
          <w:color w:val="auto"/>
          <w:spacing w:val="-2"/>
          <w:w w:val="110"/>
          <w:szCs w:val="22"/>
        </w:rPr>
        <w:t>scheduled</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1"/>
          <w:w w:val="110"/>
          <w:szCs w:val="22"/>
        </w:rPr>
        <w:t xml:space="preserve"> </w:t>
      </w:r>
      <w:r w:rsidRPr="00DD7BD1">
        <w:rPr>
          <w:rFonts w:cs="Calibri"/>
          <w:color w:val="auto"/>
          <w:spacing w:val="-2"/>
          <w:w w:val="110"/>
          <w:szCs w:val="22"/>
        </w:rPr>
        <w:t>work</w:t>
      </w:r>
      <w:r w:rsidRPr="00DD7BD1">
        <w:rPr>
          <w:rFonts w:cs="Calibri"/>
          <w:color w:val="auto"/>
          <w:spacing w:val="-9"/>
          <w:w w:val="110"/>
          <w:szCs w:val="22"/>
        </w:rPr>
        <w:t xml:space="preserve"> </w:t>
      </w:r>
      <w:r w:rsidRPr="00DD7BD1">
        <w:rPr>
          <w:rFonts w:cs="Calibri"/>
          <w:color w:val="auto"/>
          <w:spacing w:val="-2"/>
          <w:w w:val="110"/>
          <w:szCs w:val="22"/>
        </w:rPr>
        <w:t>under</w:t>
      </w:r>
      <w:r w:rsidRPr="00DD7BD1">
        <w:rPr>
          <w:rFonts w:cs="Calibri"/>
          <w:color w:val="auto"/>
          <w:spacing w:val="-12"/>
          <w:w w:val="110"/>
          <w:szCs w:val="22"/>
        </w:rPr>
        <w:t xml:space="preserve"> </w:t>
      </w:r>
      <w:hyperlink r:id="rId782">
        <w:r w:rsidRPr="00DD7BD1">
          <w:rPr>
            <w:rFonts w:cs="Calibri"/>
            <w:color w:val="0000FF"/>
            <w:spacing w:val="-2"/>
            <w:w w:val="110"/>
            <w:szCs w:val="22"/>
            <w:u w:val="single" w:color="0000FF"/>
          </w:rPr>
          <w:t>S</w:t>
        </w:r>
        <w:r w:rsidRPr="00DD7BD1">
          <w:rPr>
            <w:rFonts w:cs="Calibri"/>
            <w:color w:val="0000FF"/>
            <w:spacing w:val="-13"/>
            <w:w w:val="110"/>
            <w:szCs w:val="22"/>
            <w:u w:val="single" w:color="0000FF"/>
          </w:rPr>
          <w:t xml:space="preserve"> </w:t>
        </w:r>
        <w:r w:rsidRPr="00DD7BD1">
          <w:rPr>
            <w:rFonts w:cs="Calibri"/>
            <w:color w:val="0000FF"/>
            <w:spacing w:val="-2"/>
            <w:w w:val="110"/>
            <w:szCs w:val="22"/>
            <w:u w:val="single" w:color="0000FF"/>
          </w:rPr>
          <w:t>282</w:t>
        </w:r>
      </w:hyperlink>
      <w:r w:rsidRPr="00DD7BD1">
        <w:rPr>
          <w:rFonts w:cs="Calibri"/>
          <w:spacing w:val="-2"/>
          <w:w w:val="110"/>
          <w:szCs w:val="22"/>
        </w:rPr>
        <w:t>.</w:t>
      </w:r>
      <w:r w:rsidRPr="00DD7BD1">
        <w:rPr>
          <w:rFonts w:cs="Calibri"/>
          <w:spacing w:val="-12"/>
          <w:w w:val="110"/>
          <w:szCs w:val="22"/>
        </w:rPr>
        <w:t xml:space="preserve"> </w:t>
      </w:r>
      <w:r w:rsidRPr="00DD7BD1">
        <w:rPr>
          <w:rFonts w:cs="Calibri"/>
          <w:color w:val="auto"/>
          <w:spacing w:val="-2"/>
          <w:w w:val="110"/>
          <w:szCs w:val="22"/>
        </w:rPr>
        <w:t>In</w:t>
      </w:r>
      <w:r w:rsidRPr="00DD7BD1">
        <w:rPr>
          <w:rFonts w:cs="Calibri"/>
          <w:color w:val="auto"/>
          <w:spacing w:val="-12"/>
          <w:w w:val="110"/>
          <w:szCs w:val="22"/>
        </w:rPr>
        <w:t xml:space="preserve"> </w:t>
      </w:r>
      <w:r w:rsidRPr="00DD7BD1">
        <w:rPr>
          <w:rFonts w:cs="Calibri"/>
          <w:color w:val="auto"/>
          <w:spacing w:val="-2"/>
          <w:w w:val="110"/>
          <w:szCs w:val="22"/>
        </w:rPr>
        <w:t>these</w:t>
      </w:r>
      <w:r w:rsidRPr="00DD7BD1">
        <w:rPr>
          <w:rFonts w:cs="Calibri"/>
          <w:color w:val="auto"/>
          <w:spacing w:val="-12"/>
          <w:w w:val="110"/>
          <w:szCs w:val="22"/>
        </w:rPr>
        <w:t xml:space="preserve"> </w:t>
      </w:r>
      <w:r w:rsidRPr="00DD7BD1">
        <w:rPr>
          <w:rFonts w:cs="Calibri"/>
          <w:color w:val="auto"/>
          <w:spacing w:val="-2"/>
          <w:w w:val="110"/>
          <w:szCs w:val="22"/>
        </w:rPr>
        <w:t>cases,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employee</w:t>
      </w:r>
      <w:r w:rsidRPr="00DD7BD1">
        <w:rPr>
          <w:rFonts w:cs="Calibri"/>
          <w:color w:val="auto"/>
          <w:spacing w:val="-15"/>
          <w:w w:val="110"/>
          <w:szCs w:val="22"/>
        </w:rPr>
        <w:t xml:space="preserve"> </w:t>
      </w:r>
      <w:r w:rsidRPr="00DD7BD1">
        <w:rPr>
          <w:rFonts w:cs="Calibri"/>
          <w:color w:val="auto"/>
          <w:spacing w:val="-2"/>
          <w:w w:val="110"/>
          <w:szCs w:val="22"/>
        </w:rPr>
        <w:t xml:space="preserve">must </w:t>
      </w:r>
      <w:r w:rsidRPr="00DD7BD1">
        <w:rPr>
          <w:rFonts w:cs="Calibri"/>
          <w:color w:val="auto"/>
          <w:w w:val="110"/>
          <w:szCs w:val="22"/>
        </w:rPr>
        <w:t>be paid the lesser of:</w:t>
      </w:r>
    </w:p>
    <w:p w14:paraId="144171CF"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Two</w:t>
      </w:r>
      <w:r w:rsidRPr="00DD7BD1">
        <w:rPr>
          <w:rFonts w:ascii="Calibri" w:hAnsi="Calibri" w:cs="Calibri"/>
          <w:spacing w:val="19"/>
        </w:rPr>
        <w:t xml:space="preserve"> </w:t>
      </w:r>
      <w:r w:rsidRPr="00DD7BD1">
        <w:rPr>
          <w:rFonts w:ascii="Calibri" w:hAnsi="Calibri" w:cs="Calibri"/>
        </w:rPr>
        <w:t>hours</w:t>
      </w:r>
      <w:r w:rsidRPr="00DD7BD1">
        <w:rPr>
          <w:rFonts w:ascii="Calibri" w:hAnsi="Calibri" w:cs="Calibri"/>
          <w:spacing w:val="19"/>
        </w:rPr>
        <w:t xml:space="preserve"> </w:t>
      </w:r>
      <w:r w:rsidRPr="00DD7BD1">
        <w:rPr>
          <w:rFonts w:ascii="Calibri" w:hAnsi="Calibri" w:cs="Calibri"/>
        </w:rPr>
        <w:t>of</w:t>
      </w:r>
      <w:r w:rsidRPr="00DD7BD1">
        <w:rPr>
          <w:rFonts w:ascii="Calibri" w:hAnsi="Calibri" w:cs="Calibri"/>
          <w:spacing w:val="17"/>
        </w:rPr>
        <w:t xml:space="preserve"> </w:t>
      </w:r>
      <w:r w:rsidRPr="00DD7BD1">
        <w:rPr>
          <w:rFonts w:ascii="Calibri" w:hAnsi="Calibri" w:cs="Calibri"/>
        </w:rPr>
        <w:t>pay</w:t>
      </w:r>
      <w:r w:rsidRPr="00DD7BD1">
        <w:rPr>
          <w:rFonts w:ascii="Calibri" w:hAnsi="Calibri" w:cs="Calibri"/>
          <w:spacing w:val="20"/>
        </w:rPr>
        <w:t xml:space="preserve"> </w:t>
      </w:r>
      <w:r w:rsidRPr="00DD7BD1">
        <w:rPr>
          <w:rFonts w:ascii="Calibri" w:hAnsi="Calibri" w:cs="Calibri"/>
        </w:rPr>
        <w:t>at</w:t>
      </w:r>
      <w:r w:rsidRPr="00DD7BD1">
        <w:rPr>
          <w:rFonts w:ascii="Calibri" w:hAnsi="Calibri" w:cs="Calibri"/>
          <w:spacing w:val="20"/>
        </w:rPr>
        <w:t xml:space="preserve"> </w:t>
      </w:r>
      <w:r w:rsidRPr="00DD7BD1">
        <w:rPr>
          <w:rFonts w:ascii="Calibri" w:hAnsi="Calibri" w:cs="Calibri"/>
        </w:rPr>
        <w:t>their</w:t>
      </w:r>
      <w:r w:rsidRPr="00DD7BD1">
        <w:rPr>
          <w:rFonts w:ascii="Calibri" w:hAnsi="Calibri" w:cs="Calibri"/>
          <w:spacing w:val="16"/>
        </w:rPr>
        <w:t xml:space="preserve"> </w:t>
      </w:r>
      <w:r w:rsidRPr="00DD7BD1">
        <w:rPr>
          <w:rFonts w:ascii="Calibri" w:hAnsi="Calibri" w:cs="Calibri"/>
        </w:rPr>
        <w:t>regular</w:t>
      </w:r>
      <w:r w:rsidRPr="00DD7BD1">
        <w:rPr>
          <w:rFonts w:ascii="Calibri" w:hAnsi="Calibri" w:cs="Calibri"/>
          <w:spacing w:val="21"/>
        </w:rPr>
        <w:t xml:space="preserve"> </w:t>
      </w:r>
      <w:r w:rsidRPr="00DD7BD1">
        <w:rPr>
          <w:rFonts w:ascii="Calibri" w:hAnsi="Calibri" w:cs="Calibri"/>
        </w:rPr>
        <w:t>hourly</w:t>
      </w:r>
      <w:r w:rsidRPr="00DD7BD1">
        <w:rPr>
          <w:rFonts w:ascii="Calibri" w:hAnsi="Calibri" w:cs="Calibri"/>
          <w:spacing w:val="22"/>
        </w:rPr>
        <w:t xml:space="preserve"> </w:t>
      </w:r>
      <w:r w:rsidRPr="00DD7BD1">
        <w:rPr>
          <w:rFonts w:ascii="Calibri" w:hAnsi="Calibri" w:cs="Calibri"/>
        </w:rPr>
        <w:t>rate</w:t>
      </w:r>
      <w:r w:rsidRPr="00DD7BD1">
        <w:rPr>
          <w:rFonts w:ascii="Calibri" w:hAnsi="Calibri" w:cs="Calibri"/>
          <w:spacing w:val="18"/>
        </w:rPr>
        <w:t xml:space="preserve"> </w:t>
      </w:r>
      <w:r w:rsidRPr="00DD7BD1">
        <w:rPr>
          <w:rFonts w:ascii="Calibri" w:hAnsi="Calibri" w:cs="Calibri"/>
        </w:rPr>
        <w:t>of</w:t>
      </w:r>
      <w:r w:rsidRPr="00DD7BD1">
        <w:rPr>
          <w:rFonts w:ascii="Calibri" w:hAnsi="Calibri" w:cs="Calibri"/>
          <w:spacing w:val="18"/>
        </w:rPr>
        <w:t xml:space="preserve"> </w:t>
      </w:r>
      <w:r w:rsidRPr="00DD7BD1">
        <w:rPr>
          <w:rFonts w:ascii="Calibri" w:hAnsi="Calibri" w:cs="Calibri"/>
          <w:spacing w:val="-5"/>
        </w:rPr>
        <w:t>pay</w:t>
      </w:r>
    </w:p>
    <w:p w14:paraId="2DB7CFDE"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total</w:t>
      </w:r>
      <w:r w:rsidRPr="00DD7BD1">
        <w:rPr>
          <w:rFonts w:ascii="Calibri" w:hAnsi="Calibri" w:cs="Calibri"/>
          <w:spacing w:val="-12"/>
          <w:w w:val="110"/>
        </w:rPr>
        <w:t xml:space="preserve"> </w:t>
      </w:r>
      <w:r w:rsidRPr="00DD7BD1">
        <w:rPr>
          <w:rFonts w:ascii="Calibri" w:hAnsi="Calibri" w:cs="Calibri"/>
          <w:spacing w:val="-2"/>
          <w:w w:val="110"/>
        </w:rPr>
        <w:t>pay</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scheduled</w:t>
      </w:r>
      <w:r w:rsidRPr="00DD7BD1">
        <w:rPr>
          <w:rFonts w:ascii="Calibri" w:hAnsi="Calibri" w:cs="Calibri"/>
          <w:spacing w:val="-10"/>
          <w:w w:val="110"/>
        </w:rPr>
        <w:t xml:space="preserve"> </w:t>
      </w:r>
      <w:r w:rsidRPr="00DD7BD1">
        <w:rPr>
          <w:rFonts w:ascii="Calibri" w:hAnsi="Calibri" w:cs="Calibri"/>
          <w:spacing w:val="-2"/>
          <w:w w:val="110"/>
        </w:rPr>
        <w:t>shift</w:t>
      </w:r>
    </w:p>
    <w:p w14:paraId="7FAE3DED" w14:textId="77777777" w:rsidR="00F9575D" w:rsidRPr="00DD7BD1" w:rsidRDefault="00F9575D" w:rsidP="00F9575D">
      <w:pPr>
        <w:pStyle w:val="Heading4"/>
        <w:spacing w:before="0"/>
        <w:ind w:right="-274"/>
        <w:rPr>
          <w:rFonts w:ascii="Calibri" w:eastAsia="Times New Roman" w:hAnsi="Calibri" w:cs="Calibri"/>
          <w:b/>
          <w:bCs/>
          <w:i w:val="0"/>
          <w:iCs w:val="0"/>
          <w:color w:val="auto"/>
          <w:sz w:val="16"/>
          <w:szCs w:val="16"/>
        </w:rPr>
      </w:pPr>
    </w:p>
    <w:p w14:paraId="5A8ABBD6" w14:textId="77777777" w:rsidR="00F9575D" w:rsidRPr="00DD7BD1" w:rsidRDefault="00F9575D" w:rsidP="00F9575D">
      <w:pPr>
        <w:pStyle w:val="Heading4"/>
        <w:spacing w:before="0"/>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Exceptions</w:t>
      </w:r>
    </w:p>
    <w:p w14:paraId="1754DBA2"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employer</w:t>
      </w:r>
      <w:r w:rsidRPr="00DD7BD1">
        <w:rPr>
          <w:rFonts w:cs="Calibri"/>
          <w:color w:val="auto"/>
          <w:spacing w:val="-9"/>
          <w:w w:val="110"/>
          <w:szCs w:val="22"/>
        </w:rPr>
        <w:t xml:space="preserve"> </w:t>
      </w:r>
      <w:r w:rsidRPr="00DD7BD1">
        <w:rPr>
          <w:rFonts w:cs="Calibri"/>
          <w:color w:val="auto"/>
          <w:spacing w:val="-2"/>
          <w:w w:val="110"/>
          <w:szCs w:val="22"/>
        </w:rPr>
        <w:t>doesn’t</w:t>
      </w:r>
      <w:r w:rsidRPr="00DD7BD1">
        <w:rPr>
          <w:rFonts w:cs="Calibri"/>
          <w:color w:val="auto"/>
          <w:spacing w:val="-12"/>
          <w:w w:val="110"/>
          <w:szCs w:val="22"/>
        </w:rPr>
        <w:t xml:space="preserve"> </w:t>
      </w:r>
      <w:r w:rsidRPr="00DD7BD1">
        <w:rPr>
          <w:rFonts w:cs="Calibri"/>
          <w:color w:val="auto"/>
          <w:spacing w:val="-2"/>
          <w:w w:val="110"/>
          <w:szCs w:val="22"/>
        </w:rPr>
        <w:t>have</w:t>
      </w:r>
      <w:r w:rsidRPr="00DD7BD1">
        <w:rPr>
          <w:rFonts w:cs="Calibri"/>
          <w:color w:val="auto"/>
          <w:spacing w:val="-8"/>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pay</w:t>
      </w:r>
      <w:r w:rsidRPr="00DD7BD1">
        <w:rPr>
          <w:rFonts w:cs="Calibri"/>
          <w:color w:val="auto"/>
          <w:spacing w:val="-8"/>
          <w:w w:val="110"/>
          <w:szCs w:val="22"/>
        </w:rPr>
        <w:t xml:space="preserve"> </w:t>
      </w:r>
      <w:r w:rsidRPr="00DD7BD1">
        <w:rPr>
          <w:rFonts w:cs="Calibri"/>
          <w:color w:val="auto"/>
          <w:spacing w:val="-2"/>
          <w:w w:val="110"/>
          <w:szCs w:val="22"/>
        </w:rPr>
        <w:t>if</w:t>
      </w:r>
      <w:r w:rsidRPr="00DD7BD1">
        <w:rPr>
          <w:rFonts w:cs="Calibri"/>
          <w:color w:val="auto"/>
          <w:spacing w:val="-8"/>
          <w:w w:val="110"/>
          <w:szCs w:val="22"/>
        </w:rPr>
        <w:t xml:space="preserve"> </w:t>
      </w: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10"/>
          <w:w w:val="110"/>
          <w:szCs w:val="22"/>
        </w:rPr>
        <w:t xml:space="preserve"> </w:t>
      </w:r>
      <w:r w:rsidRPr="00DD7BD1">
        <w:rPr>
          <w:rFonts w:cs="Calibri"/>
          <w:color w:val="auto"/>
          <w:spacing w:val="-2"/>
          <w:w w:val="110"/>
          <w:szCs w:val="22"/>
        </w:rPr>
        <w:t>hours</w:t>
      </w:r>
      <w:r w:rsidRPr="00DD7BD1">
        <w:rPr>
          <w:rFonts w:cs="Calibri"/>
          <w:color w:val="auto"/>
          <w:spacing w:val="-8"/>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canceled</w:t>
      </w:r>
      <w:r w:rsidRPr="00DD7BD1">
        <w:rPr>
          <w:rFonts w:cs="Calibri"/>
          <w:color w:val="auto"/>
          <w:spacing w:val="-10"/>
          <w:w w:val="110"/>
          <w:szCs w:val="22"/>
        </w:rPr>
        <w:t xml:space="preserve"> </w:t>
      </w:r>
      <w:r w:rsidRPr="00DD7BD1">
        <w:rPr>
          <w:rFonts w:cs="Calibri"/>
          <w:color w:val="auto"/>
          <w:spacing w:val="-2"/>
          <w:w w:val="110"/>
          <w:szCs w:val="22"/>
        </w:rPr>
        <w:t>or</w:t>
      </w:r>
      <w:r w:rsidRPr="00DD7BD1">
        <w:rPr>
          <w:rFonts w:cs="Calibri"/>
          <w:color w:val="auto"/>
          <w:spacing w:val="-11"/>
          <w:w w:val="110"/>
          <w:szCs w:val="22"/>
        </w:rPr>
        <w:t xml:space="preserve"> </w:t>
      </w:r>
      <w:r w:rsidRPr="00DD7BD1">
        <w:rPr>
          <w:rFonts w:cs="Calibri"/>
          <w:color w:val="auto"/>
          <w:spacing w:val="-2"/>
          <w:w w:val="110"/>
          <w:szCs w:val="22"/>
        </w:rPr>
        <w:t>shortened</w:t>
      </w:r>
      <w:r w:rsidRPr="00DD7BD1">
        <w:rPr>
          <w:rFonts w:cs="Calibri"/>
          <w:color w:val="auto"/>
          <w:spacing w:val="-8"/>
          <w:w w:val="110"/>
          <w:szCs w:val="22"/>
        </w:rPr>
        <w:t xml:space="preserve"> </w:t>
      </w:r>
      <w:r w:rsidRPr="00DD7BD1">
        <w:rPr>
          <w:rFonts w:cs="Calibri"/>
          <w:color w:val="auto"/>
          <w:spacing w:val="-2"/>
          <w:w w:val="110"/>
          <w:szCs w:val="22"/>
        </w:rPr>
        <w:t>due</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8"/>
          <w:w w:val="110"/>
          <w:szCs w:val="22"/>
        </w:rPr>
        <w:t xml:space="preserve"> </w:t>
      </w:r>
      <w:r w:rsidRPr="00DD7BD1">
        <w:rPr>
          <w:rFonts w:cs="Calibri"/>
          <w:color w:val="auto"/>
          <w:spacing w:val="-2"/>
          <w:w w:val="110"/>
          <w:szCs w:val="22"/>
        </w:rPr>
        <w:t>any</w:t>
      </w:r>
      <w:r w:rsidRPr="00DD7BD1">
        <w:rPr>
          <w:rFonts w:cs="Calibri"/>
          <w:color w:val="auto"/>
          <w:spacing w:val="-10"/>
          <w:w w:val="110"/>
          <w:szCs w:val="22"/>
        </w:rPr>
        <w:t xml:space="preserve"> </w:t>
      </w:r>
      <w:r w:rsidRPr="00DD7BD1">
        <w:rPr>
          <w:rFonts w:cs="Calibri"/>
          <w:color w:val="auto"/>
          <w:spacing w:val="-2"/>
          <w:w w:val="110"/>
          <w:szCs w:val="22"/>
        </w:rPr>
        <w:t>of</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following:</w:t>
      </w:r>
    </w:p>
    <w:p w14:paraId="2D7A95FE"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Adverse</w:t>
      </w:r>
      <w:r w:rsidRPr="00DD7BD1">
        <w:rPr>
          <w:rFonts w:ascii="Calibri" w:hAnsi="Calibri" w:cs="Calibri"/>
          <w:spacing w:val="40"/>
        </w:rPr>
        <w:t xml:space="preserve"> </w:t>
      </w:r>
      <w:r w:rsidRPr="00DD7BD1">
        <w:rPr>
          <w:rFonts w:ascii="Calibri" w:hAnsi="Calibri" w:cs="Calibri"/>
        </w:rPr>
        <w:t>weather</w:t>
      </w:r>
      <w:r w:rsidRPr="00DD7BD1">
        <w:rPr>
          <w:rFonts w:ascii="Calibri" w:hAnsi="Calibri" w:cs="Calibri"/>
          <w:spacing w:val="44"/>
        </w:rPr>
        <w:t xml:space="preserve"> </w:t>
      </w:r>
      <w:r w:rsidRPr="00DD7BD1">
        <w:rPr>
          <w:rFonts w:ascii="Calibri" w:hAnsi="Calibri" w:cs="Calibri"/>
          <w:spacing w:val="-2"/>
        </w:rPr>
        <w:t>conditions</w:t>
      </w:r>
    </w:p>
    <w:p w14:paraId="52D8F755"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21"/>
        </w:rPr>
        <w:t xml:space="preserve"> </w:t>
      </w:r>
      <w:r w:rsidRPr="00DD7BD1">
        <w:rPr>
          <w:rFonts w:ascii="Calibri" w:hAnsi="Calibri" w:cs="Calibri"/>
        </w:rPr>
        <w:t>natural</w:t>
      </w:r>
      <w:r w:rsidRPr="00DD7BD1">
        <w:rPr>
          <w:rFonts w:ascii="Calibri" w:hAnsi="Calibri" w:cs="Calibri"/>
          <w:spacing w:val="21"/>
        </w:rPr>
        <w:t xml:space="preserve"> </w:t>
      </w:r>
      <w:r w:rsidRPr="00DD7BD1">
        <w:rPr>
          <w:rFonts w:ascii="Calibri" w:hAnsi="Calibri" w:cs="Calibri"/>
          <w:spacing w:val="-2"/>
        </w:rPr>
        <w:t>disaster</w:t>
      </w:r>
    </w:p>
    <w:p w14:paraId="68954B59"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11"/>
        </w:rPr>
        <w:t xml:space="preserve"> </w:t>
      </w:r>
      <w:r w:rsidRPr="00DD7BD1">
        <w:rPr>
          <w:rFonts w:ascii="Calibri" w:hAnsi="Calibri" w:cs="Calibri"/>
        </w:rPr>
        <w:t>civil</w:t>
      </w:r>
      <w:r w:rsidRPr="00DD7BD1">
        <w:rPr>
          <w:rFonts w:ascii="Calibri" w:hAnsi="Calibri" w:cs="Calibri"/>
          <w:spacing w:val="10"/>
        </w:rPr>
        <w:t xml:space="preserve"> </w:t>
      </w:r>
      <w:r w:rsidRPr="00DD7BD1">
        <w:rPr>
          <w:rFonts w:ascii="Calibri" w:hAnsi="Calibri" w:cs="Calibri"/>
          <w:spacing w:val="-2"/>
        </w:rPr>
        <w:t>emergency</w:t>
      </w:r>
    </w:p>
    <w:p w14:paraId="42787C82"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w w:val="110"/>
        </w:rPr>
        <w:t>An</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illness</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medical</w:t>
      </w:r>
      <w:r w:rsidRPr="00DD7BD1">
        <w:rPr>
          <w:rFonts w:ascii="Calibri" w:hAnsi="Calibri" w:cs="Calibri"/>
          <w:spacing w:val="-10"/>
          <w:w w:val="110"/>
        </w:rPr>
        <w:t xml:space="preserve"> </w:t>
      </w:r>
      <w:r w:rsidRPr="00DD7BD1">
        <w:rPr>
          <w:rFonts w:ascii="Calibri" w:hAnsi="Calibri" w:cs="Calibri"/>
          <w:spacing w:val="-2"/>
          <w:w w:val="110"/>
        </w:rPr>
        <w:t>condition</w:t>
      </w:r>
    </w:p>
    <w:p w14:paraId="234D65A3"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rPr>
        <w:t>An</w:t>
      </w:r>
      <w:r w:rsidRPr="00DD7BD1">
        <w:rPr>
          <w:rFonts w:ascii="Calibri" w:hAnsi="Calibri" w:cs="Calibri"/>
          <w:spacing w:val="40"/>
        </w:rPr>
        <w:t xml:space="preserve"> </w:t>
      </w:r>
      <w:r w:rsidRPr="00DD7BD1">
        <w:rPr>
          <w:rFonts w:ascii="Calibri" w:hAnsi="Calibri" w:cs="Calibri"/>
          <w:spacing w:val="2"/>
        </w:rPr>
        <w:t>employee’s</w:t>
      </w:r>
      <w:r w:rsidRPr="00DD7BD1">
        <w:rPr>
          <w:rFonts w:ascii="Calibri" w:hAnsi="Calibri" w:cs="Calibri"/>
          <w:spacing w:val="40"/>
        </w:rPr>
        <w:t xml:space="preserve"> </w:t>
      </w:r>
      <w:r w:rsidRPr="00DD7BD1">
        <w:rPr>
          <w:rFonts w:ascii="Calibri" w:hAnsi="Calibri" w:cs="Calibri"/>
          <w:spacing w:val="2"/>
        </w:rPr>
        <w:t>workplace</w:t>
      </w:r>
      <w:r w:rsidRPr="00DD7BD1">
        <w:rPr>
          <w:rFonts w:ascii="Calibri" w:hAnsi="Calibri" w:cs="Calibri"/>
          <w:spacing w:val="38"/>
        </w:rPr>
        <w:t xml:space="preserve"> </w:t>
      </w:r>
      <w:r w:rsidRPr="00DD7BD1">
        <w:rPr>
          <w:rFonts w:ascii="Calibri" w:hAnsi="Calibri" w:cs="Calibri"/>
          <w:spacing w:val="-2"/>
        </w:rPr>
        <w:t>injury</w:t>
      </w:r>
    </w:p>
    <w:p w14:paraId="6B40F2F5"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Employers won’t owe reporting time</w:t>
      </w:r>
      <w:r w:rsidRPr="00DD7BD1">
        <w:rPr>
          <w:rFonts w:cs="Calibri"/>
          <w:color w:val="auto"/>
          <w:spacing w:val="-1"/>
          <w:w w:val="110"/>
          <w:szCs w:val="22"/>
        </w:rPr>
        <w:t xml:space="preserve"> </w:t>
      </w:r>
      <w:r w:rsidRPr="00DD7BD1">
        <w:rPr>
          <w:rFonts w:cs="Calibri"/>
          <w:color w:val="auto"/>
          <w:w w:val="110"/>
          <w:szCs w:val="22"/>
        </w:rPr>
        <w:t>pay if they made a</w:t>
      </w:r>
      <w:r w:rsidRPr="00DD7BD1">
        <w:rPr>
          <w:rFonts w:cs="Calibri"/>
          <w:color w:val="auto"/>
          <w:spacing w:val="-2"/>
          <w:w w:val="110"/>
          <w:szCs w:val="22"/>
        </w:rPr>
        <w:t xml:space="preserve"> </w:t>
      </w:r>
      <w:r w:rsidRPr="00DD7BD1">
        <w:rPr>
          <w:rFonts w:cs="Calibri"/>
          <w:color w:val="auto"/>
          <w:w w:val="110"/>
          <w:szCs w:val="22"/>
        </w:rPr>
        <w:t>documented, good faith, and successful</w:t>
      </w:r>
      <w:r w:rsidRPr="00DD7BD1">
        <w:rPr>
          <w:rFonts w:cs="Calibri"/>
          <w:color w:val="auto"/>
          <w:spacing w:val="-2"/>
          <w:w w:val="110"/>
          <w:szCs w:val="22"/>
        </w:rPr>
        <w:t xml:space="preserve"> </w:t>
      </w:r>
      <w:r w:rsidRPr="00DD7BD1">
        <w:rPr>
          <w:rFonts w:cs="Calibri"/>
          <w:color w:val="auto"/>
          <w:w w:val="110"/>
          <w:szCs w:val="22"/>
        </w:rPr>
        <w:t>attempt to notify 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7"/>
          <w:w w:val="110"/>
          <w:szCs w:val="22"/>
        </w:rPr>
        <w:t xml:space="preserve"> </w:t>
      </w:r>
      <w:r w:rsidRPr="00DD7BD1">
        <w:rPr>
          <w:rFonts w:cs="Calibri"/>
          <w:color w:val="auto"/>
          <w:w w:val="110"/>
          <w:szCs w:val="22"/>
        </w:rPr>
        <w:t>If</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arrives</w:t>
      </w:r>
      <w:r w:rsidRPr="00DD7BD1">
        <w:rPr>
          <w:rFonts w:cs="Calibri"/>
          <w:color w:val="auto"/>
          <w:spacing w:val="-16"/>
          <w:w w:val="110"/>
          <w:szCs w:val="22"/>
        </w:rPr>
        <w:t xml:space="preserve"> </w:t>
      </w:r>
      <w:r w:rsidRPr="00DD7BD1">
        <w:rPr>
          <w:rFonts w:cs="Calibri"/>
          <w:color w:val="auto"/>
          <w:w w:val="110"/>
          <w:szCs w:val="22"/>
        </w:rPr>
        <w:t>before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reach</w:t>
      </w:r>
      <w:r w:rsidRPr="00DD7BD1">
        <w:rPr>
          <w:rFonts w:cs="Calibri"/>
          <w:color w:val="auto"/>
          <w:spacing w:val="-16"/>
          <w:w w:val="110"/>
          <w:szCs w:val="22"/>
        </w:rPr>
        <w:t xml:space="preserve"> </w:t>
      </w:r>
      <w:r w:rsidRPr="00DD7BD1">
        <w:rPr>
          <w:rFonts w:cs="Calibri"/>
          <w:color w:val="auto"/>
          <w:w w:val="110"/>
          <w:szCs w:val="22"/>
        </w:rPr>
        <w:t>them,</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 assign</w:t>
      </w:r>
      <w:r w:rsidRPr="00DD7BD1">
        <w:rPr>
          <w:rFonts w:cs="Calibri"/>
          <w:color w:val="auto"/>
          <w:spacing w:val="-5"/>
          <w:w w:val="110"/>
          <w:szCs w:val="22"/>
        </w:rPr>
        <w:t xml:space="preserve"> </w:t>
      </w:r>
      <w:r w:rsidRPr="00DD7BD1">
        <w:rPr>
          <w:rFonts w:cs="Calibri"/>
          <w:color w:val="auto"/>
          <w:w w:val="110"/>
          <w:szCs w:val="22"/>
        </w:rPr>
        <w:t>any</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5"/>
          <w:w w:val="110"/>
          <w:szCs w:val="22"/>
        </w:rPr>
        <w:t xml:space="preserve"> </w:t>
      </w:r>
      <w:r w:rsidRPr="00DD7BD1">
        <w:rPr>
          <w:rFonts w:cs="Calibri"/>
          <w:color w:val="auto"/>
          <w:w w:val="110"/>
          <w:szCs w:val="22"/>
        </w:rPr>
        <w:t>duties</w:t>
      </w:r>
      <w:r w:rsidRPr="00DD7BD1">
        <w:rPr>
          <w:rFonts w:cs="Calibri"/>
          <w:color w:val="auto"/>
          <w:spacing w:val="-4"/>
          <w:w w:val="110"/>
          <w:szCs w:val="22"/>
        </w:rPr>
        <w:t xml:space="preserve"> </w:t>
      </w:r>
      <w:r w:rsidRPr="00DD7BD1">
        <w:rPr>
          <w:rFonts w:cs="Calibri"/>
          <w:color w:val="auto"/>
          <w:w w:val="110"/>
          <w:szCs w:val="22"/>
        </w:rPr>
        <w:t>the employee</w:t>
      </w:r>
      <w:r w:rsidRPr="00DD7BD1">
        <w:rPr>
          <w:rFonts w:cs="Calibri"/>
          <w:color w:val="auto"/>
          <w:spacing w:val="-4"/>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physically</w:t>
      </w:r>
      <w:r w:rsidRPr="00DD7BD1">
        <w:rPr>
          <w:rFonts w:cs="Calibri"/>
          <w:color w:val="auto"/>
          <w:spacing w:val="-4"/>
          <w:w w:val="110"/>
          <w:szCs w:val="22"/>
        </w:rPr>
        <w:t xml:space="preserve"> </w:t>
      </w:r>
      <w:r w:rsidRPr="00DD7BD1">
        <w:rPr>
          <w:rFonts w:cs="Calibri"/>
          <w:color w:val="auto"/>
          <w:w w:val="110"/>
          <w:szCs w:val="22"/>
        </w:rPr>
        <w:t>able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perform—or,</w:t>
      </w:r>
      <w:r w:rsidRPr="00DD7BD1">
        <w:rPr>
          <w:rFonts w:cs="Calibri"/>
          <w:color w:val="auto"/>
          <w:spacing w:val="-8"/>
          <w:w w:val="110"/>
          <w:szCs w:val="22"/>
        </w:rPr>
        <w:t xml:space="preserve"> </w:t>
      </w:r>
      <w:r w:rsidRPr="00DD7BD1">
        <w:rPr>
          <w:rFonts w:cs="Calibri"/>
          <w:color w:val="auto"/>
          <w:w w:val="110"/>
          <w:szCs w:val="22"/>
        </w:rPr>
        <w:t>if</w:t>
      </w:r>
      <w:r w:rsidRPr="00DD7BD1">
        <w:rPr>
          <w:rFonts w:cs="Calibri"/>
          <w:color w:val="auto"/>
          <w:spacing w:val="-5"/>
          <w:w w:val="110"/>
          <w:szCs w:val="22"/>
        </w:rPr>
        <w:t xml:space="preserve"> </w:t>
      </w:r>
      <w:r w:rsidRPr="00DD7BD1">
        <w:rPr>
          <w:rFonts w:cs="Calibri"/>
          <w:color w:val="auto"/>
          <w:w w:val="110"/>
          <w:szCs w:val="22"/>
        </w:rPr>
        <w:t>no</w:t>
      </w:r>
      <w:r w:rsidRPr="00DD7BD1">
        <w:rPr>
          <w:rFonts w:cs="Calibri"/>
          <w:color w:val="auto"/>
          <w:spacing w:val="-4"/>
          <w:w w:val="110"/>
          <w:szCs w:val="22"/>
        </w:rPr>
        <w:t xml:space="preserve"> </w:t>
      </w:r>
      <w:r w:rsidRPr="00DD7BD1">
        <w:rPr>
          <w:rFonts w:cs="Calibri"/>
          <w:color w:val="auto"/>
          <w:w w:val="110"/>
          <w:szCs w:val="22"/>
        </w:rPr>
        <w:t>work</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8"/>
          <w:w w:val="110"/>
          <w:szCs w:val="22"/>
        </w:rPr>
        <w:t xml:space="preserve"> </w:t>
      </w:r>
      <w:r w:rsidRPr="00DD7BD1">
        <w:rPr>
          <w:rFonts w:cs="Calibri"/>
          <w:color w:val="auto"/>
          <w:w w:val="110"/>
          <w:szCs w:val="22"/>
        </w:rPr>
        <w:t>send</w:t>
      </w:r>
      <w:r w:rsidRPr="00DD7BD1">
        <w:rPr>
          <w:rFonts w:cs="Calibri"/>
          <w:color w:val="auto"/>
          <w:spacing w:val="-5"/>
          <w:w w:val="110"/>
          <w:szCs w:val="22"/>
        </w:rPr>
        <w:t xml:space="preserve"> </w:t>
      </w:r>
      <w:r w:rsidRPr="00DD7BD1">
        <w:rPr>
          <w:rFonts w:cs="Calibri"/>
          <w:color w:val="auto"/>
          <w:w w:val="110"/>
          <w:szCs w:val="22"/>
        </w:rPr>
        <w:t>them</w:t>
      </w:r>
      <w:r w:rsidRPr="00DD7BD1">
        <w:rPr>
          <w:rFonts w:cs="Calibri"/>
          <w:color w:val="auto"/>
          <w:spacing w:val="-5"/>
          <w:w w:val="110"/>
          <w:szCs w:val="22"/>
        </w:rPr>
        <w:t xml:space="preserve"> </w:t>
      </w:r>
      <w:r w:rsidRPr="00DD7BD1">
        <w:rPr>
          <w:rFonts w:cs="Calibri"/>
          <w:color w:val="auto"/>
          <w:w w:val="110"/>
          <w:szCs w:val="22"/>
        </w:rPr>
        <w:t>home and provide reporting time pay.</w:t>
      </w:r>
    </w:p>
    <w:p w14:paraId="35B58B8E" w14:textId="77777777" w:rsidR="00F9575D" w:rsidRPr="00DD7BD1" w:rsidRDefault="00F9575D" w:rsidP="00F9575D">
      <w:pPr>
        <w:pStyle w:val="BodyText"/>
        <w:spacing w:after="0" w:line="240" w:lineRule="auto"/>
        <w:ind w:right="-274"/>
        <w:jc w:val="left"/>
        <w:rPr>
          <w:rFonts w:cs="Calibri"/>
          <w:b/>
          <w:color w:val="000000"/>
          <w:spacing w:val="-2"/>
          <w:w w:val="110"/>
          <w:sz w:val="16"/>
          <w:szCs w:val="16"/>
          <w:highlight w:val="lightGray"/>
        </w:rPr>
      </w:pPr>
    </w:p>
    <w:p w14:paraId="10B78574" w14:textId="77777777" w:rsidR="00F9575D" w:rsidRPr="00DD7BD1" w:rsidRDefault="00F9575D" w:rsidP="00F9575D">
      <w:pPr>
        <w:pStyle w:val="BodyText"/>
        <w:spacing w:after="0" w:line="240" w:lineRule="auto"/>
        <w:ind w:right="-274"/>
        <w:jc w:val="left"/>
        <w:rPr>
          <w:rFonts w:cs="Calibri"/>
        </w:rPr>
      </w:pPr>
      <w:r w:rsidRPr="00DD7BD1">
        <w:rPr>
          <w:rFonts w:cs="Calibri"/>
          <w:b/>
          <w:color w:val="000000"/>
          <w:spacing w:val="-2"/>
          <w:w w:val="110"/>
          <w:highlight w:val="lightGray"/>
        </w:rPr>
        <w:t>Employer</w:t>
      </w:r>
      <w:r w:rsidRPr="00DD7BD1">
        <w:rPr>
          <w:rFonts w:cs="Calibri"/>
          <w:b/>
          <w:color w:val="000000"/>
          <w:spacing w:val="-10"/>
          <w:w w:val="110"/>
          <w:highlight w:val="lightGray"/>
        </w:rPr>
        <w:t xml:space="preserve"> </w:t>
      </w:r>
      <w:r w:rsidRPr="00DD7BD1">
        <w:rPr>
          <w:rFonts w:cs="Calibri"/>
          <w:b/>
          <w:color w:val="000000"/>
          <w:spacing w:val="-2"/>
          <w:w w:val="110"/>
          <w:highlight w:val="lightGray"/>
        </w:rPr>
        <w:t>Takeaway</w:t>
      </w:r>
      <w:r w:rsidRPr="00DD7BD1">
        <w:rPr>
          <w:rFonts w:cs="Calibri"/>
          <w:color w:val="000000"/>
          <w:spacing w:val="-2"/>
          <w:w w:val="110"/>
        </w:rPr>
        <w:t>:</w:t>
      </w:r>
      <w:r w:rsidRPr="00DD7BD1">
        <w:rPr>
          <w:rFonts w:cs="Calibri"/>
          <w:color w:val="000000"/>
          <w:spacing w:val="-9"/>
          <w:w w:val="110"/>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should</w:t>
      </w:r>
      <w:r w:rsidRPr="00DD7BD1">
        <w:rPr>
          <w:rFonts w:cs="Calibri"/>
          <w:color w:val="auto"/>
          <w:spacing w:val="-10"/>
          <w:w w:val="110"/>
          <w:szCs w:val="22"/>
        </w:rPr>
        <w:t xml:space="preserve"> </w:t>
      </w:r>
      <w:r w:rsidRPr="00DD7BD1">
        <w:rPr>
          <w:rFonts w:cs="Calibri"/>
          <w:color w:val="auto"/>
          <w:spacing w:val="-2"/>
          <w:w w:val="110"/>
          <w:szCs w:val="22"/>
        </w:rPr>
        <w:t>review</w:t>
      </w:r>
      <w:r w:rsidRPr="00DD7BD1">
        <w:rPr>
          <w:rFonts w:cs="Calibri"/>
          <w:color w:val="auto"/>
          <w:spacing w:val="-7"/>
          <w:w w:val="110"/>
          <w:szCs w:val="22"/>
        </w:rPr>
        <w:t xml:space="preserve"> </w:t>
      </w:r>
      <w:r w:rsidRPr="00DD7BD1">
        <w:rPr>
          <w:rFonts w:cs="Calibri"/>
          <w:color w:val="auto"/>
          <w:spacing w:val="-2"/>
          <w:w w:val="110"/>
          <w:szCs w:val="22"/>
        </w:rPr>
        <w:t>their</w:t>
      </w:r>
      <w:r w:rsidRPr="00DD7BD1">
        <w:rPr>
          <w:rFonts w:cs="Calibri"/>
          <w:color w:val="auto"/>
          <w:spacing w:val="-9"/>
          <w:w w:val="110"/>
          <w:szCs w:val="22"/>
        </w:rPr>
        <w:t xml:space="preserve"> </w:t>
      </w:r>
      <w:r w:rsidRPr="00DD7BD1">
        <w:rPr>
          <w:rFonts w:cs="Calibri"/>
          <w:color w:val="auto"/>
          <w:spacing w:val="-2"/>
          <w:w w:val="110"/>
          <w:szCs w:val="22"/>
        </w:rPr>
        <w:t>scheduling</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8"/>
          <w:w w:val="110"/>
          <w:szCs w:val="22"/>
        </w:rPr>
        <w:t xml:space="preserve"> </w:t>
      </w:r>
      <w:r w:rsidRPr="00DD7BD1">
        <w:rPr>
          <w:rFonts w:cs="Calibri"/>
          <w:color w:val="auto"/>
          <w:spacing w:val="-2"/>
          <w:w w:val="110"/>
          <w:szCs w:val="22"/>
        </w:rPr>
        <w:t>call-in</w:t>
      </w:r>
      <w:r w:rsidRPr="00DD7BD1">
        <w:rPr>
          <w:rFonts w:cs="Calibri"/>
          <w:color w:val="auto"/>
          <w:spacing w:val="-8"/>
          <w:w w:val="110"/>
          <w:szCs w:val="22"/>
        </w:rPr>
        <w:t xml:space="preserve"> </w:t>
      </w:r>
      <w:r w:rsidRPr="00DD7BD1">
        <w:rPr>
          <w:rFonts w:cs="Calibri"/>
          <w:color w:val="auto"/>
          <w:spacing w:val="-2"/>
          <w:w w:val="110"/>
          <w:szCs w:val="22"/>
        </w:rPr>
        <w:t>procedures</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ensure</w:t>
      </w:r>
      <w:r w:rsidRPr="00DD7BD1">
        <w:rPr>
          <w:rFonts w:cs="Calibri"/>
          <w:color w:val="auto"/>
          <w:spacing w:val="-10"/>
          <w:w w:val="110"/>
          <w:szCs w:val="22"/>
        </w:rPr>
        <w:t xml:space="preserve"> </w:t>
      </w:r>
      <w:r w:rsidRPr="00DD7BD1">
        <w:rPr>
          <w:rFonts w:cs="Calibri"/>
          <w:color w:val="auto"/>
          <w:spacing w:val="-2"/>
          <w:w w:val="110"/>
          <w:szCs w:val="22"/>
        </w:rPr>
        <w:t>compliance</w:t>
      </w:r>
      <w:r w:rsidRPr="00DD7BD1">
        <w:rPr>
          <w:rFonts w:cs="Calibri"/>
          <w:color w:val="auto"/>
          <w:spacing w:val="-10"/>
          <w:w w:val="110"/>
          <w:szCs w:val="22"/>
        </w:rPr>
        <w:t xml:space="preserve"> </w:t>
      </w:r>
      <w:r w:rsidRPr="00DD7BD1">
        <w:rPr>
          <w:rFonts w:cs="Calibri"/>
          <w:color w:val="auto"/>
          <w:spacing w:val="-2"/>
          <w:w w:val="110"/>
          <w:szCs w:val="22"/>
        </w:rPr>
        <w:t xml:space="preserve">with </w:t>
      </w:r>
      <w:r w:rsidRPr="00DD7BD1">
        <w:rPr>
          <w:rFonts w:cs="Calibri"/>
          <w:color w:val="auto"/>
          <w:w w:val="110"/>
          <w:szCs w:val="22"/>
        </w:rPr>
        <w:t>this new law.</w:t>
      </w:r>
    </w:p>
    <w:p w14:paraId="6B8775D3" w14:textId="77777777" w:rsidR="00F9575D" w:rsidRPr="00DD7BD1" w:rsidRDefault="00F9575D" w:rsidP="00F9575D">
      <w:pPr>
        <w:pStyle w:val="Heading4"/>
        <w:spacing w:before="0"/>
        <w:ind w:right="-274"/>
        <w:rPr>
          <w:rFonts w:ascii="Calibri" w:hAnsi="Calibri" w:cs="Calibri"/>
          <w:spacing w:val="-6"/>
          <w:sz w:val="16"/>
          <w:szCs w:val="16"/>
        </w:rPr>
      </w:pPr>
    </w:p>
    <w:p w14:paraId="46C012D1"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Earned Paid Leave</w:t>
      </w:r>
    </w:p>
    <w:p w14:paraId="519EBCCF" w14:textId="77777777" w:rsidR="00F9575D" w:rsidRPr="00DD7BD1" w:rsidRDefault="00F9575D" w:rsidP="00F9575D">
      <w:pPr>
        <w:pStyle w:val="BodyText"/>
        <w:spacing w:after="0" w:line="240" w:lineRule="auto"/>
        <w:ind w:right="-274"/>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3"/>
          <w:w w:val="110"/>
          <w:szCs w:val="22"/>
        </w:rPr>
        <w:t xml:space="preserve"> </w:t>
      </w:r>
      <w:r w:rsidRPr="00DD7BD1">
        <w:rPr>
          <w:rFonts w:cs="Calibri"/>
          <w:color w:val="auto"/>
          <w:w w:val="110"/>
          <w:szCs w:val="22"/>
          <w:u w:val="single"/>
        </w:rPr>
        <w:t>11</w:t>
      </w:r>
      <w:r w:rsidRPr="00DD7BD1">
        <w:rPr>
          <w:rFonts w:cs="Calibri"/>
          <w:color w:val="auto"/>
          <w:spacing w:val="-15"/>
          <w:w w:val="110"/>
          <w:szCs w:val="22"/>
          <w:u w:val="single"/>
        </w:rPr>
        <w:t xml:space="preserve"> </w:t>
      </w:r>
      <w:r w:rsidRPr="00DD7BD1">
        <w:rPr>
          <w:rFonts w:cs="Calibri"/>
          <w:color w:val="auto"/>
          <w:w w:val="110"/>
          <w:szCs w:val="22"/>
          <w:u w:val="single"/>
        </w:rPr>
        <w:t>or</w:t>
      </w:r>
      <w:r w:rsidRPr="00DD7BD1">
        <w:rPr>
          <w:rFonts w:cs="Calibri"/>
          <w:color w:val="auto"/>
          <w:spacing w:val="-16"/>
          <w:w w:val="110"/>
          <w:szCs w:val="22"/>
          <w:u w:val="single"/>
        </w:rPr>
        <w:t xml:space="preserve"> </w:t>
      </w:r>
      <w:r w:rsidRPr="00DD7BD1">
        <w:rPr>
          <w:rFonts w:cs="Calibri"/>
          <w:color w:val="auto"/>
          <w:w w:val="110"/>
          <w:szCs w:val="22"/>
          <w:u w:val="single"/>
        </w:rPr>
        <w:t>more</w:t>
      </w:r>
      <w:r w:rsidRPr="00DD7BD1">
        <w:rPr>
          <w:rFonts w:cs="Calibri"/>
          <w:color w:val="auto"/>
          <w:spacing w:val="-13"/>
          <w:w w:val="110"/>
          <w:szCs w:val="22"/>
          <w:u w:val="single"/>
        </w:rPr>
        <w:t xml:space="preserve"> </w:t>
      </w:r>
      <w:r w:rsidRPr="00DD7BD1">
        <w:rPr>
          <w:rFonts w:cs="Calibri"/>
          <w:color w:val="auto"/>
          <w:w w:val="110"/>
          <w:szCs w:val="22"/>
          <w:u w:val="single"/>
        </w:rPr>
        <w:t>employees</w:t>
      </w:r>
      <w:r w:rsidRPr="00DD7BD1">
        <w:rPr>
          <w:rFonts w:cs="Calibri"/>
          <w:color w:val="auto"/>
          <w:spacing w:val="-12"/>
          <w:w w:val="110"/>
          <w:szCs w:val="22"/>
        </w:rPr>
        <w:t xml:space="preserve"> </w:t>
      </w:r>
      <w:proofErr w:type="gramStart"/>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to</w:t>
      </w:r>
      <w:proofErr w:type="gramEnd"/>
      <w:r w:rsidRPr="00DD7BD1">
        <w:rPr>
          <w:rFonts w:cs="Calibri"/>
          <w:color w:val="auto"/>
          <w:spacing w:val="-14"/>
          <w:w w:val="110"/>
          <w:szCs w:val="22"/>
        </w:rPr>
        <w:t xml:space="preserve"> </w:t>
      </w:r>
      <w:r w:rsidRPr="00DD7BD1">
        <w:rPr>
          <w:rFonts w:cs="Calibri"/>
          <w:color w:val="auto"/>
          <w:w w:val="110"/>
          <w:szCs w:val="22"/>
        </w:rPr>
        <w:t>allow</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accrue</w:t>
      </w:r>
      <w:r w:rsidRPr="00DD7BD1">
        <w:rPr>
          <w:rFonts w:cs="Calibri"/>
          <w:color w:val="auto"/>
          <w:spacing w:val="-14"/>
          <w:w w:val="110"/>
          <w:szCs w:val="22"/>
        </w:rPr>
        <w:t xml:space="preserve"> </w:t>
      </w:r>
      <w:r w:rsidRPr="00DD7BD1">
        <w:rPr>
          <w:rFonts w:cs="Calibri"/>
          <w:color w:val="auto"/>
          <w:w w:val="110"/>
          <w:szCs w:val="22"/>
        </w:rPr>
        <w:t>up</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40</w:t>
      </w:r>
      <w:r w:rsidRPr="00DD7BD1">
        <w:rPr>
          <w:rFonts w:cs="Calibri"/>
          <w:color w:val="auto"/>
          <w:spacing w:val="-15"/>
          <w:w w:val="110"/>
          <w:szCs w:val="22"/>
        </w:rPr>
        <w:t xml:space="preserve"> </w:t>
      </w:r>
      <w:r w:rsidRPr="00DD7BD1">
        <w:rPr>
          <w:rFonts w:cs="Calibri"/>
          <w:color w:val="auto"/>
          <w:w w:val="110"/>
          <w:szCs w:val="22"/>
        </w:rPr>
        <w:t>hours</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earned</w:t>
      </w:r>
      <w:r w:rsidRPr="00DD7BD1">
        <w:rPr>
          <w:rFonts w:cs="Calibri"/>
          <w:color w:val="auto"/>
          <w:spacing w:val="-16"/>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each benefit</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5"/>
          <w:w w:val="110"/>
          <w:szCs w:val="22"/>
        </w:rPr>
        <w:t xml:space="preserve"> </w:t>
      </w:r>
      <w:r w:rsidRPr="00DD7BD1">
        <w:rPr>
          <w:rFonts w:cs="Calibri"/>
          <w:i/>
          <w:color w:val="auto"/>
          <w:w w:val="110"/>
          <w:szCs w:val="22"/>
          <w:u w:val="single"/>
        </w:rPr>
        <w:t>no</w:t>
      </w:r>
      <w:r w:rsidRPr="00DD7BD1">
        <w:rPr>
          <w:rFonts w:cs="Calibri"/>
          <w:i/>
          <w:color w:val="auto"/>
          <w:spacing w:val="-5"/>
          <w:w w:val="110"/>
          <w:szCs w:val="22"/>
          <w:u w:val="single"/>
        </w:rPr>
        <w:t xml:space="preserve"> </w:t>
      </w:r>
      <w:r w:rsidRPr="00DD7BD1">
        <w:rPr>
          <w:rFonts w:cs="Calibri"/>
          <w:i/>
          <w:color w:val="auto"/>
          <w:w w:val="110"/>
          <w:szCs w:val="22"/>
          <w:u w:val="single"/>
        </w:rPr>
        <w:t>matter</w:t>
      </w:r>
      <w:r w:rsidRPr="00DD7BD1">
        <w:rPr>
          <w:rFonts w:cs="Calibri"/>
          <w:i/>
          <w:color w:val="auto"/>
          <w:spacing w:val="-6"/>
          <w:w w:val="110"/>
          <w:szCs w:val="22"/>
          <w:u w:val="single"/>
        </w:rPr>
        <w:t xml:space="preserve"> </w:t>
      </w:r>
      <w:r w:rsidRPr="00DD7BD1">
        <w:rPr>
          <w:rFonts w:cs="Calibri"/>
          <w:i/>
          <w:color w:val="auto"/>
          <w:w w:val="110"/>
          <w:szCs w:val="22"/>
          <w:u w:val="single"/>
        </w:rPr>
        <w:t>how</w:t>
      </w:r>
      <w:r w:rsidRPr="00DD7BD1">
        <w:rPr>
          <w:rFonts w:cs="Calibri"/>
          <w:i/>
          <w:color w:val="auto"/>
          <w:spacing w:val="-6"/>
          <w:w w:val="110"/>
          <w:szCs w:val="22"/>
          <w:u w:val="single"/>
        </w:rPr>
        <w:t xml:space="preserve"> </w:t>
      </w:r>
      <w:r w:rsidRPr="00DD7BD1">
        <w:rPr>
          <w:rFonts w:cs="Calibri"/>
          <w:i/>
          <w:color w:val="auto"/>
          <w:w w:val="110"/>
          <w:szCs w:val="22"/>
          <w:u w:val="single"/>
        </w:rPr>
        <w:t>many</w:t>
      </w:r>
      <w:r w:rsidRPr="00DD7BD1">
        <w:rPr>
          <w:rFonts w:cs="Calibri"/>
          <w:i/>
          <w:color w:val="auto"/>
          <w:spacing w:val="-6"/>
          <w:w w:val="110"/>
          <w:szCs w:val="22"/>
          <w:u w:val="single"/>
        </w:rPr>
        <w:t xml:space="preserve"> </w:t>
      </w:r>
      <w:r w:rsidRPr="00DD7BD1">
        <w:rPr>
          <w:rFonts w:cs="Calibri"/>
          <w:i/>
          <w:color w:val="auto"/>
          <w:w w:val="110"/>
          <w:szCs w:val="22"/>
          <w:u w:val="single"/>
        </w:rPr>
        <w:t>unused</w:t>
      </w:r>
      <w:r w:rsidRPr="00DD7BD1">
        <w:rPr>
          <w:rFonts w:cs="Calibri"/>
          <w:i/>
          <w:color w:val="auto"/>
          <w:spacing w:val="-6"/>
          <w:w w:val="110"/>
          <w:szCs w:val="22"/>
          <w:u w:val="single"/>
        </w:rPr>
        <w:t xml:space="preserve"> </w:t>
      </w:r>
      <w:r w:rsidRPr="00DD7BD1">
        <w:rPr>
          <w:rFonts w:cs="Calibri"/>
          <w:i/>
          <w:color w:val="auto"/>
          <w:w w:val="110"/>
          <w:szCs w:val="22"/>
          <w:u w:val="single"/>
        </w:rPr>
        <w:t>hours</w:t>
      </w:r>
      <w:r w:rsidRPr="00DD7BD1">
        <w:rPr>
          <w:rFonts w:cs="Calibri"/>
          <w:i/>
          <w:color w:val="auto"/>
          <w:spacing w:val="-8"/>
          <w:w w:val="110"/>
          <w:szCs w:val="22"/>
          <w:u w:val="single"/>
        </w:rPr>
        <w:t xml:space="preserve"> </w:t>
      </w:r>
      <w:r w:rsidRPr="00DD7BD1">
        <w:rPr>
          <w:rFonts w:cs="Calibri"/>
          <w:i/>
          <w:color w:val="auto"/>
          <w:w w:val="110"/>
          <w:szCs w:val="22"/>
          <w:u w:val="single"/>
        </w:rPr>
        <w:t>are</w:t>
      </w:r>
      <w:r w:rsidRPr="00DD7BD1">
        <w:rPr>
          <w:rFonts w:cs="Calibri"/>
          <w:i/>
          <w:color w:val="auto"/>
          <w:spacing w:val="-6"/>
          <w:w w:val="110"/>
          <w:szCs w:val="22"/>
          <w:u w:val="single"/>
        </w:rPr>
        <w:t xml:space="preserve"> </w:t>
      </w:r>
      <w:r w:rsidRPr="00DD7BD1">
        <w:rPr>
          <w:rFonts w:cs="Calibri"/>
          <w:i/>
          <w:color w:val="auto"/>
          <w:w w:val="110"/>
          <w:szCs w:val="22"/>
          <w:u w:val="single"/>
        </w:rPr>
        <w:t>carried</w:t>
      </w:r>
      <w:r w:rsidRPr="00DD7BD1">
        <w:rPr>
          <w:rFonts w:cs="Calibri"/>
          <w:i/>
          <w:color w:val="auto"/>
          <w:spacing w:val="-6"/>
          <w:w w:val="110"/>
          <w:szCs w:val="22"/>
          <w:u w:val="single"/>
        </w:rPr>
        <w:t xml:space="preserve"> </w:t>
      </w:r>
      <w:r w:rsidRPr="00DD7BD1">
        <w:rPr>
          <w:rFonts w:cs="Calibri"/>
          <w:i/>
          <w:color w:val="auto"/>
          <w:w w:val="110"/>
          <w:szCs w:val="22"/>
          <w:u w:val="single"/>
        </w:rPr>
        <w:t>over</w:t>
      </w:r>
      <w:r w:rsidRPr="00DD7BD1">
        <w:rPr>
          <w:rFonts w:cs="Calibri"/>
          <w:i/>
          <w:color w:val="auto"/>
          <w:spacing w:val="-6"/>
          <w:w w:val="110"/>
          <w:szCs w:val="22"/>
        </w:rPr>
        <w:t xml:space="preserve"> </w:t>
      </w:r>
      <w:r w:rsidRPr="00DD7BD1">
        <w:rPr>
          <w:rFonts w:cs="Calibri"/>
          <w:color w:val="auto"/>
          <w:w w:val="110"/>
          <w:szCs w:val="22"/>
        </w:rPr>
        <w:t>under</w:t>
      </w:r>
      <w:r w:rsidRPr="00DD7BD1">
        <w:rPr>
          <w:rFonts w:cs="Calibri"/>
          <w:color w:val="auto"/>
          <w:spacing w:val="-5"/>
          <w:w w:val="110"/>
          <w:szCs w:val="22"/>
        </w:rPr>
        <w:t xml:space="preserve"> </w:t>
      </w:r>
      <w:hyperlink r:id="rId783">
        <w:r w:rsidRPr="00DD7BD1">
          <w:rPr>
            <w:rFonts w:cs="Calibri"/>
            <w:color w:val="0000FF"/>
            <w:w w:val="110"/>
            <w:szCs w:val="22"/>
            <w:u w:val="single" w:color="0000FF"/>
          </w:rPr>
          <w:t>H</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19</w:t>
        </w:r>
      </w:hyperlink>
      <w:r w:rsidRPr="00DD7BD1">
        <w:rPr>
          <w:rFonts w:cs="Calibri"/>
          <w:w w:val="110"/>
          <w:szCs w:val="22"/>
        </w:rPr>
        <w:t>.</w:t>
      </w:r>
      <w:r w:rsidRPr="00DD7BD1">
        <w:rPr>
          <w:rFonts w:cs="Calibri"/>
          <w:spacing w:val="-6"/>
          <w:w w:val="110"/>
          <w:szCs w:val="22"/>
        </w:rPr>
        <w:t xml:space="preserve"> </w:t>
      </w:r>
      <w:r w:rsidRPr="00DD7BD1">
        <w:rPr>
          <w:rFonts w:cs="Calibri"/>
          <w:color w:val="auto"/>
          <w:w w:val="110"/>
          <w:szCs w:val="22"/>
        </w:rPr>
        <w:t>Previously,</w:t>
      </w:r>
      <w:r w:rsidRPr="00DD7BD1">
        <w:rPr>
          <w:rFonts w:cs="Calibri"/>
          <w:color w:val="auto"/>
          <w:spacing w:val="-6"/>
          <w:w w:val="110"/>
          <w:szCs w:val="22"/>
        </w:rPr>
        <w:t xml:space="preserve"> </w:t>
      </w:r>
      <w:r w:rsidRPr="00DD7BD1">
        <w:rPr>
          <w:rFonts w:cs="Calibri"/>
          <w:color w:val="auto"/>
          <w:w w:val="110"/>
          <w:szCs w:val="22"/>
        </w:rPr>
        <w:t>carryover</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5"/>
          <w:w w:val="110"/>
          <w:szCs w:val="22"/>
        </w:rPr>
        <w:t xml:space="preserve"> </w:t>
      </w:r>
      <w:r w:rsidRPr="00DD7BD1">
        <w:rPr>
          <w:rFonts w:cs="Calibri"/>
          <w:color w:val="auto"/>
          <w:w w:val="110"/>
          <w:szCs w:val="22"/>
        </w:rPr>
        <w:t>could</w:t>
      </w:r>
      <w:r w:rsidRPr="00DD7BD1">
        <w:rPr>
          <w:rFonts w:cs="Calibri"/>
          <w:color w:val="auto"/>
          <w:spacing w:val="-5"/>
          <w:w w:val="110"/>
          <w:szCs w:val="22"/>
        </w:rPr>
        <w:t xml:space="preserve"> </w:t>
      </w:r>
      <w:r w:rsidRPr="00DD7BD1">
        <w:rPr>
          <w:rFonts w:cs="Calibri"/>
          <w:color w:val="auto"/>
          <w:w w:val="110"/>
          <w:szCs w:val="22"/>
        </w:rPr>
        <w:t>count against the accrual limit in the new benefit year.</w:t>
      </w:r>
    </w:p>
    <w:p w14:paraId="51BE25B8" w14:textId="77777777" w:rsidR="00F9575D" w:rsidRPr="00DD7BD1" w:rsidRDefault="00F9575D" w:rsidP="00F9575D">
      <w:pPr>
        <w:pStyle w:val="BodyText"/>
        <w:spacing w:after="0" w:line="240" w:lineRule="auto"/>
        <w:ind w:right="-274"/>
        <w:jc w:val="left"/>
        <w:rPr>
          <w:rFonts w:cs="Calibri"/>
          <w:color w:val="auto"/>
          <w:sz w:val="16"/>
          <w:szCs w:val="16"/>
        </w:rPr>
      </w:pPr>
    </w:p>
    <w:p w14:paraId="06B9D97E"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update</w:t>
      </w:r>
      <w:r w:rsidRPr="00DD7BD1">
        <w:rPr>
          <w:rFonts w:cs="Calibri"/>
          <w:color w:val="auto"/>
          <w:spacing w:val="-12"/>
          <w:w w:val="110"/>
          <w:szCs w:val="22"/>
        </w:rPr>
        <w:t xml:space="preserve"> </w:t>
      </w:r>
      <w:r w:rsidRPr="00DD7BD1">
        <w:rPr>
          <w:rFonts w:cs="Calibri"/>
          <w:color w:val="auto"/>
          <w:w w:val="110"/>
          <w:szCs w:val="22"/>
        </w:rPr>
        <w:t>means</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balances</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now</w:t>
      </w:r>
      <w:r w:rsidRPr="00DD7BD1">
        <w:rPr>
          <w:rFonts w:cs="Calibri"/>
          <w:color w:val="auto"/>
          <w:spacing w:val="-10"/>
          <w:w w:val="110"/>
          <w:szCs w:val="22"/>
        </w:rPr>
        <w:t xml:space="preserve"> </w:t>
      </w:r>
      <w:r w:rsidRPr="00DD7BD1">
        <w:rPr>
          <w:rFonts w:cs="Calibri"/>
          <w:color w:val="auto"/>
          <w:w w:val="110"/>
          <w:szCs w:val="22"/>
        </w:rPr>
        <w:t>exceed</w:t>
      </w:r>
      <w:r w:rsidRPr="00DD7BD1">
        <w:rPr>
          <w:rFonts w:cs="Calibri"/>
          <w:color w:val="auto"/>
          <w:spacing w:val="-9"/>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proofErr w:type="gramStart"/>
      <w:r w:rsidRPr="00DD7BD1">
        <w:rPr>
          <w:rFonts w:cs="Calibri"/>
          <w:color w:val="auto"/>
          <w:w w:val="110"/>
          <w:szCs w:val="22"/>
        </w:rPr>
        <w:t>hours—</w:t>
      </w:r>
      <w:proofErr w:type="gramEnd"/>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example,</w:t>
      </w:r>
      <w:r w:rsidRPr="00DD7BD1">
        <w:rPr>
          <w:rFonts w:cs="Calibri"/>
          <w:color w:val="auto"/>
          <w:spacing w:val="-10"/>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accrued</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in the</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7"/>
          <w:w w:val="110"/>
          <w:szCs w:val="22"/>
        </w:rPr>
        <w:t xml:space="preserve"> </w:t>
      </w:r>
      <w:r w:rsidRPr="00DD7BD1">
        <w:rPr>
          <w:rFonts w:cs="Calibri"/>
          <w:color w:val="auto"/>
          <w:w w:val="110"/>
          <w:szCs w:val="22"/>
        </w:rPr>
        <w:t>benefit</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plus</w:t>
      </w:r>
      <w:r w:rsidRPr="00DD7BD1">
        <w:rPr>
          <w:rFonts w:cs="Calibri"/>
          <w:color w:val="auto"/>
          <w:spacing w:val="-17"/>
          <w:w w:val="110"/>
          <w:szCs w:val="22"/>
        </w:rPr>
        <w:t xml:space="preserve"> </w:t>
      </w:r>
      <w:r w:rsidRPr="00DD7BD1">
        <w:rPr>
          <w:rFonts w:cs="Calibri"/>
          <w:color w:val="auto"/>
          <w:w w:val="110"/>
          <w:szCs w:val="22"/>
        </w:rPr>
        <w:t>40</w:t>
      </w:r>
      <w:r w:rsidRPr="00DD7BD1">
        <w:rPr>
          <w:rFonts w:cs="Calibri"/>
          <w:color w:val="auto"/>
          <w:spacing w:val="-16"/>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carryover.</w:t>
      </w:r>
      <w:r w:rsidRPr="00DD7BD1">
        <w:rPr>
          <w:rFonts w:cs="Calibri"/>
          <w:color w:val="auto"/>
          <w:spacing w:val="-17"/>
          <w:w w:val="110"/>
          <w:szCs w:val="22"/>
        </w:rPr>
        <w:t xml:space="preserve"> </w:t>
      </w:r>
      <w:r w:rsidRPr="00DD7BD1">
        <w:rPr>
          <w:rFonts w:cs="Calibri"/>
          <w:color w:val="auto"/>
          <w:w w:val="110"/>
          <w:szCs w:val="22"/>
        </w:rPr>
        <w:t>However,</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6"/>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allow</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cap</w:t>
      </w:r>
      <w:r w:rsidRPr="00DD7BD1">
        <w:rPr>
          <w:rFonts w:cs="Calibri"/>
          <w:color w:val="auto"/>
          <w:spacing w:val="-17"/>
          <w:w w:val="110"/>
          <w:szCs w:val="22"/>
        </w:rPr>
        <w:t xml:space="preserve"> </w:t>
      </w:r>
      <w:r w:rsidRPr="00DD7BD1">
        <w:rPr>
          <w:rFonts w:cs="Calibri"/>
          <w:color w:val="auto"/>
          <w:w w:val="110"/>
          <w:szCs w:val="22"/>
        </w:rPr>
        <w:t>usage at</w:t>
      </w:r>
      <w:r w:rsidRPr="00DD7BD1">
        <w:rPr>
          <w:rFonts w:cs="Calibri"/>
          <w:color w:val="auto"/>
          <w:spacing w:val="-11"/>
          <w:w w:val="110"/>
          <w:szCs w:val="22"/>
        </w:rPr>
        <w:t xml:space="preserve"> </w:t>
      </w:r>
      <w:r w:rsidRPr="00DD7BD1">
        <w:rPr>
          <w:rFonts w:cs="Calibri"/>
          <w:color w:val="auto"/>
          <w:w w:val="110"/>
          <w:szCs w:val="22"/>
        </w:rPr>
        <w:t>40</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per</w:t>
      </w:r>
      <w:r w:rsidRPr="00DD7BD1">
        <w:rPr>
          <w:rFonts w:cs="Calibri"/>
          <w:color w:val="auto"/>
          <w:spacing w:val="-13"/>
          <w:w w:val="110"/>
          <w:szCs w:val="22"/>
        </w:rPr>
        <w:t xml:space="preserve"> </w:t>
      </w:r>
      <w:r w:rsidRPr="00DD7BD1">
        <w:rPr>
          <w:rFonts w:cs="Calibri"/>
          <w:color w:val="auto"/>
          <w:w w:val="110"/>
          <w:szCs w:val="22"/>
        </w:rPr>
        <w:t>benefit</w:t>
      </w:r>
      <w:r w:rsidRPr="00DD7BD1">
        <w:rPr>
          <w:rFonts w:cs="Calibri"/>
          <w:color w:val="auto"/>
          <w:spacing w:val="-11"/>
          <w:w w:val="110"/>
          <w:szCs w:val="22"/>
        </w:rPr>
        <w:t xml:space="preserve"> </w:t>
      </w:r>
      <w:r w:rsidRPr="00DD7BD1">
        <w:rPr>
          <w:rFonts w:cs="Calibri"/>
          <w:color w:val="auto"/>
          <w:w w:val="110"/>
          <w:szCs w:val="22"/>
        </w:rPr>
        <w:t>year.</w:t>
      </w:r>
      <w:r w:rsidRPr="00DD7BD1">
        <w:rPr>
          <w:rFonts w:cs="Calibri"/>
          <w:color w:val="auto"/>
          <w:spacing w:val="-11"/>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unclear</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Maine’s</w:t>
      </w:r>
      <w:r w:rsidRPr="00DD7BD1">
        <w:rPr>
          <w:rFonts w:cs="Calibri"/>
          <w:color w:val="auto"/>
          <w:spacing w:val="-9"/>
          <w:w w:val="110"/>
          <w:szCs w:val="22"/>
        </w:rPr>
        <w:t xml:space="preserve"> </w:t>
      </w:r>
      <w:r w:rsidRPr="00DD7BD1">
        <w:rPr>
          <w:rFonts w:cs="Calibri"/>
          <w:color w:val="auto"/>
          <w:w w:val="110"/>
          <w:szCs w:val="22"/>
        </w:rPr>
        <w:t>Department</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Labor</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update</w:t>
      </w:r>
      <w:r w:rsidRPr="00DD7BD1">
        <w:rPr>
          <w:rFonts w:cs="Calibri"/>
          <w:color w:val="auto"/>
          <w:spacing w:val="-10"/>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9"/>
          <w:w w:val="110"/>
          <w:szCs w:val="22"/>
        </w:rPr>
        <w:t xml:space="preserve"> </w:t>
      </w:r>
      <w:r w:rsidRPr="00DD7BD1">
        <w:rPr>
          <w:rFonts w:cs="Calibri"/>
          <w:color w:val="auto"/>
          <w:w w:val="110"/>
          <w:szCs w:val="22"/>
        </w:rPr>
        <w:t>based</w:t>
      </w:r>
      <w:r w:rsidRPr="00DD7BD1">
        <w:rPr>
          <w:rFonts w:cs="Calibri"/>
          <w:color w:val="auto"/>
          <w:spacing w:val="-10"/>
          <w:w w:val="110"/>
          <w:szCs w:val="22"/>
        </w:rPr>
        <w:t xml:space="preserve"> </w:t>
      </w:r>
      <w:r w:rsidRPr="00DD7BD1">
        <w:rPr>
          <w:rFonts w:cs="Calibri"/>
          <w:color w:val="auto"/>
          <w:w w:val="110"/>
          <w:szCs w:val="22"/>
        </w:rPr>
        <w:t>on this change.</w:t>
      </w:r>
      <w:r w:rsidRPr="00DD7BD1">
        <w:rPr>
          <w:rFonts w:cs="Calibri"/>
          <w:color w:val="auto"/>
          <w:spacing w:val="40"/>
          <w:w w:val="110"/>
          <w:szCs w:val="22"/>
        </w:rPr>
        <w:t xml:space="preserve"> </w:t>
      </w:r>
      <w:r w:rsidRPr="00DD7BD1">
        <w:rPr>
          <w:rFonts w:cs="Calibri"/>
          <w:color w:val="auto"/>
          <w:w w:val="110"/>
          <w:szCs w:val="22"/>
        </w:rPr>
        <w:t>ETC will be releasing an updated State Handbook Addendum to address this new state change.</w:t>
      </w:r>
    </w:p>
    <w:p w14:paraId="49F2D792" w14:textId="77777777" w:rsidR="00F9575D" w:rsidRPr="00DD7BD1" w:rsidRDefault="00F9575D" w:rsidP="00F9575D">
      <w:pPr>
        <w:spacing w:after="0" w:line="240" w:lineRule="auto"/>
        <w:rPr>
          <w:rFonts w:ascii="Calibri" w:hAnsi="Calibri" w:cs="Calibri"/>
          <w:b/>
          <w:bCs/>
          <w:sz w:val="28"/>
          <w:szCs w:val="28"/>
          <w:shd w:val="clear" w:color="auto" w:fill="FFFFFF"/>
          <w:lang w:val="en"/>
        </w:rPr>
      </w:pPr>
    </w:p>
    <w:p w14:paraId="66D244AE" w14:textId="16049C74"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Issues Final Rules for Paid Family and Medical Leave – </w:t>
      </w:r>
      <w:r w:rsidRPr="00DD7BD1">
        <w:rPr>
          <w:rFonts w:ascii="Calibri" w:hAnsi="Calibri" w:cs="Calibri"/>
          <w:b/>
          <w:bCs/>
          <w:color w:val="C00000"/>
          <w:sz w:val="28"/>
          <w:szCs w:val="28"/>
          <w:shd w:val="clear" w:color="auto" w:fill="FFFFFF"/>
          <w:lang w:val="en"/>
        </w:rPr>
        <w:t>Jan 1, 2025</w:t>
      </w:r>
    </w:p>
    <w:p w14:paraId="2BA1B775" w14:textId="77777777" w:rsidR="00360D1C" w:rsidRPr="00DD7BD1" w:rsidRDefault="00360D1C" w:rsidP="00360D1C">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The Maine Department of Labor has published </w:t>
      </w:r>
      <w:hyperlink r:id="rId784" w:history="1">
        <w:r w:rsidRPr="00DD7BD1">
          <w:rPr>
            <w:rStyle w:val="Hyperlink"/>
            <w:rFonts w:ascii="Calibri" w:hAnsi="Calibri" w:cs="Calibri"/>
            <w:shd w:val="clear" w:color="auto" w:fill="FFFFFF"/>
          </w:rPr>
          <w:t>final rules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DD7BD1" w:rsidRDefault="00360D1C" w:rsidP="003B29FD">
      <w:pPr>
        <w:pStyle w:val="ListParagraph"/>
        <w:spacing w:after="0" w:line="240" w:lineRule="auto"/>
        <w:rPr>
          <w:rFonts w:ascii="Calibri" w:hAnsi="Calibri" w:cs="Calibri"/>
          <w:shd w:val="clear" w:color="auto" w:fill="FFFFFF"/>
        </w:rPr>
      </w:pPr>
    </w:p>
    <w:p w14:paraId="4C3747F1" w14:textId="15EA4E9D" w:rsidR="003B29FD" w:rsidRPr="00DD7BD1" w:rsidRDefault="003B29FD" w:rsidP="00360D1C">
      <w:pPr>
        <w:pStyle w:val="ListParagraph"/>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Maine’s Paid Family &amp; Medical Leave (PFML) Launches – </w:t>
      </w:r>
      <w:r w:rsidRPr="00DD7BD1">
        <w:rPr>
          <w:rFonts w:ascii="Calibri" w:hAnsi="Calibri" w:cs="Calibri"/>
          <w:b/>
          <w:bCs/>
          <w:color w:val="C00000"/>
          <w:sz w:val="28"/>
          <w:szCs w:val="28"/>
          <w:shd w:val="clear" w:color="auto" w:fill="FFFFFF"/>
        </w:rPr>
        <w:t>Jan 1, 2025</w:t>
      </w:r>
    </w:p>
    <w:p w14:paraId="7FCFB3C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Maine’s paid family and medical leave (PFML) program will </w:t>
      </w:r>
      <w:proofErr w:type="gramStart"/>
      <w:r w:rsidRPr="00DD7BD1">
        <w:rPr>
          <w:rFonts w:ascii="Calibri" w:hAnsi="Calibri" w:cs="Calibri"/>
        </w:rPr>
        <w:t>launch</w:t>
      </w:r>
      <w:proofErr w:type="gramEnd"/>
      <w:r w:rsidRPr="00DD7BD1">
        <w:rPr>
          <w:rFonts w:ascii="Calibri" w:hAnsi="Calibri" w:cs="Calibri"/>
        </w:rPr>
        <w:t xml:space="preserve">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Payroll contributions begin January 1, 2025, and </w:t>
      </w:r>
      <w:r w:rsidRPr="00F1415F">
        <w:rPr>
          <w:rFonts w:ascii="Calibri" w:hAnsi="Calibri" w:cs="Calibri"/>
          <w:color w:val="EE0000"/>
          <w:u w:val="single"/>
        </w:rPr>
        <w:t>employees can start taking PFML on May 1, 2026</w:t>
      </w:r>
      <w:r w:rsidRPr="00F1415F">
        <w:rPr>
          <w:rFonts w:ascii="Calibri" w:hAnsi="Calibri" w:cs="Calibri"/>
          <w:color w:val="EE0000"/>
        </w:rPr>
        <w:t>.</w:t>
      </w:r>
      <w:r w:rsidRPr="00DD7BD1">
        <w:rPr>
          <w:rFonts w:ascii="Calibri" w:hAnsi="Calibri" w:cs="Calibri"/>
        </w:rPr>
        <w:t xml:space="preserve"> </w:t>
      </w:r>
    </w:p>
    <w:p w14:paraId="0F7158CA"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Employees will be entitled to up to 12 weeks of leave per year, and those who have been employed for 120 days or more are entitled to job protection.</w:t>
      </w:r>
    </w:p>
    <w:p w14:paraId="0A67EFE3" w14:textId="77777777" w:rsidR="003B29FD" w:rsidRPr="00DD7BD1" w:rsidRDefault="003B29FD" w:rsidP="003B29FD">
      <w:pPr>
        <w:pStyle w:val="ListParagraph"/>
        <w:spacing w:after="0"/>
        <w:ind w:left="90" w:right="270"/>
        <w:rPr>
          <w:rFonts w:ascii="Calibri" w:hAnsi="Calibri" w:cs="Calibri"/>
          <w:b/>
          <w:bCs/>
          <w:sz w:val="16"/>
          <w:szCs w:val="16"/>
        </w:rPr>
      </w:pPr>
    </w:p>
    <w:p w14:paraId="506A9B4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Employer Notice</w:t>
      </w:r>
      <w:r w:rsidRPr="00DD7BD1">
        <w:rPr>
          <w:rFonts w:ascii="Calibri" w:hAnsi="Calibri" w:cs="Calibri"/>
        </w:rPr>
        <w:br/>
        <w:t xml:space="preserve">Employers must post a notice at each worksite in a conspicuous location in English and any other primary language spoken by three or more employees in that workplace. </w:t>
      </w:r>
    </w:p>
    <w:p w14:paraId="24D3B50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They will also need to provide a written notice to each new employee within 30 days of their hire date.</w:t>
      </w:r>
    </w:p>
    <w:p w14:paraId="68D4BD42"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 MDOL has provided a model notice in English </w:t>
      </w:r>
      <w:hyperlink r:id="rId785" w:tgtFrame="_blank" w:history="1">
        <w:r w:rsidRPr="00DD7BD1">
          <w:rPr>
            <w:rStyle w:val="Hyperlink"/>
            <w:rFonts w:ascii="Calibri" w:hAnsi="Calibri" w:cs="Calibri"/>
          </w:rPr>
          <w:t>here</w:t>
        </w:r>
      </w:hyperlink>
      <w:r w:rsidRPr="00DD7BD1">
        <w:rPr>
          <w:rFonts w:ascii="Calibri" w:hAnsi="Calibri" w:cs="Calibri"/>
        </w:rPr>
        <w:t>.</w:t>
      </w:r>
    </w:p>
    <w:p w14:paraId="446D8683" w14:textId="77777777" w:rsidR="003B29FD" w:rsidRPr="00DD7BD1" w:rsidRDefault="003B29FD" w:rsidP="003B29FD">
      <w:pPr>
        <w:pStyle w:val="ListParagraph"/>
        <w:spacing w:after="0"/>
        <w:ind w:left="90" w:right="270"/>
        <w:rPr>
          <w:rFonts w:ascii="Calibri" w:hAnsi="Calibri" w:cs="Calibri"/>
          <w:b/>
          <w:bCs/>
          <w:sz w:val="16"/>
          <w:szCs w:val="16"/>
        </w:rPr>
      </w:pPr>
    </w:p>
    <w:p w14:paraId="38CE1AE5"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More Information</w:t>
      </w:r>
      <w:r w:rsidRPr="00DD7BD1">
        <w:rPr>
          <w:rFonts w:ascii="Calibri" w:hAnsi="Calibri" w:cs="Calibri"/>
        </w:rPr>
        <w:br/>
        <w:t>The state has a </w:t>
      </w:r>
      <w:hyperlink r:id="rId786" w:tgtFrame="_blank" w:history="1">
        <w:r w:rsidRPr="00DD7BD1">
          <w:rPr>
            <w:rStyle w:val="Hyperlink"/>
            <w:rFonts w:ascii="Calibri" w:hAnsi="Calibri" w:cs="Calibri"/>
          </w:rPr>
          <w:t>website</w:t>
        </w:r>
      </w:hyperlink>
      <w:r w:rsidRPr="00DD7BD1">
        <w:rPr>
          <w:rFonts w:ascii="Calibri" w:hAnsi="Calibri" w:cs="Calibri"/>
        </w:rPr>
        <w:t> with FAQs, an overview of the program, model notices in additional languages, and other resources for employers</w:t>
      </w:r>
    </w:p>
    <w:p w14:paraId="01B38AF4" w14:textId="77777777" w:rsidR="003B29FD" w:rsidRPr="00DD7BD1" w:rsidRDefault="003B29FD" w:rsidP="003B29FD">
      <w:pPr>
        <w:spacing w:after="0" w:line="240" w:lineRule="auto"/>
        <w:jc w:val="both"/>
        <w:rPr>
          <w:rStyle w:val="Strong"/>
          <w:rFonts w:ascii="Calibri" w:eastAsia="Times New Roman" w:hAnsi="Calibri" w:cs="Calibri"/>
        </w:rPr>
      </w:pPr>
    </w:p>
    <w:p w14:paraId="6B1A2AD4" w14:textId="7B6F8E50" w:rsidR="00AF4ED7" w:rsidRPr="00DD7BD1" w:rsidRDefault="00AF4ED7" w:rsidP="003B29FD">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Maine Retirement Investment Trust Savings Program Registration Deadlines Approach</w:t>
      </w:r>
    </w:p>
    <w:p w14:paraId="65E9FE13"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Maine Retirement Investment Trust Savings Program (</w:t>
      </w:r>
      <w:proofErr w:type="spellStart"/>
      <w:r w:rsidRPr="00DD7BD1">
        <w:rPr>
          <w:rFonts w:ascii="Calibri" w:hAnsi="Calibri" w:cs="Calibri"/>
          <w:sz w:val="22"/>
          <w:szCs w:val="22"/>
        </w:rPr>
        <w:t>MERITSaves</w:t>
      </w:r>
      <w:proofErr w:type="spellEnd"/>
      <w:r w:rsidRPr="00DD7BD1">
        <w:rPr>
          <w:rFonts w:ascii="Calibri" w:hAnsi="Calibri" w:cs="Calibri"/>
          <w:sz w:val="22"/>
          <w:szCs w:val="22"/>
        </w:rPr>
        <w:t>), signed into law on June 23, 2021, is a retirement savings program designed for most private sector employees who lack access to qualified employer-sponsored retirement plans.</w:t>
      </w:r>
    </w:p>
    <w:p w14:paraId="5CC510DE"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0F24F90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DD7BD1">
        <w:rPr>
          <w:rFonts w:ascii="Calibri" w:hAnsi="Calibri" w:cs="Calibri"/>
          <w:color w:val="C00000"/>
          <w:sz w:val="22"/>
          <w:szCs w:val="22"/>
        </w:rPr>
        <w:t>June 30, 2024</w:t>
      </w:r>
      <w:r w:rsidRPr="00DD7BD1">
        <w:rPr>
          <w:rFonts w:ascii="Calibri" w:hAnsi="Calibri" w:cs="Calibri"/>
          <w:sz w:val="22"/>
          <w:szCs w:val="22"/>
        </w:rPr>
        <w:t xml:space="preserve">. Employers offering a qualified retirement program may certify exemption through </w:t>
      </w:r>
      <w:proofErr w:type="spellStart"/>
      <w:r w:rsidRPr="00DD7BD1">
        <w:rPr>
          <w:rFonts w:ascii="Calibri" w:hAnsi="Calibri" w:cs="Calibri"/>
          <w:sz w:val="22"/>
          <w:szCs w:val="22"/>
        </w:rPr>
        <w:t>MERITSaves</w:t>
      </w:r>
      <w:proofErr w:type="spellEnd"/>
      <w:r w:rsidRPr="00DD7BD1">
        <w:rPr>
          <w:rFonts w:ascii="Calibri" w:hAnsi="Calibri" w:cs="Calibri"/>
          <w:sz w:val="22"/>
          <w:szCs w:val="22"/>
        </w:rPr>
        <w:t>.</w:t>
      </w:r>
    </w:p>
    <w:p w14:paraId="187350DA"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1AF1689B"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Details about the program may be found on the</w:t>
      </w:r>
      <w:r w:rsidRPr="00DD7BD1">
        <w:rPr>
          <w:rStyle w:val="Hyperlink"/>
          <w:rFonts w:ascii="Calibri" w:hAnsi="Calibri" w:cs="Calibri"/>
          <w:color w:val="3052DA"/>
        </w:rPr>
        <w:t> </w:t>
      </w:r>
      <w:hyperlink r:id="rId787" w:history="1">
        <w:r w:rsidRPr="00DD7BD1">
          <w:rPr>
            <w:rStyle w:val="Hyperlink"/>
            <w:rFonts w:ascii="Calibri" w:hAnsi="Calibri" w:cs="Calibri"/>
            <w:color w:val="3052DA"/>
            <w:sz w:val="22"/>
            <w:szCs w:val="22"/>
          </w:rPr>
          <w:t>Maine Retirement Investment Trust Savings Program</w:t>
        </w:r>
      </w:hyperlink>
      <w:r w:rsidRPr="00DD7BD1">
        <w:rPr>
          <w:rFonts w:ascii="Calibri" w:hAnsi="Calibri" w:cs="Calibri"/>
          <w:color w:val="282828"/>
          <w:sz w:val="22"/>
          <w:szCs w:val="22"/>
        </w:rPr>
        <w:t> </w:t>
      </w:r>
      <w:r w:rsidRPr="00DD7BD1">
        <w:rPr>
          <w:rFonts w:ascii="Calibri" w:hAnsi="Calibri" w:cs="Calibri"/>
          <w:sz w:val="22"/>
          <w:szCs w:val="22"/>
        </w:rPr>
        <w:t xml:space="preserve">page and on the </w:t>
      </w:r>
      <w:proofErr w:type="spellStart"/>
      <w:r w:rsidRPr="00DD7BD1">
        <w:rPr>
          <w:rFonts w:ascii="Calibri" w:hAnsi="Calibri" w:cs="Calibri"/>
          <w:sz w:val="22"/>
          <w:szCs w:val="22"/>
        </w:rPr>
        <w:t>MERITSaves</w:t>
      </w:r>
      <w:proofErr w:type="spellEnd"/>
      <w:r w:rsidRPr="00DD7BD1">
        <w:rPr>
          <w:rFonts w:ascii="Calibri" w:hAnsi="Calibri" w:cs="Calibri"/>
          <w:sz w:val="22"/>
          <w:szCs w:val="22"/>
        </w:rPr>
        <w:t> </w:t>
      </w:r>
      <w:hyperlink r:id="rId788" w:tgtFrame="_blank" w:history="1">
        <w:r w:rsidRPr="00DD7BD1">
          <w:rPr>
            <w:rStyle w:val="Hyperlink"/>
            <w:rFonts w:ascii="Calibri" w:hAnsi="Calibri" w:cs="Calibri"/>
            <w:color w:val="3052DA"/>
            <w:sz w:val="22"/>
            <w:szCs w:val="22"/>
          </w:rPr>
          <w:t>website</w:t>
        </w:r>
      </w:hyperlink>
      <w:r w:rsidRPr="00DD7BD1">
        <w:rPr>
          <w:rFonts w:ascii="Calibri" w:hAnsi="Calibri" w:cs="Calibri"/>
          <w:color w:val="282828"/>
          <w:sz w:val="22"/>
          <w:szCs w:val="22"/>
        </w:rPr>
        <w:t>.</w:t>
      </w:r>
    </w:p>
    <w:p w14:paraId="1ABF0912" w14:textId="77777777" w:rsidR="008C6649" w:rsidRPr="00DD7BD1" w:rsidRDefault="008C6649" w:rsidP="00472E17">
      <w:pPr>
        <w:spacing w:after="0" w:line="240" w:lineRule="auto"/>
        <w:jc w:val="both"/>
        <w:rPr>
          <w:rFonts w:ascii="Calibri" w:hAnsi="Calibri" w:cs="Calibri"/>
          <w:b/>
          <w:bCs/>
          <w:color w:val="2E74B5" w:themeColor="accent5" w:themeShade="BF"/>
          <w:sz w:val="20"/>
          <w:szCs w:val="20"/>
          <w:shd w:val="clear" w:color="auto" w:fill="FFFFFF"/>
          <w:lang w:val="en"/>
        </w:rPr>
      </w:pPr>
    </w:p>
    <w:p w14:paraId="5A9A4303" w14:textId="4C9FAD93" w:rsidR="00EC2A47" w:rsidRPr="00DD7BD1" w:rsidRDefault="00472E17" w:rsidP="00EC2A47">
      <w:pPr>
        <w:spacing w:after="0" w:line="240" w:lineRule="auto"/>
        <w:jc w:val="both"/>
        <w:rPr>
          <w:rFonts w:ascii="Calibri" w:hAnsi="Calibri" w:cs="Calibri"/>
          <w:b/>
          <w:bCs/>
          <w:color w:val="2E74B5" w:themeColor="accent5" w:themeShade="BF"/>
          <w:sz w:val="28"/>
          <w:szCs w:val="28"/>
          <w:shd w:val="clear" w:color="auto" w:fill="FFFFFF"/>
          <w:lang w:val="en"/>
        </w:rPr>
      </w:pPr>
      <w:r w:rsidRPr="00FC38AC">
        <w:rPr>
          <w:rFonts w:ascii="Calibri" w:hAnsi="Calibri" w:cs="Calibri"/>
          <w:b/>
          <w:bCs/>
          <w:color w:val="2E74B5" w:themeColor="accent5" w:themeShade="BF"/>
          <w:sz w:val="28"/>
          <w:szCs w:val="28"/>
          <w:shd w:val="clear" w:color="auto" w:fill="FFFFFF"/>
          <w:lang w:val="en"/>
        </w:rPr>
        <w:t>Maryland</w:t>
      </w:r>
      <w:bookmarkStart w:id="97" w:name="_Hlk190083451"/>
      <w:bookmarkStart w:id="98" w:name="_Hlk183166337"/>
    </w:p>
    <w:p w14:paraId="1B2AC64B" w14:textId="77777777" w:rsidR="00204F44" w:rsidRDefault="00204F44" w:rsidP="00204F44">
      <w:pPr>
        <w:rPr>
          <w:b/>
          <w:bCs/>
          <w:caps/>
          <w:noProof/>
          <w:color w:val="0E425C"/>
          <w:sz w:val="26"/>
          <w:szCs w:val="26"/>
        </w:rPr>
      </w:pPr>
      <w:r w:rsidRPr="003633E8">
        <w:rPr>
          <w:b/>
          <w:bCs/>
          <w:caps/>
          <w:color w:val="0070C0"/>
          <w:sz w:val="26"/>
          <w:szCs w:val="26"/>
        </w:rPr>
        <w:t xml:space="preserve">New! </w:t>
      </w:r>
      <w:r w:rsidRPr="003633E8">
        <w:rPr>
          <w:b/>
          <w:bCs/>
          <w:caps/>
          <w:noProof/>
          <w:color w:val="0E425C"/>
          <w:sz w:val="26"/>
          <w:szCs w:val="26"/>
        </w:rPr>
        <w:t xml:space="preserve">State Expands Veteran Employment Preferences Effective </w:t>
      </w:r>
      <w:r w:rsidRPr="003633E8">
        <w:rPr>
          <w:b/>
          <w:bCs/>
          <w:caps/>
          <w:color w:val="0070C0"/>
          <w:sz w:val="26"/>
          <w:szCs w:val="26"/>
        </w:rPr>
        <w:t>October 1, 2026</w:t>
      </w:r>
    </w:p>
    <w:p w14:paraId="5305F0EE" w14:textId="77777777" w:rsidR="00204F44" w:rsidRPr="00301C5F" w:rsidRDefault="00204F44" w:rsidP="00204F44">
      <w:r w:rsidRPr="00301C5F">
        <w:t xml:space="preserve">Beginning October 1, Maryland’s veterans’ preference law, which applies to employers of all sizes, will be expanded to </w:t>
      </w:r>
      <w:r w:rsidRPr="00301C5F">
        <w:rPr>
          <w:u w:val="single"/>
        </w:rPr>
        <w:t>allow</w:t>
      </w:r>
      <w:r w:rsidRPr="00301C5F">
        <w:t xml:space="preserve"> employers to extend hiring and promotion preferences to veterans with any discharge status except dishonorable</w:t>
      </w:r>
      <w:r>
        <w:t xml:space="preserve"> under </w:t>
      </w:r>
      <w:hyperlink r:id="rId789" w:tgtFrame="_blank" w:history="1">
        <w:r w:rsidRPr="00301C5F">
          <w:rPr>
            <w:rStyle w:val="Hyperlink"/>
          </w:rPr>
          <w:t>HB 721/SB 243</w:t>
        </w:r>
      </w:hyperlink>
      <w:r w:rsidRPr="00301C5F">
        <w:t>. Previously, this allowance was limited to honorably discharged veterans only</w:t>
      </w:r>
      <w:r>
        <w:t>.</w:t>
      </w:r>
    </w:p>
    <w:p w14:paraId="25F8B174" w14:textId="77777777"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50BC848F" w14:textId="77777777" w:rsidR="00204F44" w:rsidRDefault="00204F44">
      <w:pPr>
        <w:pStyle w:val="ListParagraph"/>
        <w:numPr>
          <w:ilvl w:val="0"/>
          <w:numId w:val="364"/>
        </w:numPr>
        <w:spacing w:after="100" w:line="276" w:lineRule="auto"/>
        <w:rPr>
          <w:caps/>
          <w:noProof/>
          <w:color w:val="0E425C"/>
        </w:rPr>
      </w:pPr>
      <w:r>
        <w:rPr>
          <w:caps/>
          <w:noProof/>
          <w:color w:val="0E425C"/>
        </w:rPr>
        <w:t xml:space="preserve">Local Minimum Wage Increases </w:t>
      </w:r>
      <w:r w:rsidRPr="0055141A">
        <w:rPr>
          <w:caps/>
          <w:noProof/>
          <w:color w:val="0E425C"/>
        </w:rPr>
        <w:t xml:space="preserve">effective </w:t>
      </w:r>
      <w:r>
        <w:rPr>
          <w:caps/>
          <w:color w:val="0070C0"/>
        </w:rPr>
        <w:t>July</w:t>
      </w:r>
      <w:r w:rsidRPr="0055141A">
        <w:rPr>
          <w:caps/>
          <w:color w:val="0070C0"/>
        </w:rPr>
        <w:t xml:space="preserve"> 1, 2026</w:t>
      </w:r>
    </w:p>
    <w:p w14:paraId="6B363E7C" w14:textId="77777777" w:rsidR="00204F44" w:rsidRDefault="00204F44">
      <w:pPr>
        <w:pStyle w:val="ListParagraph"/>
        <w:numPr>
          <w:ilvl w:val="1"/>
          <w:numId w:val="364"/>
        </w:numPr>
        <w:spacing w:after="100" w:line="276" w:lineRule="auto"/>
        <w:rPr>
          <w:caps/>
          <w:noProof/>
          <w:color w:val="0E425C"/>
        </w:rPr>
      </w:pPr>
      <w:r w:rsidRPr="00301C5F">
        <w:rPr>
          <w:caps/>
          <w:noProof/>
          <w:color w:val="0E425C"/>
        </w:rPr>
        <w:t xml:space="preserve"> Howard County </w:t>
      </w:r>
    </w:p>
    <w:p w14:paraId="1B080167" w14:textId="77777777" w:rsidR="00204F44" w:rsidRDefault="00204F44">
      <w:pPr>
        <w:pStyle w:val="ListParagraph"/>
        <w:numPr>
          <w:ilvl w:val="1"/>
          <w:numId w:val="364"/>
        </w:numPr>
        <w:spacing w:after="100" w:line="276" w:lineRule="auto"/>
        <w:rPr>
          <w:caps/>
          <w:noProof/>
          <w:color w:val="0E425C"/>
        </w:rPr>
      </w:pPr>
      <w:r>
        <w:rPr>
          <w:caps/>
          <w:noProof/>
          <w:color w:val="0E425C"/>
        </w:rPr>
        <w:t>Montgomery County</w:t>
      </w:r>
    </w:p>
    <w:p w14:paraId="0A0BA9B6" w14:textId="7154B418" w:rsidR="00204F44" w:rsidRPr="00204F44" w:rsidRDefault="00204F44">
      <w:pPr>
        <w:pStyle w:val="ListParagraph"/>
        <w:numPr>
          <w:ilvl w:val="0"/>
          <w:numId w:val="364"/>
        </w:numPr>
        <w:spacing w:after="100" w:line="276" w:lineRule="auto"/>
        <w:rPr>
          <w:caps/>
          <w:noProof/>
          <w:color w:val="0E425C"/>
        </w:rPr>
      </w:pPr>
      <w:r w:rsidRPr="0055141A">
        <w:rPr>
          <w:caps/>
          <w:noProof/>
          <w:color w:val="0E425C"/>
        </w:rPr>
        <w:t xml:space="preserve">State limits Captive Audience Meetings effective </w:t>
      </w:r>
      <w:r w:rsidRPr="0055141A">
        <w:rPr>
          <w:caps/>
          <w:color w:val="0070C0"/>
        </w:rPr>
        <w:t>October 1, 2026</w:t>
      </w:r>
    </w:p>
    <w:p w14:paraId="61B11DF3" w14:textId="700EFCF8" w:rsidR="00C6528C" w:rsidRDefault="00C6528C" w:rsidP="00C6528C">
      <w:pPr>
        <w:rPr>
          <w:b/>
          <w:bCs/>
          <w:caps/>
          <w:noProof/>
          <w:color w:val="0E425C"/>
          <w:sz w:val="28"/>
          <w:szCs w:val="28"/>
        </w:rPr>
      </w:pPr>
      <w:r w:rsidRPr="00AC570D">
        <w:rPr>
          <w:b/>
          <w:bCs/>
          <w:caps/>
          <w:color w:val="0070C0"/>
          <w:sz w:val="26"/>
          <w:szCs w:val="26"/>
        </w:rPr>
        <w:t xml:space="preserve">New! </w:t>
      </w:r>
      <w:r w:rsidRPr="00AC570D">
        <w:rPr>
          <w:b/>
          <w:bCs/>
          <w:caps/>
          <w:noProof/>
          <w:color w:val="0E425C"/>
          <w:sz w:val="26"/>
          <w:szCs w:val="26"/>
        </w:rPr>
        <w:t>State limits Captive Audience Meetings effective</w:t>
      </w:r>
      <w:r w:rsidRPr="00AC570D">
        <w:rPr>
          <w:b/>
          <w:bCs/>
          <w:caps/>
          <w:noProof/>
          <w:color w:val="0E425C"/>
          <w:sz w:val="28"/>
          <w:szCs w:val="28"/>
        </w:rPr>
        <w:t xml:space="preserve"> </w:t>
      </w:r>
      <w:r w:rsidRPr="00AC570D">
        <w:rPr>
          <w:b/>
          <w:bCs/>
          <w:caps/>
          <w:color w:val="0070C0"/>
          <w:sz w:val="26"/>
          <w:szCs w:val="26"/>
        </w:rPr>
        <w:t>October 1, 2026</w:t>
      </w:r>
    </w:p>
    <w:p w14:paraId="62D6E2D8" w14:textId="77777777" w:rsidR="00C6528C" w:rsidRPr="00E155F7" w:rsidRDefault="00C6528C" w:rsidP="00C6528C">
      <w:r>
        <w:lastRenderedPageBreak/>
        <w:t xml:space="preserve">With the passing of </w:t>
      </w:r>
      <w:hyperlink r:id="rId790" w:tgtFrame="_blank" w:history="1">
        <w:r w:rsidRPr="00E155F7">
          <w:rPr>
            <w:rStyle w:val="Hyperlink"/>
            <w:bCs/>
            <w:caps/>
            <w:noProof/>
          </w:rPr>
          <w:t>MD S 417</w:t>
        </w:r>
      </w:hyperlink>
      <w:r>
        <w:t>, E</w:t>
      </w:r>
      <w:r w:rsidRPr="00E155F7">
        <w:t xml:space="preserve">mployers of all sizes will be subject to </w:t>
      </w:r>
      <w:r>
        <w:t>the state’s</w:t>
      </w:r>
      <w:r w:rsidRPr="00E155F7">
        <w:t xml:space="preserve"> new captive audience law. </w:t>
      </w:r>
      <w:r>
        <w:t xml:space="preserve">As a result, employers cannot </w:t>
      </w:r>
      <w:r w:rsidRPr="00E155F7">
        <w:t>take—or threaten to take—adverse action against an employee or applicant for not attending or participating in an employer-sponsored meeting that shares the employer’s opinion on political or religious matters. The same protections apply to an employee refusing to listen to employer communications for these purposes.</w:t>
      </w:r>
    </w:p>
    <w:p w14:paraId="68C96410" w14:textId="77777777" w:rsidR="00C6528C" w:rsidRPr="00E155F7" w:rsidRDefault="00C6528C" w:rsidP="00C6528C">
      <w:r w:rsidRPr="00E155F7">
        <w:t>Matters are religious if they relate to religious belief, affiliation, and practice or the decision to join and support any religious organization or association. Matters are considered political if they relate to any of the following:</w:t>
      </w:r>
    </w:p>
    <w:p w14:paraId="1110B3B9" w14:textId="77777777" w:rsidR="00C6528C" w:rsidRPr="00E155F7" w:rsidRDefault="00C6528C">
      <w:pPr>
        <w:numPr>
          <w:ilvl w:val="0"/>
          <w:numId w:val="354"/>
        </w:numPr>
        <w:spacing w:after="100" w:line="240" w:lineRule="auto"/>
      </w:pPr>
      <w:r w:rsidRPr="00E155F7">
        <w:t>Elections for political office</w:t>
      </w:r>
    </w:p>
    <w:p w14:paraId="48CB87FD" w14:textId="77777777" w:rsidR="00C6528C" w:rsidRPr="00E155F7" w:rsidRDefault="00C6528C">
      <w:pPr>
        <w:numPr>
          <w:ilvl w:val="0"/>
          <w:numId w:val="354"/>
        </w:numPr>
        <w:spacing w:after="100" w:line="240" w:lineRule="auto"/>
      </w:pPr>
      <w:r w:rsidRPr="00E155F7">
        <w:t>Political parties</w:t>
      </w:r>
    </w:p>
    <w:p w14:paraId="432CCF33" w14:textId="77777777" w:rsidR="00C6528C" w:rsidRPr="00E155F7" w:rsidRDefault="00C6528C">
      <w:pPr>
        <w:numPr>
          <w:ilvl w:val="0"/>
          <w:numId w:val="354"/>
        </w:numPr>
        <w:spacing w:after="100" w:line="240" w:lineRule="auto"/>
      </w:pPr>
      <w:r w:rsidRPr="00E155F7">
        <w:t>Proposals to change legislation, regulations, or public policy</w:t>
      </w:r>
    </w:p>
    <w:p w14:paraId="2915ACA6" w14:textId="77777777" w:rsidR="00C6528C" w:rsidRPr="00E155F7" w:rsidRDefault="00C6528C">
      <w:pPr>
        <w:numPr>
          <w:ilvl w:val="0"/>
          <w:numId w:val="354"/>
        </w:numPr>
        <w:spacing w:after="100" w:line="240" w:lineRule="auto"/>
      </w:pPr>
      <w:r w:rsidRPr="00E155F7">
        <w:t>The decision to join or support any political party or political, civic, community, fraternal, or labor organization</w:t>
      </w:r>
    </w:p>
    <w:p w14:paraId="3F8D1CF8" w14:textId="77777777" w:rsidR="00C6528C" w:rsidRPr="00E155F7" w:rsidRDefault="00C6528C" w:rsidP="00C6528C">
      <w:r w:rsidRPr="00E155F7">
        <w:t>The law contains several exceptions, including (but not limited to) legally required communications and trainings, and those necessary for employees to perform their job duties. Additionally, the restrictions on religious communications don’t apply to religious organizations, and the political communication restrictions don’t apply to political organizations.</w:t>
      </w:r>
    </w:p>
    <w:p w14:paraId="239D2692" w14:textId="77777777" w:rsidR="00C6528C" w:rsidRPr="00E155F7" w:rsidRDefault="00C6528C" w:rsidP="00C6528C">
      <w:pPr>
        <w:rPr>
          <w:b/>
          <w:bCs/>
        </w:rPr>
      </w:pPr>
      <w:r w:rsidRPr="00E155F7">
        <w:rPr>
          <w:b/>
          <w:bCs/>
        </w:rPr>
        <w:t>Notices and Postings</w:t>
      </w:r>
    </w:p>
    <w:p w14:paraId="5EDD65A9" w14:textId="77777777" w:rsidR="00C6528C" w:rsidRPr="00E155F7" w:rsidRDefault="00C6528C" w:rsidP="00C6528C">
      <w:r w:rsidRPr="00E155F7">
        <w:t>Employers must post a notice about these rights where employee notices are customarily posted or in another conspicuous place accessible to all employees. A notice must also be given to each employee upon hire.</w:t>
      </w:r>
    </w:p>
    <w:p w14:paraId="14366568" w14:textId="2E7DBD67" w:rsidR="00C6528C" w:rsidRPr="00C6528C" w:rsidRDefault="00C6528C" w:rsidP="00C6528C">
      <w:r w:rsidRPr="00E155F7">
        <w:t>The poster and model notice will be issued by the Commissioner of Labor and Industry and made available in English and other languages commonly used in the state by November 1, 2026.</w:t>
      </w:r>
    </w:p>
    <w:p w14:paraId="0305D4EB" w14:textId="370349E3" w:rsidR="005A44E9" w:rsidRPr="00A72BB3" w:rsidRDefault="005A44E9" w:rsidP="005A44E9">
      <w:pPr>
        <w:jc w:val="center"/>
        <w:rPr>
          <w:b/>
          <w:bCs/>
          <w:caps/>
          <w:noProof/>
          <w:color w:val="0E425C"/>
          <w:sz w:val="26"/>
          <w:szCs w:val="26"/>
        </w:rPr>
      </w:pPr>
      <w:r w:rsidRPr="00A72BB3">
        <w:rPr>
          <w:b/>
          <w:bCs/>
          <w:caps/>
          <w:noProof/>
          <w:color w:val="0E425C"/>
          <w:sz w:val="26"/>
          <w:szCs w:val="26"/>
        </w:rPr>
        <w:t xml:space="preserve">State Publishes FAMLI </w:t>
      </w:r>
      <w:r>
        <w:rPr>
          <w:b/>
          <w:bCs/>
          <w:caps/>
          <w:noProof/>
          <w:color w:val="0E425C"/>
          <w:sz w:val="26"/>
          <w:szCs w:val="26"/>
        </w:rPr>
        <w:t>Contribution Rates</w:t>
      </w:r>
      <w:r w:rsidRPr="00A72BB3">
        <w:rPr>
          <w:b/>
          <w:bCs/>
          <w:caps/>
          <w:noProof/>
          <w:color w:val="0E425C"/>
          <w:sz w:val="26"/>
          <w:szCs w:val="26"/>
        </w:rPr>
        <w:t>, Private PLan Dates &amp; FAQs</w:t>
      </w:r>
    </w:p>
    <w:p w14:paraId="11C5FE23" w14:textId="77777777" w:rsidR="005A44E9" w:rsidRDefault="005A44E9" w:rsidP="005A44E9">
      <w:pPr>
        <w:jc w:val="center"/>
        <w:rPr>
          <w:b/>
          <w:bCs/>
          <w:caps/>
          <w:noProof/>
          <w:color w:val="0E425C"/>
          <w:sz w:val="28"/>
          <w:szCs w:val="28"/>
        </w:rPr>
      </w:pPr>
      <w:r w:rsidRPr="00A72BB3">
        <w:rPr>
          <w:b/>
          <w:bCs/>
          <w:caps/>
          <w:noProof/>
          <w:color w:val="0E425C"/>
          <w:sz w:val="26"/>
          <w:szCs w:val="26"/>
        </w:rPr>
        <w:t>Contributions Start</w:t>
      </w:r>
      <w:r>
        <w:rPr>
          <w:b/>
          <w:bCs/>
          <w:caps/>
          <w:noProof/>
          <w:color w:val="0E425C"/>
          <w:sz w:val="28"/>
          <w:szCs w:val="28"/>
        </w:rPr>
        <w:t xml:space="preserve"> </w:t>
      </w:r>
      <w:r w:rsidRPr="00A72BB3">
        <w:rPr>
          <w:b/>
          <w:bCs/>
          <w:caps/>
          <w:color w:val="0070C0"/>
          <w:sz w:val="26"/>
          <w:szCs w:val="26"/>
        </w:rPr>
        <w:t>Jan 1, 2027</w:t>
      </w:r>
      <w:r>
        <w:rPr>
          <w:b/>
          <w:bCs/>
          <w:caps/>
          <w:noProof/>
          <w:color w:val="0E425C"/>
          <w:sz w:val="28"/>
          <w:szCs w:val="28"/>
        </w:rPr>
        <w:t xml:space="preserve"> </w:t>
      </w:r>
      <w:r w:rsidRPr="00A72BB3">
        <w:rPr>
          <w:b/>
          <w:bCs/>
          <w:caps/>
          <w:noProof/>
          <w:color w:val="0E425C"/>
          <w:sz w:val="26"/>
          <w:szCs w:val="26"/>
        </w:rPr>
        <w:t>&amp; Benefits start No Later tHan</w:t>
      </w:r>
      <w:r>
        <w:rPr>
          <w:b/>
          <w:bCs/>
          <w:caps/>
          <w:noProof/>
          <w:color w:val="0E425C"/>
          <w:sz w:val="28"/>
          <w:szCs w:val="28"/>
        </w:rPr>
        <w:t xml:space="preserve"> </w:t>
      </w:r>
      <w:r w:rsidRPr="00A72BB3">
        <w:rPr>
          <w:b/>
          <w:bCs/>
          <w:caps/>
          <w:color w:val="0070C0"/>
          <w:sz w:val="26"/>
          <w:szCs w:val="26"/>
        </w:rPr>
        <w:t>Jan 3, 2028</w:t>
      </w:r>
    </w:p>
    <w:p w14:paraId="73B3321F" w14:textId="77777777" w:rsidR="005A44E9" w:rsidRPr="00583620" w:rsidRDefault="005A44E9" w:rsidP="005A44E9">
      <w:r w:rsidRPr="00583620">
        <w:t>Following the publication of</w:t>
      </w:r>
      <w:r>
        <w:t xml:space="preserve"> </w:t>
      </w:r>
      <w:hyperlink r:id="rId791" w:history="1">
        <w:r w:rsidRPr="00F67A01">
          <w:rPr>
            <w:rStyle w:val="Hyperlink"/>
          </w:rPr>
          <w:t>final regulations</w:t>
        </w:r>
      </w:hyperlink>
      <w:r>
        <w:t xml:space="preserve"> </w:t>
      </w:r>
      <w:r w:rsidRPr="00583620">
        <w:t>for the state’s paid family and medical leave insurance (FAMLI)</w:t>
      </w:r>
      <w:r>
        <w:t xml:space="preserve"> </w:t>
      </w:r>
      <w:hyperlink r:id="rId792" w:history="1">
        <w:r w:rsidRPr="004725F2">
          <w:rPr>
            <w:rStyle w:val="Hyperlink"/>
          </w:rPr>
          <w:t>program</w:t>
        </w:r>
      </w:hyperlink>
      <w:r w:rsidRPr="00583620">
        <w:t>, the Maryland Department of Labor has announced the initial FAMLI contribution rate. It has also issued</w:t>
      </w:r>
      <w:r>
        <w:t xml:space="preserve"> </w:t>
      </w:r>
      <w:hyperlink r:id="rId793" w:history="1">
        <w:r w:rsidRPr="00001A0B">
          <w:rPr>
            <w:rStyle w:val="Hyperlink"/>
          </w:rPr>
          <w:t>answers to frequently asked questions</w:t>
        </w:r>
      </w:hyperlink>
      <w:r>
        <w:t xml:space="preserve"> </w:t>
      </w:r>
      <w:r w:rsidRPr="00583620">
        <w:t xml:space="preserve">(FAQs) about the program and given a time window during which employers may submit a declaration of intent (DOI) to file an application for an equivalent private insurance plan. </w:t>
      </w:r>
    </w:p>
    <w:p w14:paraId="3C96C2F4" w14:textId="77777777" w:rsidR="005A44E9" w:rsidRPr="00583620" w:rsidRDefault="005A44E9">
      <w:pPr>
        <w:pStyle w:val="ListParagraph"/>
        <w:numPr>
          <w:ilvl w:val="0"/>
          <w:numId w:val="337"/>
        </w:numPr>
        <w:tabs>
          <w:tab w:val="left" w:pos="8550"/>
        </w:tabs>
        <w:spacing w:after="100" w:line="276" w:lineRule="auto"/>
        <w:rPr>
          <w:b/>
        </w:rPr>
      </w:pPr>
      <w:r w:rsidRPr="00583620">
        <w:rPr>
          <w:bCs/>
        </w:rPr>
        <w:t>Enacted</w:t>
      </w:r>
      <w:r w:rsidRPr="00583620">
        <w:rPr>
          <w:b/>
        </w:rPr>
        <w:t xml:space="preserve"> </w:t>
      </w:r>
      <w:r w:rsidRPr="00583620">
        <w:t xml:space="preserve">in April 2022 the program provides partially compensated, job-protected employee leave for reasons related to the health and well-being of employees and their family members. </w:t>
      </w:r>
    </w:p>
    <w:p w14:paraId="7EC1CF7F" w14:textId="77777777" w:rsidR="005A44E9" w:rsidRPr="00583620" w:rsidRDefault="005A44E9">
      <w:pPr>
        <w:pStyle w:val="ListParagraph"/>
        <w:numPr>
          <w:ilvl w:val="0"/>
          <w:numId w:val="337"/>
        </w:numPr>
        <w:tabs>
          <w:tab w:val="left" w:pos="8550"/>
        </w:tabs>
        <w:spacing w:after="100" w:line="276" w:lineRule="auto"/>
        <w:rPr>
          <w:b/>
        </w:rPr>
      </w:pPr>
      <w:r w:rsidRPr="00583620">
        <w:rPr>
          <w:b/>
          <w:bCs/>
        </w:rPr>
        <w:t>Nearly all employers are covered</w:t>
      </w:r>
      <w:r w:rsidRPr="00583620">
        <w:t>.</w:t>
      </w:r>
    </w:p>
    <w:p w14:paraId="6C423890" w14:textId="77777777" w:rsidR="005A44E9" w:rsidRPr="00661127" w:rsidRDefault="005A44E9">
      <w:pPr>
        <w:pStyle w:val="ListParagraph"/>
        <w:numPr>
          <w:ilvl w:val="0"/>
          <w:numId w:val="337"/>
        </w:numPr>
        <w:tabs>
          <w:tab w:val="left" w:pos="8550"/>
        </w:tabs>
        <w:spacing w:after="100" w:line="276" w:lineRule="auto"/>
        <w:rPr>
          <w:b/>
        </w:rPr>
      </w:pPr>
      <w:r w:rsidRPr="00583620">
        <w:t>Program is funded through contributions from employers and employees. Employers will remit FAMLI contributions via the</w:t>
      </w:r>
      <w:r w:rsidRPr="00750F22">
        <w:t xml:space="preserve"> </w:t>
      </w:r>
      <w:hyperlink r:id="rId794" w:history="1">
        <w:r w:rsidRPr="00B60033">
          <w:rPr>
            <w:rStyle w:val="Hyperlink"/>
          </w:rPr>
          <w:t>FAMLI website</w:t>
        </w:r>
      </w:hyperlink>
      <w:r w:rsidRPr="00750F22">
        <w:t>.</w:t>
      </w:r>
    </w:p>
    <w:p w14:paraId="4380EF36" w14:textId="77777777" w:rsidR="005A44E9" w:rsidRPr="00583620" w:rsidRDefault="005A44E9">
      <w:pPr>
        <w:pStyle w:val="ListParagraph"/>
        <w:numPr>
          <w:ilvl w:val="0"/>
          <w:numId w:val="337"/>
        </w:numPr>
        <w:tabs>
          <w:tab w:val="left" w:pos="8550"/>
        </w:tabs>
        <w:spacing w:after="100" w:line="276" w:lineRule="auto"/>
        <w:rPr>
          <w:b/>
        </w:rPr>
      </w:pPr>
      <w:r w:rsidRPr="00583620">
        <w:t>Employers with fewer than 15 employees are not required to contribute</w:t>
      </w:r>
    </w:p>
    <w:p w14:paraId="7EAE6280" w14:textId="2F144F2C" w:rsidR="005A44E9" w:rsidRPr="005A44E9" w:rsidRDefault="005A44E9">
      <w:pPr>
        <w:pStyle w:val="ListParagraph"/>
        <w:numPr>
          <w:ilvl w:val="0"/>
          <w:numId w:val="337"/>
        </w:numPr>
        <w:spacing w:after="100" w:line="276" w:lineRule="auto"/>
        <w:rPr>
          <w:rFonts w:ascii="Calibri" w:hAnsi="Calibri" w:cs="Arial"/>
          <w:color w:val="595959"/>
          <w:szCs w:val="20"/>
        </w:rPr>
      </w:pPr>
      <w:r w:rsidRPr="00583620">
        <w:rPr>
          <w:rStyle w:val="BodyTextChar"/>
          <w:rFonts w:eastAsiaTheme="minorHAnsi"/>
          <w:color w:val="auto"/>
        </w:rPr>
        <w:t>The FAMLI statute and regulations allow employers to maintain an</w:t>
      </w:r>
      <w:r>
        <w:rPr>
          <w:rStyle w:val="BodyTextChar"/>
          <w:rFonts w:eastAsiaTheme="minorHAnsi"/>
        </w:rPr>
        <w:t xml:space="preserve"> </w:t>
      </w:r>
      <w:hyperlink r:id="rId795" w:history="1">
        <w:r w:rsidRPr="00B512A8">
          <w:rPr>
            <w:rStyle w:val="Hyperlink"/>
          </w:rPr>
          <w:t>equivalent private insurance plan</w:t>
        </w:r>
      </w:hyperlink>
      <w:r>
        <w:rPr>
          <w:rStyle w:val="BodyTextChar"/>
          <w:rFonts w:eastAsiaTheme="minorHAnsi"/>
        </w:rPr>
        <w:t xml:space="preserve"> </w:t>
      </w:r>
      <w:r w:rsidRPr="00583620">
        <w:rPr>
          <w:rStyle w:val="BodyTextChar"/>
          <w:rFonts w:eastAsiaTheme="minorHAnsi"/>
          <w:color w:val="auto"/>
        </w:rPr>
        <w:t xml:space="preserve">for their employees in lieu of participating in the state FAMLI plan. </w:t>
      </w:r>
      <w:r w:rsidRPr="00583620">
        <w:t xml:space="preserve">Private plans must be approved by the state and must provide benefits and a claims experience that are the same as, or better than, those of the state plan. Private Plans </w:t>
      </w:r>
      <w:r w:rsidRPr="00583620">
        <w:rPr>
          <w:rStyle w:val="BodyTextChar"/>
          <w:rFonts w:eastAsiaTheme="minorHAnsi"/>
          <w:color w:val="auto"/>
        </w:rPr>
        <w:t>must submit a DOI between September 1, 2026, and November 15, 2026.</w:t>
      </w:r>
    </w:p>
    <w:p w14:paraId="37278C3E" w14:textId="648C8A9C" w:rsidR="007E0135" w:rsidRPr="00DD7BD1" w:rsidRDefault="007E0135" w:rsidP="007E0135">
      <w:pPr>
        <w:spacing w:before="11"/>
        <w:ind w:right="-360"/>
        <w:jc w:val="center"/>
        <w:rPr>
          <w:rFonts w:ascii="Calibri" w:hAnsi="Calibri" w:cs="Calibri"/>
          <w:b/>
          <w:sz w:val="28"/>
        </w:rPr>
      </w:pPr>
      <w:r w:rsidRPr="00DD7BD1">
        <w:rPr>
          <w:rFonts w:ascii="Calibri" w:hAnsi="Calibri" w:cs="Calibri"/>
          <w:b/>
          <w:spacing w:val="-8"/>
          <w:sz w:val="28"/>
        </w:rPr>
        <w:t>State</w:t>
      </w:r>
      <w:r w:rsidRPr="00DD7BD1">
        <w:rPr>
          <w:rFonts w:ascii="Calibri" w:hAnsi="Calibri" w:cs="Calibri"/>
          <w:b/>
          <w:spacing w:val="-12"/>
          <w:sz w:val="28"/>
        </w:rPr>
        <w:t xml:space="preserve"> </w:t>
      </w:r>
      <w:r w:rsidRPr="00DD7BD1">
        <w:rPr>
          <w:rFonts w:ascii="Calibri" w:hAnsi="Calibri" w:cs="Calibri"/>
          <w:b/>
          <w:spacing w:val="-8"/>
          <w:sz w:val="28"/>
        </w:rPr>
        <w:t>Expands Deployment</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6"/>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8"/>
          <w:sz w:val="28"/>
        </w:rPr>
        <w:t>Oct</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1, 2025</w:t>
      </w:r>
    </w:p>
    <w:p w14:paraId="033BFCB2" w14:textId="77777777" w:rsidR="007E0135" w:rsidRPr="00DD7BD1" w:rsidRDefault="007E0135">
      <w:pPr>
        <w:pStyle w:val="ListParagraph"/>
        <w:widowControl w:val="0"/>
        <w:numPr>
          <w:ilvl w:val="0"/>
          <w:numId w:val="245"/>
        </w:numPr>
        <w:autoSpaceDE w:val="0"/>
        <w:autoSpaceDN w:val="0"/>
        <w:spacing w:before="5" w:after="0" w:line="247" w:lineRule="auto"/>
        <w:ind w:left="720" w:right="-360"/>
        <w:contextualSpacing w:val="0"/>
        <w:rPr>
          <w:rFonts w:ascii="Calibri" w:hAnsi="Calibri" w:cs="Calibri"/>
        </w:rPr>
      </w:pPr>
      <w:r w:rsidRPr="00DD7BD1">
        <w:rPr>
          <w:rFonts w:ascii="Calibri" w:hAnsi="Calibri" w:cs="Calibri"/>
          <w:w w:val="110"/>
        </w:rPr>
        <w:t>As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October</w:t>
      </w:r>
      <w:r w:rsidRPr="00DD7BD1">
        <w:rPr>
          <w:rFonts w:ascii="Calibri" w:hAnsi="Calibri" w:cs="Calibri"/>
          <w:spacing w:val="-11"/>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2025,</w:t>
      </w:r>
      <w:r w:rsidRPr="00DD7BD1">
        <w:rPr>
          <w:rFonts w:ascii="Calibri" w:hAnsi="Calibri" w:cs="Calibri"/>
          <w:spacing w:val="-9"/>
          <w:w w:val="110"/>
        </w:rPr>
        <w:t xml:space="preserve"> </w:t>
      </w:r>
      <w:r w:rsidRPr="00DD7BD1">
        <w:rPr>
          <w:rFonts w:ascii="Calibri" w:hAnsi="Calibri" w:cs="Calibri"/>
          <w:w w:val="110"/>
        </w:rPr>
        <w:t>Maryland’s</w:t>
      </w:r>
      <w:r w:rsidRPr="00DD7BD1">
        <w:rPr>
          <w:rFonts w:ascii="Calibri" w:hAnsi="Calibri" w:cs="Calibri"/>
          <w:spacing w:val="-8"/>
          <w:w w:val="110"/>
        </w:rPr>
        <w:t xml:space="preserve"> </w:t>
      </w:r>
      <w:r w:rsidRPr="00DD7BD1">
        <w:rPr>
          <w:rFonts w:ascii="Calibri" w:hAnsi="Calibri" w:cs="Calibri"/>
          <w:w w:val="110"/>
        </w:rPr>
        <w:t>family</w:t>
      </w:r>
      <w:r w:rsidRPr="00DD7BD1">
        <w:rPr>
          <w:rFonts w:ascii="Calibri" w:hAnsi="Calibri" w:cs="Calibri"/>
          <w:spacing w:val="-8"/>
          <w:w w:val="110"/>
        </w:rPr>
        <w:t xml:space="preserve"> </w:t>
      </w:r>
      <w:r w:rsidRPr="00DD7BD1">
        <w:rPr>
          <w:rFonts w:ascii="Calibri" w:hAnsi="Calibri" w:cs="Calibri"/>
          <w:w w:val="110"/>
        </w:rPr>
        <w:t>deployment</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law</w:t>
      </w:r>
      <w:r w:rsidRPr="00DD7BD1">
        <w:rPr>
          <w:rFonts w:ascii="Calibri" w:hAnsi="Calibri" w:cs="Calibri"/>
          <w:spacing w:val="-10"/>
          <w:w w:val="110"/>
        </w:rPr>
        <w:t xml:space="preserve"> </w:t>
      </w:r>
      <w:r w:rsidRPr="00DD7BD1">
        <w:rPr>
          <w:rFonts w:ascii="Calibri" w:hAnsi="Calibri" w:cs="Calibri"/>
          <w:w w:val="110"/>
        </w:rPr>
        <w:t>will</w:t>
      </w:r>
      <w:r w:rsidRPr="00DD7BD1">
        <w:rPr>
          <w:rFonts w:ascii="Calibri" w:hAnsi="Calibri" w:cs="Calibri"/>
          <w:spacing w:val="-10"/>
          <w:w w:val="110"/>
        </w:rPr>
        <w:t xml:space="preserve"> </w:t>
      </w:r>
      <w:r w:rsidRPr="00DD7BD1">
        <w:rPr>
          <w:rFonts w:ascii="Calibri" w:hAnsi="Calibri" w:cs="Calibri"/>
          <w:w w:val="110"/>
        </w:rPr>
        <w:t>cover</w:t>
      </w:r>
      <w:r w:rsidRPr="00DD7BD1">
        <w:rPr>
          <w:rFonts w:ascii="Calibri" w:hAnsi="Calibri" w:cs="Calibri"/>
          <w:spacing w:val="-9"/>
          <w:w w:val="110"/>
        </w:rPr>
        <w:t xml:space="preserve"> </w:t>
      </w:r>
      <w:r w:rsidRPr="00DD7BD1">
        <w:rPr>
          <w:rFonts w:ascii="Calibri" w:hAnsi="Calibri" w:cs="Calibri"/>
          <w:w w:val="110"/>
        </w:rPr>
        <w:t>deployment</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u w:val="single"/>
        </w:rPr>
        <w:t>National</w:t>
      </w:r>
      <w:r w:rsidRPr="00DD7BD1">
        <w:rPr>
          <w:rFonts w:ascii="Calibri" w:hAnsi="Calibri" w:cs="Calibri"/>
          <w:w w:val="110"/>
        </w:rPr>
        <w:t xml:space="preserve"> </w:t>
      </w:r>
      <w:r w:rsidRPr="00DD7BD1">
        <w:rPr>
          <w:rFonts w:ascii="Calibri" w:hAnsi="Calibri" w:cs="Calibri"/>
          <w:w w:val="110"/>
          <w:u w:val="single"/>
        </w:rPr>
        <w:t>Oceanic</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Atmospheric</w:t>
      </w:r>
      <w:r w:rsidRPr="00DD7BD1">
        <w:rPr>
          <w:rFonts w:ascii="Calibri" w:hAnsi="Calibri" w:cs="Calibri"/>
          <w:spacing w:val="-17"/>
          <w:w w:val="110"/>
          <w:u w:val="single"/>
        </w:rPr>
        <w:t xml:space="preserve"> </w:t>
      </w:r>
      <w:r w:rsidRPr="00DD7BD1">
        <w:rPr>
          <w:rFonts w:ascii="Calibri" w:hAnsi="Calibri" w:cs="Calibri"/>
          <w:w w:val="110"/>
          <w:u w:val="single"/>
        </w:rPr>
        <w:t>Administration</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Public</w:t>
      </w:r>
      <w:r w:rsidRPr="00DD7BD1">
        <w:rPr>
          <w:rFonts w:ascii="Calibri" w:hAnsi="Calibri" w:cs="Calibri"/>
          <w:spacing w:val="-16"/>
          <w:w w:val="110"/>
          <w:u w:val="single"/>
        </w:rPr>
        <w:t xml:space="preserve"> </w:t>
      </w:r>
      <w:r w:rsidRPr="00DD7BD1">
        <w:rPr>
          <w:rFonts w:ascii="Calibri" w:hAnsi="Calibri" w:cs="Calibri"/>
          <w:w w:val="110"/>
          <w:u w:val="single"/>
        </w:rPr>
        <w:t>Health</w:t>
      </w:r>
      <w:r w:rsidRPr="00DD7BD1">
        <w:rPr>
          <w:rFonts w:ascii="Calibri" w:hAnsi="Calibri" w:cs="Calibri"/>
          <w:spacing w:val="-17"/>
          <w:w w:val="110"/>
          <w:u w:val="single"/>
        </w:rPr>
        <w:t xml:space="preserve"> </w:t>
      </w:r>
      <w:r w:rsidRPr="00DD7BD1">
        <w:rPr>
          <w:rFonts w:ascii="Calibri" w:hAnsi="Calibri" w:cs="Calibri"/>
          <w:w w:val="110"/>
          <w:u w:val="single"/>
        </w:rPr>
        <w:t>Service</w:t>
      </w:r>
      <w:r w:rsidRPr="00DD7BD1">
        <w:rPr>
          <w:rFonts w:ascii="Calibri" w:hAnsi="Calibri" w:cs="Calibri"/>
          <w:spacing w:val="-17"/>
          <w:w w:val="110"/>
          <w:u w:val="single"/>
        </w:rPr>
        <w:t xml:space="preserve"> </w:t>
      </w:r>
      <w:r w:rsidRPr="00DD7BD1">
        <w:rPr>
          <w:rFonts w:ascii="Calibri" w:hAnsi="Calibri" w:cs="Calibri"/>
          <w:w w:val="110"/>
        </w:rPr>
        <w:t>under</w:t>
      </w:r>
      <w:r w:rsidRPr="00DD7BD1">
        <w:rPr>
          <w:rFonts w:ascii="Calibri" w:hAnsi="Calibri" w:cs="Calibri"/>
          <w:spacing w:val="2"/>
          <w:w w:val="110"/>
        </w:rPr>
        <w:t xml:space="preserve"> </w:t>
      </w:r>
      <w:hyperlink r:id="rId796">
        <w:r w:rsidRPr="00DD7BD1">
          <w:rPr>
            <w:rFonts w:ascii="Calibri" w:hAnsi="Calibri" w:cs="Calibri"/>
            <w:color w:val="0000FF"/>
            <w:w w:val="110"/>
          </w:rPr>
          <w:t>S</w:t>
        </w:r>
        <w:r w:rsidRPr="00DD7BD1">
          <w:rPr>
            <w:rFonts w:ascii="Calibri" w:hAnsi="Calibri" w:cs="Calibri"/>
            <w:color w:val="0000FF"/>
            <w:spacing w:val="-16"/>
            <w:w w:val="110"/>
          </w:rPr>
          <w:t xml:space="preserve"> </w:t>
        </w:r>
        <w:r w:rsidRPr="00DD7BD1">
          <w:rPr>
            <w:rFonts w:ascii="Calibri" w:hAnsi="Calibri" w:cs="Calibri"/>
            <w:color w:val="0000FF"/>
            <w:w w:val="110"/>
          </w:rPr>
          <w:t>279</w:t>
        </w:r>
      </w:hyperlink>
      <w:r w:rsidRPr="00DD7BD1">
        <w:rPr>
          <w:rFonts w:ascii="Calibri" w:hAnsi="Calibri" w:cs="Calibri"/>
          <w:color w:val="0000FF"/>
          <w:spacing w:val="-17"/>
          <w:w w:val="110"/>
        </w:rPr>
        <w:t xml:space="preserve"> </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(Currently,</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law</w:t>
      </w:r>
      <w:r w:rsidRPr="00DD7BD1">
        <w:rPr>
          <w:rFonts w:ascii="Calibri" w:hAnsi="Calibri" w:cs="Calibri"/>
          <w:spacing w:val="-16"/>
          <w:w w:val="110"/>
        </w:rPr>
        <w:t xml:space="preserve"> </w:t>
      </w:r>
      <w:r w:rsidRPr="00DD7BD1">
        <w:rPr>
          <w:rFonts w:ascii="Calibri" w:hAnsi="Calibri" w:cs="Calibri"/>
          <w:w w:val="110"/>
        </w:rPr>
        <w:t>only covers the armed forces.)</w:t>
      </w:r>
    </w:p>
    <w:p w14:paraId="2F59E7CC" w14:textId="77777777" w:rsidR="007E0135" w:rsidRPr="00DD7BD1" w:rsidRDefault="007E0135">
      <w:pPr>
        <w:pStyle w:val="ListParagraph"/>
        <w:widowControl w:val="0"/>
        <w:numPr>
          <w:ilvl w:val="0"/>
          <w:numId w:val="245"/>
        </w:numPr>
        <w:autoSpaceDE w:val="0"/>
        <w:autoSpaceDN w:val="0"/>
        <w:spacing w:after="0" w:line="270" w:lineRule="exact"/>
        <w:ind w:left="720" w:right="-360" w:hanging="359"/>
        <w:contextualSpacing w:val="0"/>
        <w:rPr>
          <w:rFonts w:ascii="Calibri" w:hAnsi="Calibri" w:cs="Calibri"/>
        </w:rPr>
      </w:pPr>
      <w:r w:rsidRPr="00DD7BD1">
        <w:rPr>
          <w:rFonts w:ascii="Calibri" w:hAnsi="Calibri" w:cs="Calibri"/>
        </w:rPr>
        <w:lastRenderedPageBreak/>
        <w:t>This</w:t>
      </w:r>
      <w:r w:rsidRPr="00DD7BD1">
        <w:rPr>
          <w:rFonts w:ascii="Calibri" w:hAnsi="Calibri" w:cs="Calibri"/>
          <w:spacing w:val="31"/>
        </w:rPr>
        <w:t xml:space="preserve"> </w:t>
      </w:r>
      <w:r w:rsidRPr="00DD7BD1">
        <w:rPr>
          <w:rFonts w:ascii="Calibri" w:hAnsi="Calibri" w:cs="Calibri"/>
        </w:rPr>
        <w:t>law</w:t>
      </w:r>
      <w:r w:rsidRPr="00DD7BD1">
        <w:rPr>
          <w:rFonts w:ascii="Calibri" w:hAnsi="Calibri" w:cs="Calibri"/>
          <w:spacing w:val="24"/>
        </w:rPr>
        <w:t xml:space="preserve"> </w:t>
      </w:r>
      <w:r w:rsidRPr="00DD7BD1">
        <w:rPr>
          <w:rFonts w:ascii="Calibri" w:hAnsi="Calibri" w:cs="Calibri"/>
        </w:rPr>
        <w:t>applies</w:t>
      </w:r>
      <w:r w:rsidRPr="00DD7BD1">
        <w:rPr>
          <w:rFonts w:ascii="Calibri" w:hAnsi="Calibri" w:cs="Calibri"/>
          <w:spacing w:val="30"/>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employers</w:t>
      </w:r>
      <w:r w:rsidRPr="00DD7BD1">
        <w:rPr>
          <w:rFonts w:ascii="Calibri" w:hAnsi="Calibri" w:cs="Calibri"/>
          <w:spacing w:val="28"/>
        </w:rPr>
        <w:t xml:space="preserve"> </w:t>
      </w:r>
      <w:r w:rsidRPr="00DD7BD1">
        <w:rPr>
          <w:rFonts w:ascii="Calibri" w:hAnsi="Calibri" w:cs="Calibri"/>
        </w:rPr>
        <w:t>with</w:t>
      </w:r>
      <w:r w:rsidRPr="00DD7BD1">
        <w:rPr>
          <w:rFonts w:ascii="Calibri" w:hAnsi="Calibri" w:cs="Calibri"/>
          <w:spacing w:val="28"/>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6"/>
        </w:rPr>
        <w:t xml:space="preserve"> </w:t>
      </w:r>
      <w:r w:rsidRPr="00DD7BD1">
        <w:rPr>
          <w:rFonts w:ascii="Calibri" w:hAnsi="Calibri" w:cs="Calibri"/>
        </w:rPr>
        <w:t>more</w:t>
      </w:r>
      <w:r w:rsidRPr="00DD7BD1">
        <w:rPr>
          <w:rFonts w:ascii="Calibri" w:hAnsi="Calibri" w:cs="Calibri"/>
          <w:spacing w:val="26"/>
        </w:rPr>
        <w:t xml:space="preserve"> </w:t>
      </w:r>
      <w:r w:rsidRPr="00DD7BD1">
        <w:rPr>
          <w:rFonts w:ascii="Calibri" w:hAnsi="Calibri" w:cs="Calibri"/>
          <w:spacing w:val="-2"/>
        </w:rPr>
        <w:t>employees</w:t>
      </w:r>
    </w:p>
    <w:p w14:paraId="60EB1F95" w14:textId="2F55C732" w:rsidR="007E0135" w:rsidRPr="00DD7BD1" w:rsidRDefault="007E0135">
      <w:pPr>
        <w:pStyle w:val="ListParagraph"/>
        <w:widowControl w:val="0"/>
        <w:numPr>
          <w:ilvl w:val="0"/>
          <w:numId w:val="245"/>
        </w:numPr>
        <w:autoSpaceDE w:val="0"/>
        <w:autoSpaceDN w:val="0"/>
        <w:spacing w:before="1" w:after="0" w:line="247" w:lineRule="auto"/>
        <w:ind w:left="720" w:right="-360"/>
        <w:contextualSpacing w:val="0"/>
        <w:rPr>
          <w:rFonts w:ascii="Calibri" w:hAnsi="Calibri" w:cs="Calibri"/>
        </w:rPr>
      </w:pPr>
      <w:r w:rsidRPr="00DD7BD1">
        <w:rPr>
          <w:rFonts w:ascii="Calibri" w:hAnsi="Calibri" w:cs="Calibri"/>
          <w:spacing w:val="-2"/>
        </w:rPr>
        <w:t>T</w:t>
      </w:r>
      <w:r w:rsidRPr="00DD7BD1">
        <w:rPr>
          <w:rFonts w:ascii="Calibri" w:hAnsi="Calibri" w:cs="Calibri"/>
          <w:w w:val="110"/>
        </w:rPr>
        <w:t>he</w:t>
      </w:r>
      <w:r w:rsidRPr="00DD7BD1">
        <w:rPr>
          <w:rFonts w:ascii="Calibri" w:hAnsi="Calibri" w:cs="Calibri"/>
          <w:spacing w:val="-9"/>
          <w:w w:val="110"/>
        </w:rPr>
        <w:t xml:space="preserve"> </w:t>
      </w:r>
      <w:r w:rsidRPr="00DD7BD1">
        <w:rPr>
          <w:rFonts w:ascii="Calibri" w:hAnsi="Calibri" w:cs="Calibri"/>
          <w:w w:val="110"/>
        </w:rPr>
        <w:t>law</w:t>
      </w:r>
      <w:r w:rsidRPr="00DD7BD1">
        <w:rPr>
          <w:rFonts w:ascii="Calibri" w:hAnsi="Calibri" w:cs="Calibri"/>
          <w:spacing w:val="-13"/>
          <w:w w:val="110"/>
        </w:rPr>
        <w:t xml:space="preserve"> </w:t>
      </w:r>
      <w:r w:rsidRPr="00DD7BD1">
        <w:rPr>
          <w:rFonts w:ascii="Calibri" w:hAnsi="Calibri" w:cs="Calibri"/>
          <w:w w:val="110"/>
        </w:rPr>
        <w:t>also</w:t>
      </w:r>
      <w:r w:rsidRPr="00DD7BD1">
        <w:rPr>
          <w:rFonts w:ascii="Calibri" w:hAnsi="Calibri" w:cs="Calibri"/>
          <w:spacing w:val="-10"/>
          <w:w w:val="110"/>
        </w:rPr>
        <w:t xml:space="preserve"> </w:t>
      </w:r>
      <w:r w:rsidRPr="00DD7BD1">
        <w:rPr>
          <w:rFonts w:ascii="Calibri" w:hAnsi="Calibri" w:cs="Calibri"/>
          <w:w w:val="110"/>
        </w:rPr>
        <w:t>provides</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8"/>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day</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leave</w:t>
      </w:r>
      <w:r w:rsidRPr="00DD7BD1">
        <w:rPr>
          <w:rFonts w:ascii="Calibri" w:hAnsi="Calibri" w:cs="Calibri"/>
          <w:spacing w:val="-9"/>
          <w:w w:val="110"/>
        </w:rPr>
        <w:t xml:space="preserve"> </w:t>
      </w: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family</w:t>
      </w:r>
      <w:r w:rsidRPr="00DD7BD1">
        <w:rPr>
          <w:rFonts w:ascii="Calibri" w:hAnsi="Calibri" w:cs="Calibri"/>
          <w:spacing w:val="-11"/>
          <w:w w:val="110"/>
        </w:rPr>
        <w:t xml:space="preserve"> </w:t>
      </w:r>
      <w:r w:rsidRPr="00DD7BD1">
        <w:rPr>
          <w:rFonts w:ascii="Calibri" w:hAnsi="Calibri" w:cs="Calibri"/>
          <w:w w:val="110"/>
        </w:rPr>
        <w:t>member</w:t>
      </w:r>
      <w:r w:rsidRPr="00DD7BD1">
        <w:rPr>
          <w:rFonts w:ascii="Calibri" w:hAnsi="Calibri" w:cs="Calibri"/>
          <w:spacing w:val="-10"/>
          <w:w w:val="110"/>
        </w:rPr>
        <w:t xml:space="preserve"> </w:t>
      </w:r>
      <w:r w:rsidRPr="00DD7BD1">
        <w:rPr>
          <w:rFonts w:ascii="Calibri" w:hAnsi="Calibri" w:cs="Calibri"/>
          <w:w w:val="110"/>
        </w:rPr>
        <w:t>is</w:t>
      </w:r>
      <w:r w:rsidRPr="00DD7BD1">
        <w:rPr>
          <w:rFonts w:ascii="Calibri" w:hAnsi="Calibri" w:cs="Calibri"/>
          <w:spacing w:val="-9"/>
          <w:w w:val="110"/>
        </w:rPr>
        <w:t xml:space="preserve"> </w:t>
      </w:r>
      <w:r w:rsidRPr="00DD7BD1">
        <w:rPr>
          <w:rFonts w:ascii="Calibri" w:hAnsi="Calibri" w:cs="Calibri"/>
          <w:w w:val="110"/>
        </w:rPr>
        <w:t>leaving</w:t>
      </w:r>
      <w:r w:rsidRPr="00DD7BD1">
        <w:rPr>
          <w:rFonts w:ascii="Calibri" w:hAnsi="Calibri" w:cs="Calibri"/>
          <w:spacing w:val="-9"/>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returning</w:t>
      </w:r>
      <w:r w:rsidRPr="00DD7BD1">
        <w:rPr>
          <w:rFonts w:ascii="Calibri" w:hAnsi="Calibri" w:cs="Calibri"/>
          <w:spacing w:val="-11"/>
          <w:w w:val="110"/>
        </w:rPr>
        <w:t xml:space="preserve"> </w:t>
      </w:r>
      <w:r w:rsidRPr="00DD7BD1">
        <w:rPr>
          <w:rFonts w:ascii="Calibri" w:hAnsi="Calibri" w:cs="Calibri"/>
          <w:w w:val="110"/>
        </w:rPr>
        <w:t>from</w:t>
      </w:r>
      <w:r w:rsidRPr="00DD7BD1">
        <w:rPr>
          <w:rFonts w:ascii="Calibri" w:hAnsi="Calibri" w:cs="Calibri"/>
          <w:spacing w:val="-9"/>
          <w:w w:val="110"/>
        </w:rPr>
        <w:t xml:space="preserve"> </w:t>
      </w:r>
      <w:r w:rsidRPr="00DD7BD1">
        <w:rPr>
          <w:rFonts w:ascii="Calibri" w:hAnsi="Calibri" w:cs="Calibri"/>
          <w:w w:val="110"/>
        </w:rPr>
        <w:t>active duty outside of the United States.</w:t>
      </w:r>
    </w:p>
    <w:p w14:paraId="13322DB5" w14:textId="3A2D0FB4" w:rsidR="007E0135" w:rsidRPr="00DD7BD1" w:rsidRDefault="007E0135" w:rsidP="007E0135">
      <w:pPr>
        <w:widowControl w:val="0"/>
        <w:autoSpaceDE w:val="0"/>
        <w:autoSpaceDN w:val="0"/>
        <w:spacing w:before="1" w:after="0" w:line="247" w:lineRule="auto"/>
        <w:ind w:right="-360"/>
        <w:rPr>
          <w:rFonts w:ascii="Calibri" w:hAnsi="Calibri" w:cs="Calibri"/>
        </w:rPr>
      </w:pPr>
      <w:r w:rsidRPr="00DD7BD1">
        <w:rPr>
          <w:rFonts w:ascii="Calibri" w:hAnsi="Calibri" w:cs="Calibri"/>
        </w:rPr>
        <w:t xml:space="preserve">ETC </w:t>
      </w:r>
      <w:proofErr w:type="gramStart"/>
      <w:r w:rsidRPr="00DD7BD1">
        <w:rPr>
          <w:rFonts w:ascii="Calibri" w:hAnsi="Calibri" w:cs="Calibri"/>
        </w:rPr>
        <w:t>is including</w:t>
      </w:r>
      <w:proofErr w:type="gramEnd"/>
      <w:r w:rsidRPr="00DD7BD1">
        <w:rPr>
          <w:rFonts w:ascii="Calibri" w:hAnsi="Calibri" w:cs="Calibri"/>
        </w:rPr>
        <w:t xml:space="preserve"> an updated State Handbook Addendum with the Aug/Sept HR WIRE publication.</w:t>
      </w:r>
    </w:p>
    <w:p w14:paraId="793B349C" w14:textId="77777777" w:rsidR="007E0135" w:rsidRPr="00DD7BD1" w:rsidRDefault="007E0135" w:rsidP="007E0135">
      <w:pPr>
        <w:widowControl w:val="0"/>
        <w:autoSpaceDE w:val="0"/>
        <w:autoSpaceDN w:val="0"/>
        <w:spacing w:before="1" w:after="0" w:line="247" w:lineRule="auto"/>
        <w:ind w:right="-360"/>
        <w:rPr>
          <w:rFonts w:ascii="Calibri" w:hAnsi="Calibri" w:cs="Calibri"/>
        </w:rPr>
      </w:pPr>
    </w:p>
    <w:p w14:paraId="42F6B937" w14:textId="53096AF1" w:rsidR="007E0135" w:rsidRPr="00DD7BD1" w:rsidRDefault="007E0135" w:rsidP="007E0135">
      <w:pPr>
        <w:pStyle w:val="Heading1"/>
        <w:spacing w:before="0" w:beforeAutospacing="0" w:after="0" w:afterAutospacing="0"/>
        <w:ind w:right="-36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State’s Mandatory Notice Requirements for Mass Layoffs or RIFs in Effect</w:t>
      </w:r>
    </w:p>
    <w:p w14:paraId="0E2C3A04"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According</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Department</w:t>
      </w:r>
      <w:r w:rsidRPr="00DD7BD1">
        <w:rPr>
          <w:rFonts w:cs="Calibri"/>
          <w:color w:val="auto"/>
          <w:spacing w:val="37"/>
          <w:szCs w:val="22"/>
        </w:rPr>
        <w:t xml:space="preserve"> </w:t>
      </w:r>
      <w:r w:rsidRPr="00DD7BD1">
        <w:rPr>
          <w:rFonts w:cs="Calibri"/>
          <w:color w:val="auto"/>
          <w:szCs w:val="22"/>
        </w:rPr>
        <w:t>of</w:t>
      </w:r>
      <w:r w:rsidRPr="00DD7BD1">
        <w:rPr>
          <w:rFonts w:cs="Calibri"/>
          <w:color w:val="auto"/>
          <w:spacing w:val="35"/>
          <w:szCs w:val="22"/>
        </w:rPr>
        <w:t xml:space="preserve"> </w:t>
      </w:r>
      <w:r w:rsidRPr="00DD7BD1">
        <w:rPr>
          <w:rFonts w:cs="Calibri"/>
          <w:color w:val="auto"/>
          <w:szCs w:val="22"/>
        </w:rPr>
        <w:t>Labor</w:t>
      </w:r>
      <w:r w:rsidRPr="00DD7BD1">
        <w:rPr>
          <w:rFonts w:cs="Calibri"/>
          <w:color w:val="auto"/>
          <w:spacing w:val="35"/>
          <w:szCs w:val="22"/>
        </w:rPr>
        <w:t xml:space="preserve"> </w:t>
      </w:r>
      <w:r w:rsidRPr="00DD7BD1">
        <w:rPr>
          <w:rFonts w:cs="Calibri"/>
          <w:color w:val="auto"/>
          <w:szCs w:val="22"/>
        </w:rPr>
        <w:t>(MDOL),</w:t>
      </w:r>
      <w:r w:rsidRPr="00DD7BD1">
        <w:rPr>
          <w:rFonts w:cs="Calibri"/>
          <w:color w:val="auto"/>
          <w:spacing w:val="39"/>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(50</w:t>
      </w:r>
      <w:r w:rsidRPr="00DD7BD1">
        <w:rPr>
          <w:rFonts w:cs="Calibri"/>
          <w:color w:val="auto"/>
          <w:spacing w:val="37"/>
          <w:szCs w:val="22"/>
        </w:rPr>
        <w:t xml:space="preserve"> </w:t>
      </w:r>
      <w:r w:rsidRPr="00DD7BD1">
        <w:rPr>
          <w:rFonts w:cs="Calibri"/>
          <w:color w:val="auto"/>
          <w:szCs w:val="22"/>
        </w:rPr>
        <w:t>or</w:t>
      </w:r>
      <w:r w:rsidRPr="00DD7BD1">
        <w:rPr>
          <w:rFonts w:cs="Calibri"/>
          <w:color w:val="auto"/>
          <w:spacing w:val="33"/>
          <w:szCs w:val="22"/>
        </w:rPr>
        <w:t xml:space="preserve"> </w:t>
      </w:r>
      <w:r w:rsidRPr="00DD7BD1">
        <w:rPr>
          <w:rFonts w:cs="Calibri"/>
          <w:color w:val="auto"/>
          <w:szCs w:val="22"/>
        </w:rPr>
        <w:t>more</w:t>
      </w:r>
      <w:r w:rsidRPr="00DD7BD1">
        <w:rPr>
          <w:rFonts w:cs="Calibri"/>
          <w:color w:val="auto"/>
          <w:spacing w:val="35"/>
          <w:szCs w:val="22"/>
        </w:rPr>
        <w:t xml:space="preserv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5"/>
          <w:szCs w:val="22"/>
        </w:rPr>
        <w:t xml:space="preserve"> </w:t>
      </w:r>
      <w:r w:rsidRPr="00DD7BD1">
        <w:rPr>
          <w:rFonts w:cs="Calibri"/>
          <w:color w:val="auto"/>
          <w:szCs w:val="22"/>
        </w:rPr>
        <w:t>have</w:t>
      </w:r>
      <w:r w:rsidRPr="00DD7BD1">
        <w:rPr>
          <w:rFonts w:cs="Calibri"/>
          <w:color w:val="auto"/>
          <w:spacing w:val="37"/>
          <w:szCs w:val="22"/>
        </w:rPr>
        <w:t xml:space="preserve"> </w:t>
      </w:r>
      <w:r w:rsidRPr="00DD7BD1">
        <w:rPr>
          <w:rFonts w:cs="Calibri"/>
          <w:color w:val="auto"/>
          <w:szCs w:val="22"/>
        </w:rPr>
        <w:t>operated</w:t>
      </w:r>
      <w:r w:rsidRPr="00DD7BD1">
        <w:rPr>
          <w:rFonts w:cs="Calibri"/>
          <w:color w:val="auto"/>
          <w:spacing w:val="40"/>
          <w:szCs w:val="22"/>
        </w:rPr>
        <w:t xml:space="preserve"> </w:t>
      </w:r>
      <w:r w:rsidRPr="00DD7BD1">
        <w:rPr>
          <w:rFonts w:cs="Calibri"/>
          <w:color w:val="auto"/>
          <w:szCs w:val="22"/>
        </w:rPr>
        <w:t xml:space="preserve">an </w:t>
      </w:r>
      <w:r w:rsidRPr="00DD7BD1">
        <w:rPr>
          <w:rFonts w:cs="Calibri"/>
          <w:color w:val="auto"/>
          <w:w w:val="110"/>
          <w:szCs w:val="22"/>
        </w:rPr>
        <w:t>industrial,</w:t>
      </w:r>
      <w:r w:rsidRPr="00DD7BD1">
        <w:rPr>
          <w:rFonts w:cs="Calibri"/>
          <w:color w:val="auto"/>
          <w:spacing w:val="-5"/>
          <w:w w:val="110"/>
          <w:szCs w:val="22"/>
        </w:rPr>
        <w:t xml:space="preserve"> </w:t>
      </w:r>
      <w:r w:rsidRPr="00DD7BD1">
        <w:rPr>
          <w:rFonts w:cs="Calibri"/>
          <w:color w:val="auto"/>
          <w:w w:val="110"/>
          <w:szCs w:val="22"/>
        </w:rPr>
        <w:t>commercial,</w:t>
      </w:r>
      <w:r w:rsidRPr="00DD7BD1">
        <w:rPr>
          <w:rFonts w:cs="Calibri"/>
          <w:color w:val="auto"/>
          <w:spacing w:val="-5"/>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business</w:t>
      </w:r>
      <w:r w:rsidRPr="00DD7BD1">
        <w:rPr>
          <w:rFonts w:cs="Calibri"/>
          <w:color w:val="auto"/>
          <w:spacing w:val="-4"/>
          <w:w w:val="110"/>
          <w:szCs w:val="22"/>
        </w:rPr>
        <w:t xml:space="preserve"> </w:t>
      </w:r>
      <w:r w:rsidRPr="00DD7BD1">
        <w:rPr>
          <w:rFonts w:cs="Calibri"/>
          <w:color w:val="auto"/>
          <w:w w:val="110"/>
          <w:szCs w:val="22"/>
        </w:rPr>
        <w:t>enterprise</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state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color w:val="auto"/>
          <w:w w:val="110"/>
          <w:szCs w:val="22"/>
        </w:rPr>
        <w:t>over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must</w:t>
      </w:r>
      <w:r w:rsidRPr="00DD7BD1">
        <w:rPr>
          <w:rFonts w:cs="Calibri"/>
          <w:color w:val="auto"/>
          <w:spacing w:val="-5"/>
          <w:w w:val="110"/>
          <w:szCs w:val="22"/>
        </w:rPr>
        <w:t xml:space="preserve"> </w:t>
      </w:r>
      <w:r w:rsidRPr="00DD7BD1">
        <w:rPr>
          <w:rFonts w:cs="Calibri"/>
          <w:color w:val="auto"/>
          <w:w w:val="110"/>
          <w:szCs w:val="22"/>
        </w:rPr>
        <w:t>now</w:t>
      </w:r>
      <w:r w:rsidRPr="00DD7BD1">
        <w:rPr>
          <w:rFonts w:cs="Calibri"/>
          <w:color w:val="auto"/>
          <w:spacing w:val="-8"/>
          <w:w w:val="110"/>
          <w:szCs w:val="22"/>
        </w:rPr>
        <w:t xml:space="preserve"> </w:t>
      </w:r>
      <w:r w:rsidRPr="00DD7BD1">
        <w:rPr>
          <w:rFonts w:cs="Calibri"/>
          <w:color w:val="auto"/>
          <w:w w:val="110"/>
          <w:szCs w:val="22"/>
        </w:rPr>
        <w:t>comply</w:t>
      </w:r>
      <w:r w:rsidRPr="00DD7BD1">
        <w:rPr>
          <w:rFonts w:cs="Calibri"/>
          <w:color w:val="auto"/>
          <w:spacing w:val="-4"/>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hyperlink r:id="rId797">
        <w:r w:rsidRPr="00DD7BD1">
          <w:rPr>
            <w:rFonts w:cs="Calibri"/>
            <w:color w:val="0000FF"/>
            <w:w w:val="110"/>
            <w:szCs w:val="22"/>
          </w:rPr>
          <w:t>Maryland</w:t>
        </w:r>
      </w:hyperlink>
      <w:r w:rsidRPr="00DD7BD1">
        <w:rPr>
          <w:rFonts w:cs="Calibri"/>
          <w:color w:val="0000FF"/>
          <w:w w:val="110"/>
          <w:szCs w:val="22"/>
        </w:rPr>
        <w:t xml:space="preserve"> </w:t>
      </w:r>
      <w:hyperlink r:id="rId798">
        <w:r w:rsidRPr="00DD7BD1">
          <w:rPr>
            <w:rFonts w:cs="Calibri"/>
            <w:color w:val="0000FF"/>
            <w:szCs w:val="22"/>
          </w:rPr>
          <w:t>Economic</w:t>
        </w:r>
        <w:r w:rsidRPr="00DD7BD1">
          <w:rPr>
            <w:rFonts w:cs="Calibri"/>
            <w:color w:val="0000FF"/>
            <w:spacing w:val="35"/>
            <w:szCs w:val="22"/>
          </w:rPr>
          <w:t xml:space="preserve"> </w:t>
        </w:r>
        <w:r w:rsidRPr="00DD7BD1">
          <w:rPr>
            <w:rFonts w:cs="Calibri"/>
            <w:color w:val="0000FF"/>
            <w:szCs w:val="22"/>
          </w:rPr>
          <w:t>Stabilization</w:t>
        </w:r>
        <w:r w:rsidRPr="00DD7BD1">
          <w:rPr>
            <w:rFonts w:cs="Calibri"/>
            <w:color w:val="0000FF"/>
            <w:spacing w:val="37"/>
            <w:szCs w:val="22"/>
          </w:rPr>
          <w:t xml:space="preserve"> </w:t>
        </w:r>
        <w:r w:rsidRPr="00DD7BD1">
          <w:rPr>
            <w:rFonts w:cs="Calibri"/>
            <w:color w:val="0000FF"/>
            <w:szCs w:val="22"/>
          </w:rPr>
          <w:t>Act</w:t>
        </w:r>
        <w:r w:rsidRPr="00DD7BD1">
          <w:rPr>
            <w:rFonts w:cs="Calibri"/>
            <w:szCs w:val="22"/>
          </w:rPr>
          <w:t>,</w:t>
        </w:r>
      </w:hyperlink>
      <w:r w:rsidRPr="00DD7BD1">
        <w:rPr>
          <w:rFonts w:cs="Calibri"/>
          <w:spacing w:val="39"/>
          <w:szCs w:val="22"/>
        </w:rPr>
        <w:t xml:space="preserve"> </w:t>
      </w:r>
      <w:r w:rsidRPr="00DD7BD1">
        <w:rPr>
          <w:rFonts w:cs="Calibri"/>
          <w:color w:val="auto"/>
          <w:szCs w:val="22"/>
        </w:rPr>
        <w:t>which</w:t>
      </w:r>
      <w:r w:rsidRPr="00DD7BD1">
        <w:rPr>
          <w:rFonts w:cs="Calibri"/>
          <w:color w:val="auto"/>
          <w:spacing w:val="40"/>
          <w:szCs w:val="22"/>
        </w:rPr>
        <w:t xml:space="preserve"> </w:t>
      </w:r>
      <w:r w:rsidRPr="00DD7BD1">
        <w:rPr>
          <w:rFonts w:cs="Calibri"/>
          <w:color w:val="auto"/>
          <w:szCs w:val="22"/>
        </w:rPr>
        <w:t>requires</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provide</w:t>
      </w:r>
      <w:r w:rsidRPr="00DD7BD1">
        <w:rPr>
          <w:rFonts w:cs="Calibri"/>
          <w:color w:val="auto"/>
          <w:spacing w:val="37"/>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b/>
          <w:color w:val="auto"/>
          <w:szCs w:val="22"/>
        </w:rPr>
        <w:t>mass</w:t>
      </w:r>
      <w:r w:rsidRPr="00DD7BD1">
        <w:rPr>
          <w:rFonts w:cs="Calibri"/>
          <w:b/>
          <w:color w:val="auto"/>
          <w:spacing w:val="39"/>
          <w:szCs w:val="22"/>
        </w:rPr>
        <w:t xml:space="preserve"> </w:t>
      </w:r>
      <w:r w:rsidRPr="00DD7BD1">
        <w:rPr>
          <w:rFonts w:cs="Calibri"/>
          <w:b/>
          <w:color w:val="auto"/>
          <w:szCs w:val="22"/>
        </w:rPr>
        <w:t>layoffs</w:t>
      </w:r>
      <w:r w:rsidRPr="00DD7BD1">
        <w:rPr>
          <w:rFonts w:cs="Calibri"/>
          <w:b/>
          <w:color w:val="auto"/>
          <w:spacing w:val="35"/>
          <w:szCs w:val="22"/>
        </w:rPr>
        <w:t xml:space="preserve"> </w:t>
      </w:r>
      <w:r w:rsidRPr="00DD7BD1">
        <w:rPr>
          <w:rFonts w:cs="Calibri"/>
          <w:color w:val="auto"/>
          <w:szCs w:val="22"/>
        </w:rPr>
        <w:t>or</w:t>
      </w:r>
      <w:r w:rsidRPr="00DD7BD1">
        <w:rPr>
          <w:rFonts w:cs="Calibri"/>
          <w:color w:val="auto"/>
          <w:spacing w:val="39"/>
          <w:szCs w:val="22"/>
        </w:rPr>
        <w:t xml:space="preserve"> </w:t>
      </w:r>
      <w:r w:rsidRPr="00DD7BD1">
        <w:rPr>
          <w:rFonts w:cs="Calibri"/>
          <w:b/>
          <w:color w:val="auto"/>
          <w:szCs w:val="22"/>
        </w:rPr>
        <w:t>reductions</w:t>
      </w:r>
      <w:r w:rsidRPr="00DD7BD1">
        <w:rPr>
          <w:rFonts w:cs="Calibri"/>
          <w:b/>
          <w:color w:val="auto"/>
          <w:spacing w:val="39"/>
          <w:szCs w:val="22"/>
        </w:rPr>
        <w:t xml:space="preserve"> </w:t>
      </w:r>
      <w:r w:rsidRPr="00DD7BD1">
        <w:rPr>
          <w:rFonts w:cs="Calibri"/>
          <w:b/>
          <w:color w:val="auto"/>
          <w:szCs w:val="22"/>
        </w:rPr>
        <w:t>in</w:t>
      </w:r>
      <w:r w:rsidRPr="00DD7BD1">
        <w:rPr>
          <w:rFonts w:cs="Calibri"/>
          <w:b/>
          <w:color w:val="auto"/>
          <w:spacing w:val="40"/>
          <w:szCs w:val="22"/>
        </w:rPr>
        <w:t xml:space="preserve"> </w:t>
      </w:r>
      <w:r w:rsidRPr="00DD7BD1">
        <w:rPr>
          <w:rFonts w:cs="Calibri"/>
          <w:b/>
          <w:color w:val="auto"/>
          <w:szCs w:val="22"/>
        </w:rPr>
        <w:t xml:space="preserve">force </w:t>
      </w:r>
      <w:r w:rsidRPr="00DD7BD1">
        <w:rPr>
          <w:rFonts w:cs="Calibri"/>
          <w:color w:val="auto"/>
          <w:w w:val="110"/>
          <w:szCs w:val="22"/>
        </w:rPr>
        <w:t>(RIFs) in certain circumstances.</w:t>
      </w:r>
    </w:p>
    <w:p w14:paraId="51BA666C"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Although</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MDOL</w:t>
      </w:r>
      <w:r w:rsidRPr="00DD7BD1">
        <w:rPr>
          <w:rFonts w:cs="Calibri"/>
          <w:color w:val="auto"/>
          <w:spacing w:val="38"/>
          <w:szCs w:val="22"/>
        </w:rPr>
        <w:t xml:space="preserve"> </w:t>
      </w:r>
      <w:r w:rsidRPr="00DD7BD1">
        <w:rPr>
          <w:rFonts w:cs="Calibri"/>
          <w:color w:val="auto"/>
          <w:szCs w:val="22"/>
        </w:rPr>
        <w:t>had</w:t>
      </w:r>
      <w:r w:rsidRPr="00DD7BD1">
        <w:rPr>
          <w:rFonts w:cs="Calibri"/>
          <w:color w:val="auto"/>
          <w:spacing w:val="36"/>
          <w:szCs w:val="22"/>
        </w:rPr>
        <w:t xml:space="preserve"> </w:t>
      </w:r>
      <w:r w:rsidRPr="00DD7BD1">
        <w:rPr>
          <w:rFonts w:cs="Calibri"/>
          <w:color w:val="auto"/>
          <w:szCs w:val="22"/>
        </w:rPr>
        <w:t>previously</w:t>
      </w:r>
      <w:r w:rsidRPr="00DD7BD1">
        <w:rPr>
          <w:rFonts w:cs="Calibri"/>
          <w:color w:val="auto"/>
          <w:spacing w:val="38"/>
          <w:szCs w:val="22"/>
        </w:rPr>
        <w:t xml:space="preserve"> </w:t>
      </w:r>
      <w:r w:rsidRPr="00DD7BD1">
        <w:rPr>
          <w:rFonts w:cs="Calibri"/>
          <w:color w:val="auto"/>
          <w:szCs w:val="22"/>
        </w:rPr>
        <w:t>taken</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position</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9"/>
          <w:szCs w:val="22"/>
        </w:rPr>
        <w:t xml:space="preserve"> </w:t>
      </w:r>
      <w:r w:rsidRPr="00DD7BD1">
        <w:rPr>
          <w:rFonts w:cs="Calibri"/>
          <w:color w:val="auto"/>
          <w:szCs w:val="22"/>
        </w:rPr>
        <w:t>it</w:t>
      </w:r>
      <w:r w:rsidRPr="00DD7BD1">
        <w:rPr>
          <w:rFonts w:cs="Calibri"/>
          <w:color w:val="auto"/>
          <w:spacing w:val="39"/>
          <w:szCs w:val="22"/>
        </w:rPr>
        <w:t xml:space="preserve"> </w:t>
      </w:r>
      <w:r w:rsidRPr="00DD7BD1">
        <w:rPr>
          <w:rFonts w:cs="Calibri"/>
          <w:color w:val="auto"/>
          <w:szCs w:val="22"/>
        </w:rPr>
        <w:t>would</w:t>
      </w:r>
      <w:r w:rsidRPr="00DD7BD1">
        <w:rPr>
          <w:rFonts w:cs="Calibri"/>
          <w:color w:val="auto"/>
          <w:spacing w:val="36"/>
          <w:szCs w:val="22"/>
        </w:rPr>
        <w:t xml:space="preserve"> </w:t>
      </w:r>
      <w:r w:rsidRPr="00DD7BD1">
        <w:rPr>
          <w:rFonts w:cs="Calibri"/>
          <w:color w:val="auto"/>
          <w:szCs w:val="22"/>
        </w:rPr>
        <w:t>not</w:t>
      </w:r>
      <w:r w:rsidRPr="00DD7BD1">
        <w:rPr>
          <w:rFonts w:cs="Calibri"/>
          <w:color w:val="auto"/>
          <w:spacing w:val="39"/>
          <w:szCs w:val="22"/>
        </w:rPr>
        <w:t xml:space="preserve"> </w:t>
      </w:r>
      <w:r w:rsidRPr="00DD7BD1">
        <w:rPr>
          <w:rFonts w:cs="Calibri"/>
          <w:color w:val="auto"/>
          <w:szCs w:val="22"/>
        </w:rPr>
        <w:t>enforce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mandatory</w:t>
      </w:r>
      <w:r w:rsidRPr="00DD7BD1">
        <w:rPr>
          <w:rFonts w:cs="Calibri"/>
          <w:color w:val="auto"/>
          <w:spacing w:val="36"/>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 xml:space="preserve">requirements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5"/>
          <w:w w:val="110"/>
          <w:szCs w:val="22"/>
        </w:rPr>
        <w:t xml:space="preserve"> </w:t>
      </w:r>
      <w:r w:rsidRPr="00DD7BD1">
        <w:rPr>
          <w:rFonts w:cs="Calibri"/>
          <w:color w:val="auto"/>
          <w:w w:val="110"/>
          <w:szCs w:val="22"/>
        </w:rPr>
        <w:t>(commonly</w:t>
      </w:r>
      <w:r w:rsidRPr="00DD7BD1">
        <w:rPr>
          <w:rFonts w:cs="Calibri"/>
          <w:color w:val="auto"/>
          <w:spacing w:val="-13"/>
          <w:w w:val="110"/>
          <w:szCs w:val="22"/>
        </w:rPr>
        <w:t xml:space="preserve"> </w:t>
      </w:r>
      <w:r w:rsidRPr="00DD7BD1">
        <w:rPr>
          <w:rFonts w:cs="Calibri"/>
          <w:color w:val="auto"/>
          <w:w w:val="110"/>
          <w:szCs w:val="22"/>
        </w:rPr>
        <w:t>referred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as</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Maryland</w:t>
      </w:r>
      <w:r w:rsidRPr="00DD7BD1">
        <w:rPr>
          <w:rFonts w:cs="Calibri"/>
          <w:color w:val="auto"/>
          <w:spacing w:val="-11"/>
          <w:w w:val="110"/>
          <w:szCs w:val="22"/>
        </w:rPr>
        <w:t xml:space="preserve"> </w:t>
      </w:r>
      <w:r w:rsidRPr="00DD7BD1">
        <w:rPr>
          <w:rFonts w:cs="Calibri"/>
          <w:color w:val="auto"/>
          <w:w w:val="110"/>
          <w:szCs w:val="22"/>
        </w:rPr>
        <w:t>Mini-WARN</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1"/>
          <w:w w:val="110"/>
          <w:szCs w:val="22"/>
        </w:rPr>
        <w:t xml:space="preserve"> </w:t>
      </w:r>
      <w:r w:rsidRPr="00DD7BD1">
        <w:rPr>
          <w:rFonts w:cs="Calibri"/>
          <w:color w:val="auto"/>
          <w:w w:val="110"/>
          <w:szCs w:val="22"/>
        </w:rPr>
        <w:t>until</w:t>
      </w:r>
      <w:r w:rsidRPr="00DD7BD1">
        <w:rPr>
          <w:rFonts w:cs="Calibri"/>
          <w:color w:val="auto"/>
          <w:spacing w:val="-13"/>
          <w:w w:val="110"/>
          <w:szCs w:val="22"/>
        </w:rPr>
        <w:t xml:space="preserve"> </w:t>
      </w:r>
      <w:r w:rsidRPr="00DD7BD1">
        <w:rPr>
          <w:rFonts w:cs="Calibri"/>
          <w:color w:val="auto"/>
          <w:w w:val="110"/>
          <w:szCs w:val="22"/>
        </w:rPr>
        <w:t>it</w:t>
      </w:r>
      <w:r w:rsidRPr="00DD7BD1">
        <w:rPr>
          <w:rFonts w:cs="Calibri"/>
          <w:color w:val="auto"/>
          <w:spacing w:val="-12"/>
          <w:w w:val="110"/>
          <w:szCs w:val="22"/>
        </w:rPr>
        <w:t xml:space="preserve"> </w:t>
      </w:r>
      <w:r w:rsidRPr="00DD7BD1">
        <w:rPr>
          <w:rFonts w:cs="Calibri"/>
          <w:color w:val="auto"/>
          <w:w w:val="110"/>
          <w:szCs w:val="22"/>
        </w:rPr>
        <w:t>had</w:t>
      </w:r>
      <w:r w:rsidRPr="00DD7BD1">
        <w:rPr>
          <w:rFonts w:cs="Calibri"/>
          <w:color w:val="auto"/>
          <w:spacing w:val="-11"/>
          <w:w w:val="110"/>
          <w:szCs w:val="22"/>
        </w:rPr>
        <w:t xml:space="preserve"> </w:t>
      </w:r>
      <w:r w:rsidRPr="00DD7BD1">
        <w:rPr>
          <w:rFonts w:cs="Calibri"/>
          <w:color w:val="auto"/>
          <w:w w:val="110"/>
          <w:szCs w:val="22"/>
        </w:rPr>
        <w:t>issued</w:t>
      </w:r>
      <w:r w:rsidRPr="00DD7BD1">
        <w:rPr>
          <w:rFonts w:cs="Calibri"/>
          <w:color w:val="auto"/>
          <w:spacing w:val="-11"/>
          <w:w w:val="110"/>
          <w:szCs w:val="22"/>
        </w:rPr>
        <w:t xml:space="preserve"> </w:t>
      </w:r>
      <w:r w:rsidRPr="00DD7BD1">
        <w:rPr>
          <w:rFonts w:cs="Calibri"/>
          <w:color w:val="auto"/>
          <w:w w:val="110"/>
          <w:szCs w:val="22"/>
        </w:rPr>
        <w:t>final</w:t>
      </w:r>
      <w:r w:rsidRPr="00DD7BD1">
        <w:rPr>
          <w:rFonts w:cs="Calibri"/>
          <w:color w:val="auto"/>
          <w:spacing w:val="-12"/>
          <w:w w:val="110"/>
          <w:szCs w:val="22"/>
        </w:rPr>
        <w:t xml:space="preserve"> </w:t>
      </w:r>
      <w:r w:rsidRPr="00DD7BD1">
        <w:rPr>
          <w:rFonts w:cs="Calibri"/>
          <w:color w:val="auto"/>
          <w:w w:val="110"/>
          <w:szCs w:val="22"/>
        </w:rPr>
        <w:t>regulations, apparently this is no longer the case.</w:t>
      </w:r>
    </w:p>
    <w:p w14:paraId="76F81532"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Maryland’s</w:t>
      </w:r>
      <w:r w:rsidRPr="00DD7BD1">
        <w:rPr>
          <w:rFonts w:ascii="Calibri" w:hAnsi="Calibri" w:cs="Calibri"/>
          <w:spacing w:val="31"/>
        </w:rPr>
        <w:t xml:space="preserve"> </w:t>
      </w:r>
      <w:r w:rsidRPr="00DD7BD1">
        <w:rPr>
          <w:rFonts w:ascii="Calibri" w:hAnsi="Calibri" w:cs="Calibri"/>
        </w:rPr>
        <w:t>Mini-WARN</w:t>
      </w:r>
      <w:r w:rsidRPr="00DD7BD1">
        <w:rPr>
          <w:rFonts w:ascii="Calibri" w:hAnsi="Calibri" w:cs="Calibri"/>
          <w:spacing w:val="29"/>
        </w:rPr>
        <w:t xml:space="preserve"> </w:t>
      </w:r>
      <w:r w:rsidRPr="00DD7BD1">
        <w:rPr>
          <w:rFonts w:ascii="Calibri" w:hAnsi="Calibri" w:cs="Calibri"/>
        </w:rPr>
        <w:t>Act</w:t>
      </w:r>
      <w:r w:rsidRPr="00DD7BD1">
        <w:rPr>
          <w:rFonts w:ascii="Calibri" w:hAnsi="Calibri" w:cs="Calibri"/>
          <w:spacing w:val="30"/>
        </w:rPr>
        <w:t xml:space="preserve"> </w:t>
      </w:r>
      <w:r w:rsidRPr="00DD7BD1">
        <w:rPr>
          <w:rFonts w:ascii="Calibri" w:hAnsi="Calibri" w:cs="Calibri"/>
        </w:rPr>
        <w:t>requires</w:t>
      </w:r>
      <w:r w:rsidRPr="00DD7BD1">
        <w:rPr>
          <w:rFonts w:ascii="Calibri" w:hAnsi="Calibri" w:cs="Calibri"/>
          <w:spacing w:val="32"/>
        </w:rPr>
        <w:t xml:space="preserve"> </w:t>
      </w: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7"/>
        </w:rPr>
        <w:t xml:space="preserve"> </w:t>
      </w:r>
      <w:r w:rsidRPr="00DD7BD1">
        <w:rPr>
          <w:rFonts w:ascii="Calibri" w:hAnsi="Calibri" w:cs="Calibri"/>
        </w:rPr>
        <w:t>more</w:t>
      </w:r>
      <w:r w:rsidRPr="00DD7BD1">
        <w:rPr>
          <w:rFonts w:ascii="Calibri" w:hAnsi="Calibri" w:cs="Calibri"/>
          <w:spacing w:val="32"/>
        </w:rPr>
        <w:t xml:space="preserve"> </w:t>
      </w:r>
      <w:r w:rsidRPr="00DD7BD1">
        <w:rPr>
          <w:rFonts w:ascii="Calibri" w:hAnsi="Calibri" w:cs="Calibri"/>
        </w:rPr>
        <w:t>employees</w:t>
      </w:r>
      <w:r w:rsidRPr="00DD7BD1">
        <w:rPr>
          <w:rFonts w:ascii="Calibri" w:hAnsi="Calibri" w:cs="Calibri"/>
          <w:spacing w:val="28"/>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provide</w:t>
      </w:r>
      <w:r w:rsidRPr="00DD7BD1">
        <w:rPr>
          <w:rFonts w:ascii="Calibri" w:hAnsi="Calibri" w:cs="Calibri"/>
          <w:spacing w:val="36"/>
        </w:rPr>
        <w:t xml:space="preserve"> </w:t>
      </w:r>
      <w:r w:rsidRPr="00DD7BD1">
        <w:rPr>
          <w:rFonts w:ascii="Calibri" w:hAnsi="Calibri" w:cs="Calibri"/>
        </w:rPr>
        <w:t>60</w:t>
      </w:r>
      <w:r w:rsidRPr="00DD7BD1">
        <w:rPr>
          <w:rFonts w:ascii="Calibri" w:hAnsi="Calibri" w:cs="Calibri"/>
          <w:spacing w:val="31"/>
        </w:rPr>
        <w:t xml:space="preserve"> </w:t>
      </w:r>
      <w:r w:rsidRPr="00DD7BD1">
        <w:rPr>
          <w:rFonts w:ascii="Calibri" w:hAnsi="Calibri" w:cs="Calibri"/>
        </w:rPr>
        <w:t>days’</w:t>
      </w:r>
      <w:r w:rsidRPr="00DD7BD1">
        <w:rPr>
          <w:rFonts w:ascii="Calibri" w:hAnsi="Calibri" w:cs="Calibri"/>
          <w:spacing w:val="29"/>
        </w:rPr>
        <w:t xml:space="preserve"> </w:t>
      </w:r>
      <w:r w:rsidRPr="00DD7BD1">
        <w:rPr>
          <w:rFonts w:ascii="Calibri" w:hAnsi="Calibri" w:cs="Calibri"/>
        </w:rPr>
        <w:t>notice</w:t>
      </w:r>
      <w:r w:rsidRPr="00DD7BD1">
        <w:rPr>
          <w:rFonts w:ascii="Calibri" w:hAnsi="Calibri" w:cs="Calibri"/>
          <w:spacing w:val="32"/>
        </w:rPr>
        <w:t xml:space="preserve"> </w:t>
      </w:r>
      <w:r w:rsidRPr="00DD7BD1">
        <w:rPr>
          <w:rFonts w:ascii="Calibri" w:hAnsi="Calibri" w:cs="Calibri"/>
          <w:spacing w:val="-5"/>
        </w:rPr>
        <w:t>of</w:t>
      </w:r>
    </w:p>
    <w:p w14:paraId="265228CF" w14:textId="77777777" w:rsidR="007E0135" w:rsidRPr="00DD7BD1" w:rsidRDefault="007E0135" w:rsidP="003A22A9">
      <w:pPr>
        <w:pStyle w:val="BodyText"/>
        <w:spacing w:after="0" w:line="240" w:lineRule="auto"/>
        <w:ind w:left="630" w:right="180" w:hanging="270"/>
        <w:jc w:val="left"/>
        <w:rPr>
          <w:rFonts w:cs="Calibri"/>
          <w:color w:val="auto"/>
          <w:szCs w:val="22"/>
        </w:rPr>
      </w:pPr>
      <w:r w:rsidRPr="00DD7BD1">
        <w:rPr>
          <w:rFonts w:cs="Calibri"/>
          <w:color w:val="auto"/>
          <w:w w:val="110"/>
          <w:szCs w:val="22"/>
        </w:rPr>
        <w:t>mass</w:t>
      </w:r>
      <w:r w:rsidRPr="00DD7BD1">
        <w:rPr>
          <w:rFonts w:cs="Calibri"/>
          <w:color w:val="auto"/>
          <w:spacing w:val="-8"/>
          <w:w w:val="110"/>
          <w:szCs w:val="22"/>
        </w:rPr>
        <w:t xml:space="preserve"> </w:t>
      </w:r>
      <w:r w:rsidRPr="00DD7BD1">
        <w:rPr>
          <w:rFonts w:cs="Calibri"/>
          <w:color w:val="auto"/>
          <w:w w:val="110"/>
          <w:szCs w:val="22"/>
        </w:rPr>
        <w:t>layoffs</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reductions</w:t>
      </w:r>
      <w:r w:rsidRPr="00DD7BD1">
        <w:rPr>
          <w:rFonts w:cs="Calibri"/>
          <w:color w:val="auto"/>
          <w:spacing w:val="-7"/>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force</w:t>
      </w:r>
      <w:r w:rsidRPr="00DD7BD1">
        <w:rPr>
          <w:rFonts w:cs="Calibri"/>
          <w:color w:val="auto"/>
          <w:spacing w:val="-8"/>
          <w:w w:val="110"/>
          <w:szCs w:val="22"/>
        </w:rPr>
        <w:t xml:space="preserve"> </w:t>
      </w:r>
      <w:r w:rsidRPr="00DD7BD1">
        <w:rPr>
          <w:rFonts w:cs="Calibri"/>
          <w:color w:val="auto"/>
          <w:w w:val="110"/>
          <w:szCs w:val="22"/>
        </w:rPr>
        <w:t>impacting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greater</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12"/>
          <w:w w:val="110"/>
          <w:szCs w:val="22"/>
        </w:rPr>
        <w:t xml:space="preserve"> </w:t>
      </w:r>
      <w:r w:rsidRPr="00DD7BD1">
        <w:rPr>
          <w:rFonts w:cs="Calibri"/>
          <w:color w:val="auto"/>
          <w:w w:val="110"/>
          <w:szCs w:val="22"/>
        </w:rPr>
        <w:t>25</w:t>
      </w:r>
      <w:r w:rsidRPr="00DD7BD1">
        <w:rPr>
          <w:rFonts w:cs="Calibri"/>
          <w:color w:val="auto"/>
          <w:spacing w:val="-11"/>
          <w:w w:val="110"/>
          <w:szCs w:val="22"/>
        </w:rPr>
        <w:t xml:space="preserve"> </w:t>
      </w:r>
      <w:r w:rsidRPr="00DD7BD1">
        <w:rPr>
          <w:rFonts w:cs="Calibri"/>
          <w:color w:val="auto"/>
          <w:w w:val="110"/>
          <w:szCs w:val="22"/>
        </w:rPr>
        <w:t>percent</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fifteen</w:t>
      </w:r>
      <w:r w:rsidRPr="00DD7BD1">
        <w:rPr>
          <w:rFonts w:cs="Calibri"/>
          <w:color w:val="auto"/>
          <w:spacing w:val="-10"/>
          <w:w w:val="110"/>
          <w:szCs w:val="22"/>
        </w:rPr>
        <w:t xml:space="preserve"> </w:t>
      </w:r>
      <w:r w:rsidRPr="00DD7BD1">
        <w:rPr>
          <w:rFonts w:cs="Calibri"/>
          <w:color w:val="auto"/>
          <w:spacing w:val="-2"/>
          <w:w w:val="110"/>
          <w:szCs w:val="22"/>
        </w:rPr>
        <w:t>employees.</w:t>
      </w:r>
    </w:p>
    <w:p w14:paraId="38F45A9A"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The</w:t>
      </w:r>
      <w:r w:rsidRPr="00DD7BD1">
        <w:rPr>
          <w:rFonts w:ascii="Calibri" w:hAnsi="Calibri" w:cs="Calibri"/>
          <w:spacing w:val="31"/>
        </w:rPr>
        <w:t xml:space="preserve"> </w:t>
      </w:r>
      <w:r w:rsidRPr="00DD7BD1">
        <w:rPr>
          <w:rFonts w:ascii="Calibri" w:hAnsi="Calibri" w:cs="Calibri"/>
        </w:rPr>
        <w:t>notice</w:t>
      </w:r>
      <w:r w:rsidRPr="00DD7BD1">
        <w:rPr>
          <w:rFonts w:ascii="Calibri" w:hAnsi="Calibri" w:cs="Calibri"/>
          <w:spacing w:val="35"/>
        </w:rPr>
        <w:t xml:space="preserve"> </w:t>
      </w:r>
      <w:r w:rsidRPr="00DD7BD1">
        <w:rPr>
          <w:rFonts w:ascii="Calibri" w:hAnsi="Calibri" w:cs="Calibri"/>
        </w:rPr>
        <w:t>provisions</w:t>
      </w:r>
      <w:r w:rsidRPr="00DD7BD1">
        <w:rPr>
          <w:rFonts w:ascii="Calibri" w:hAnsi="Calibri" w:cs="Calibri"/>
          <w:spacing w:val="31"/>
        </w:rPr>
        <w:t xml:space="preserve"> </w:t>
      </w:r>
      <w:r w:rsidRPr="00DD7BD1">
        <w:rPr>
          <w:rFonts w:ascii="Calibri" w:hAnsi="Calibri" w:cs="Calibri"/>
        </w:rPr>
        <w:t>of</w:t>
      </w:r>
      <w:r w:rsidRPr="00DD7BD1">
        <w:rPr>
          <w:rFonts w:ascii="Calibri" w:hAnsi="Calibri" w:cs="Calibri"/>
          <w:spacing w:val="29"/>
        </w:rPr>
        <w:t xml:space="preserve"> </w:t>
      </w:r>
      <w:r w:rsidRPr="00DD7BD1">
        <w:rPr>
          <w:rFonts w:ascii="Calibri" w:hAnsi="Calibri" w:cs="Calibri"/>
        </w:rPr>
        <w:t>Maryland’s</w:t>
      </w:r>
      <w:r w:rsidRPr="00DD7BD1">
        <w:rPr>
          <w:rFonts w:ascii="Calibri" w:hAnsi="Calibri" w:cs="Calibri"/>
          <w:spacing w:val="35"/>
        </w:rPr>
        <w:t xml:space="preserve"> </w:t>
      </w:r>
      <w:r w:rsidRPr="00DD7BD1">
        <w:rPr>
          <w:rFonts w:ascii="Calibri" w:hAnsi="Calibri" w:cs="Calibri"/>
        </w:rPr>
        <w:t>Mini-WARN</w:t>
      </w:r>
      <w:r w:rsidRPr="00DD7BD1">
        <w:rPr>
          <w:rFonts w:ascii="Calibri" w:hAnsi="Calibri" w:cs="Calibri"/>
          <w:spacing w:val="31"/>
        </w:rPr>
        <w:t xml:space="preserve"> </w:t>
      </w:r>
      <w:r w:rsidRPr="00DD7BD1">
        <w:rPr>
          <w:rFonts w:ascii="Calibri" w:hAnsi="Calibri" w:cs="Calibri"/>
        </w:rPr>
        <w:t>Act</w:t>
      </w:r>
      <w:r w:rsidRPr="00DD7BD1">
        <w:rPr>
          <w:rFonts w:ascii="Calibri" w:hAnsi="Calibri" w:cs="Calibri"/>
          <w:spacing w:val="33"/>
        </w:rPr>
        <w:t xml:space="preserve"> </w:t>
      </w:r>
      <w:r w:rsidRPr="00DD7BD1">
        <w:rPr>
          <w:rFonts w:ascii="Calibri" w:hAnsi="Calibri" w:cs="Calibri"/>
        </w:rPr>
        <w:t>were</w:t>
      </w:r>
      <w:r w:rsidRPr="00DD7BD1">
        <w:rPr>
          <w:rFonts w:ascii="Calibri" w:hAnsi="Calibri" w:cs="Calibri"/>
          <w:spacing w:val="31"/>
        </w:rPr>
        <w:t xml:space="preserve"> </w:t>
      </w:r>
      <w:r w:rsidRPr="00DD7BD1">
        <w:rPr>
          <w:rFonts w:ascii="Calibri" w:hAnsi="Calibri" w:cs="Calibri"/>
        </w:rPr>
        <w:t>made</w:t>
      </w:r>
      <w:r w:rsidRPr="00DD7BD1">
        <w:rPr>
          <w:rFonts w:ascii="Calibri" w:hAnsi="Calibri" w:cs="Calibri"/>
          <w:spacing w:val="31"/>
        </w:rPr>
        <w:t xml:space="preserve"> </w:t>
      </w:r>
      <w:r w:rsidRPr="00DD7BD1">
        <w:rPr>
          <w:rFonts w:ascii="Calibri" w:hAnsi="Calibri" w:cs="Calibri"/>
        </w:rPr>
        <w:t>mandatory</w:t>
      </w:r>
      <w:r w:rsidRPr="00DD7BD1">
        <w:rPr>
          <w:rFonts w:ascii="Calibri" w:hAnsi="Calibri" w:cs="Calibri"/>
          <w:spacing w:val="31"/>
        </w:rPr>
        <w:t xml:space="preserve"> </w:t>
      </w:r>
      <w:r w:rsidRPr="00DD7BD1">
        <w:rPr>
          <w:rFonts w:ascii="Calibri" w:hAnsi="Calibri" w:cs="Calibri"/>
        </w:rPr>
        <w:t>in</w:t>
      </w:r>
      <w:r w:rsidRPr="00DD7BD1">
        <w:rPr>
          <w:rFonts w:ascii="Calibri" w:hAnsi="Calibri" w:cs="Calibri"/>
          <w:spacing w:val="33"/>
        </w:rPr>
        <w:t xml:space="preserve"> </w:t>
      </w:r>
      <w:r w:rsidRPr="00DD7BD1">
        <w:rPr>
          <w:rFonts w:ascii="Calibri" w:hAnsi="Calibri" w:cs="Calibri"/>
        </w:rPr>
        <w:t>2020,</w:t>
      </w:r>
      <w:r w:rsidRPr="00DD7BD1">
        <w:rPr>
          <w:rFonts w:ascii="Calibri" w:hAnsi="Calibri" w:cs="Calibri"/>
          <w:spacing w:val="33"/>
        </w:rPr>
        <w:t xml:space="preserve"> </w:t>
      </w:r>
      <w:r w:rsidRPr="00DD7BD1">
        <w:rPr>
          <w:rFonts w:ascii="Calibri" w:hAnsi="Calibri" w:cs="Calibri"/>
        </w:rPr>
        <w:t>but</w:t>
      </w:r>
      <w:r w:rsidRPr="00DD7BD1">
        <w:rPr>
          <w:rFonts w:ascii="Calibri" w:hAnsi="Calibri" w:cs="Calibri"/>
          <w:spacing w:val="33"/>
        </w:rPr>
        <w:t xml:space="preserve"> </w:t>
      </w:r>
      <w:r w:rsidRPr="00DD7BD1">
        <w:rPr>
          <w:rFonts w:ascii="Calibri" w:hAnsi="Calibri" w:cs="Calibri"/>
        </w:rPr>
        <w:t>the</w:t>
      </w:r>
      <w:r w:rsidRPr="00DD7BD1">
        <w:rPr>
          <w:rFonts w:ascii="Calibri" w:hAnsi="Calibri" w:cs="Calibri"/>
          <w:spacing w:val="35"/>
        </w:rPr>
        <w:t xml:space="preserve"> </w:t>
      </w:r>
      <w:r w:rsidRPr="00DD7BD1">
        <w:rPr>
          <w:rFonts w:ascii="Calibri" w:hAnsi="Calibri" w:cs="Calibri"/>
        </w:rPr>
        <w:t xml:space="preserve">MDOL </w:t>
      </w:r>
      <w:r w:rsidRPr="00DD7BD1">
        <w:rPr>
          <w:rFonts w:ascii="Calibri" w:hAnsi="Calibri" w:cs="Calibri"/>
          <w:w w:val="110"/>
        </w:rPr>
        <w:t xml:space="preserve">previously announced it would not enforce the law until it </w:t>
      </w:r>
      <w:proofErr w:type="gramStart"/>
      <w:r w:rsidRPr="00DD7BD1">
        <w:rPr>
          <w:rFonts w:ascii="Calibri" w:hAnsi="Calibri" w:cs="Calibri"/>
          <w:w w:val="110"/>
        </w:rPr>
        <w:t>had issued</w:t>
      </w:r>
      <w:proofErr w:type="gramEnd"/>
      <w:r w:rsidRPr="00DD7BD1">
        <w:rPr>
          <w:rFonts w:ascii="Calibri" w:hAnsi="Calibri" w:cs="Calibri"/>
          <w:w w:val="110"/>
        </w:rPr>
        <w:t xml:space="preserve"> final</w:t>
      </w:r>
      <w:r w:rsidRPr="00DD7BD1">
        <w:rPr>
          <w:rFonts w:ascii="Calibri" w:hAnsi="Calibri" w:cs="Calibri"/>
          <w:spacing w:val="-1"/>
          <w:w w:val="110"/>
        </w:rPr>
        <w:t xml:space="preserve"> </w:t>
      </w:r>
      <w:r w:rsidRPr="00DD7BD1">
        <w:rPr>
          <w:rFonts w:ascii="Calibri" w:hAnsi="Calibri" w:cs="Calibri"/>
          <w:w w:val="110"/>
        </w:rPr>
        <w:t>regulations.</w:t>
      </w:r>
    </w:p>
    <w:p w14:paraId="114491C7"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w w:val="110"/>
        </w:rPr>
        <w:t>Although</w:t>
      </w:r>
      <w:r w:rsidRPr="00DD7BD1">
        <w:rPr>
          <w:rFonts w:ascii="Calibri" w:hAnsi="Calibri" w:cs="Calibri"/>
          <w:spacing w:val="-17"/>
          <w:w w:val="110"/>
        </w:rPr>
        <w:t xml:space="preserve"> </w:t>
      </w:r>
      <w:r w:rsidRPr="00DD7BD1">
        <w:rPr>
          <w:rFonts w:ascii="Calibri" w:hAnsi="Calibri" w:cs="Calibri"/>
          <w:w w:val="110"/>
        </w:rPr>
        <w:t>only</w:t>
      </w:r>
      <w:r w:rsidRPr="00DD7BD1">
        <w:rPr>
          <w:rFonts w:ascii="Calibri" w:hAnsi="Calibri" w:cs="Calibri"/>
          <w:spacing w:val="-17"/>
          <w:w w:val="110"/>
        </w:rPr>
        <w:t xml:space="preserve"> </w:t>
      </w:r>
      <w:r w:rsidRPr="00DD7BD1">
        <w:rPr>
          <w:rFonts w:ascii="Calibri" w:hAnsi="Calibri" w:cs="Calibri"/>
          <w:w w:val="110"/>
        </w:rPr>
        <w:t>proposed</w:t>
      </w:r>
      <w:r w:rsidRPr="00DD7BD1">
        <w:rPr>
          <w:rFonts w:ascii="Calibri" w:hAnsi="Calibri" w:cs="Calibri"/>
          <w:spacing w:val="-17"/>
          <w:w w:val="110"/>
        </w:rPr>
        <w:t xml:space="preserve"> </w:t>
      </w:r>
      <w:r w:rsidRPr="00DD7BD1">
        <w:rPr>
          <w:rFonts w:ascii="Calibri" w:hAnsi="Calibri" w:cs="Calibri"/>
          <w:w w:val="110"/>
        </w:rPr>
        <w:t>regulations</w:t>
      </w:r>
      <w:r w:rsidRPr="00DD7BD1">
        <w:rPr>
          <w:rFonts w:ascii="Calibri" w:hAnsi="Calibri" w:cs="Calibri"/>
          <w:spacing w:val="-17"/>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been</w:t>
      </w:r>
      <w:r w:rsidRPr="00DD7BD1">
        <w:rPr>
          <w:rFonts w:ascii="Calibri" w:hAnsi="Calibri" w:cs="Calibri"/>
          <w:spacing w:val="-16"/>
          <w:w w:val="110"/>
        </w:rPr>
        <w:t xml:space="preserve"> </w:t>
      </w:r>
      <w:r w:rsidRPr="00DD7BD1">
        <w:rPr>
          <w:rFonts w:ascii="Calibri" w:hAnsi="Calibri" w:cs="Calibri"/>
          <w:w w:val="110"/>
        </w:rPr>
        <w:t>issued,</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MDOL</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taking</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position</w:t>
      </w:r>
      <w:r w:rsidRPr="00DD7BD1">
        <w:rPr>
          <w:rFonts w:ascii="Calibri" w:hAnsi="Calibri" w:cs="Calibri"/>
          <w:spacing w:val="-17"/>
          <w:w w:val="110"/>
        </w:rPr>
        <w:t xml:space="preserve"> </w:t>
      </w:r>
      <w:r w:rsidRPr="00DD7BD1">
        <w:rPr>
          <w:rFonts w:ascii="Calibri" w:hAnsi="Calibri" w:cs="Calibri"/>
          <w:w w:val="110"/>
        </w:rPr>
        <w:t>that</w:t>
      </w:r>
      <w:r w:rsidRPr="00DD7BD1">
        <w:rPr>
          <w:rFonts w:ascii="Calibri" w:hAnsi="Calibri" w:cs="Calibri"/>
          <w:spacing w:val="-17"/>
          <w:w w:val="110"/>
        </w:rPr>
        <w:t xml:space="preserve"> </w:t>
      </w:r>
      <w:r w:rsidRPr="00DD7BD1">
        <w:rPr>
          <w:rFonts w:ascii="Calibri" w:hAnsi="Calibri" w:cs="Calibri"/>
          <w:w w:val="110"/>
        </w:rPr>
        <w:t>employers must comply with the act.</w:t>
      </w:r>
    </w:p>
    <w:p w14:paraId="0E992BE1" w14:textId="77777777" w:rsidR="007E0135" w:rsidRPr="00DD7BD1" w:rsidRDefault="007E0135" w:rsidP="003A22A9">
      <w:pPr>
        <w:pStyle w:val="BodyText"/>
        <w:spacing w:after="0" w:line="240" w:lineRule="auto"/>
        <w:ind w:right="180"/>
        <w:rPr>
          <w:rFonts w:cs="Calibri"/>
          <w:b/>
          <w:color w:val="auto"/>
          <w:spacing w:val="-2"/>
          <w:w w:val="110"/>
          <w:sz w:val="16"/>
          <w:szCs w:val="16"/>
          <w:highlight w:val="lightGray"/>
        </w:rPr>
      </w:pPr>
    </w:p>
    <w:p w14:paraId="7F45CC9B" w14:textId="712241A0" w:rsidR="007E0135" w:rsidRPr="00DD7BD1" w:rsidRDefault="007E0135" w:rsidP="003A22A9">
      <w:pPr>
        <w:pStyle w:val="BodyText"/>
        <w:spacing w:after="0" w:line="240" w:lineRule="auto"/>
        <w:ind w:right="180"/>
        <w:rPr>
          <w:rFonts w:cs="Calibri"/>
          <w:color w:val="auto"/>
          <w:szCs w:val="22"/>
        </w:rPr>
      </w:pPr>
      <w:r w:rsidRPr="00DD7BD1">
        <w:rPr>
          <w:rFonts w:cs="Calibri"/>
          <w:b/>
          <w:color w:val="auto"/>
          <w:spacing w:val="-2"/>
          <w:w w:val="110"/>
          <w:szCs w:val="22"/>
          <w:highlight w:val="lightGray"/>
        </w:rPr>
        <w:t>Employer</w:t>
      </w:r>
      <w:r w:rsidRPr="00DD7BD1">
        <w:rPr>
          <w:rFonts w:cs="Calibri"/>
          <w:b/>
          <w:color w:val="auto"/>
          <w:spacing w:val="-12"/>
          <w:w w:val="110"/>
          <w:szCs w:val="22"/>
          <w:highlight w:val="lightGray"/>
        </w:rPr>
        <w:t xml:space="preserve"> </w:t>
      </w:r>
      <w:r w:rsidRPr="00DD7BD1">
        <w:rPr>
          <w:rFonts w:cs="Calibri"/>
          <w:b/>
          <w:color w:val="auto"/>
          <w:spacing w:val="-2"/>
          <w:w w:val="110"/>
          <w:szCs w:val="22"/>
          <w:highlight w:val="lightGray"/>
        </w:rPr>
        <w:t>Takeaway:</w:t>
      </w:r>
      <w:r w:rsidRPr="00DD7BD1">
        <w:rPr>
          <w:rFonts w:cs="Calibri"/>
          <w:b/>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preparing</w:t>
      </w:r>
      <w:r w:rsidRPr="00DD7BD1">
        <w:rPr>
          <w:rFonts w:cs="Calibri"/>
          <w:color w:val="auto"/>
          <w:spacing w:val="-10"/>
          <w:w w:val="110"/>
          <w:szCs w:val="22"/>
        </w:rPr>
        <w:t xml:space="preserve"> </w:t>
      </w:r>
      <w:r w:rsidRPr="00DD7BD1">
        <w:rPr>
          <w:rFonts w:cs="Calibri"/>
          <w:color w:val="auto"/>
          <w:spacing w:val="-2"/>
          <w:w w:val="110"/>
          <w:szCs w:val="22"/>
        </w:rPr>
        <w:t>for</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3"/>
          <w:w w:val="110"/>
          <w:szCs w:val="22"/>
        </w:rPr>
        <w:t xml:space="preserve"> </w:t>
      </w:r>
      <w:r w:rsidRPr="00DD7BD1">
        <w:rPr>
          <w:rFonts w:cs="Calibri"/>
          <w:color w:val="auto"/>
          <w:spacing w:val="-2"/>
          <w:w w:val="110"/>
          <w:szCs w:val="22"/>
        </w:rPr>
        <w:t>mass</w:t>
      </w:r>
      <w:r w:rsidRPr="00DD7BD1">
        <w:rPr>
          <w:rFonts w:cs="Calibri"/>
          <w:color w:val="auto"/>
          <w:spacing w:val="-10"/>
          <w:w w:val="110"/>
          <w:szCs w:val="22"/>
        </w:rPr>
        <w:t xml:space="preserve"> </w:t>
      </w:r>
      <w:r w:rsidRPr="00DD7BD1">
        <w:rPr>
          <w:rFonts w:cs="Calibri"/>
          <w:color w:val="auto"/>
          <w:spacing w:val="-2"/>
          <w:w w:val="110"/>
          <w:szCs w:val="22"/>
        </w:rPr>
        <w:t>layoff</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3"/>
          <w:w w:val="110"/>
          <w:szCs w:val="22"/>
        </w:rPr>
        <w:t xml:space="preserve"> </w:t>
      </w:r>
      <w:r w:rsidRPr="00DD7BD1">
        <w:rPr>
          <w:rFonts w:cs="Calibri"/>
          <w:color w:val="auto"/>
          <w:spacing w:val="-2"/>
          <w:w w:val="110"/>
          <w:szCs w:val="22"/>
        </w:rPr>
        <w:t>a</w:t>
      </w:r>
      <w:r w:rsidRPr="00DD7BD1">
        <w:rPr>
          <w:rFonts w:cs="Calibri"/>
          <w:color w:val="auto"/>
          <w:spacing w:val="-11"/>
          <w:w w:val="110"/>
          <w:szCs w:val="22"/>
        </w:rPr>
        <w:t xml:space="preserve"> </w:t>
      </w:r>
      <w:r w:rsidRPr="00DD7BD1">
        <w:rPr>
          <w:rFonts w:cs="Calibri"/>
          <w:color w:val="auto"/>
          <w:spacing w:val="-2"/>
          <w:w w:val="110"/>
          <w:szCs w:val="22"/>
        </w:rPr>
        <w:t>reduction</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0"/>
          <w:w w:val="110"/>
          <w:szCs w:val="22"/>
        </w:rPr>
        <w:t xml:space="preserve"> </w:t>
      </w:r>
      <w:r w:rsidRPr="00DD7BD1">
        <w:rPr>
          <w:rFonts w:cs="Calibri"/>
          <w:color w:val="auto"/>
          <w:spacing w:val="-2"/>
          <w:w w:val="110"/>
          <w:szCs w:val="22"/>
        </w:rPr>
        <w:t>force</w:t>
      </w:r>
      <w:r w:rsidRPr="00DD7BD1">
        <w:rPr>
          <w:rFonts w:cs="Calibri"/>
          <w:color w:val="auto"/>
          <w:spacing w:val="-10"/>
          <w:w w:val="110"/>
          <w:szCs w:val="22"/>
        </w:rPr>
        <w:t xml:space="preserve"> </w:t>
      </w:r>
      <w:r w:rsidRPr="00DD7BD1">
        <w:rPr>
          <w:rFonts w:cs="Calibri"/>
          <w:color w:val="auto"/>
          <w:spacing w:val="-2"/>
          <w:w w:val="110"/>
          <w:szCs w:val="22"/>
        </w:rPr>
        <w:t>that</w:t>
      </w:r>
      <w:r w:rsidRPr="00DD7BD1">
        <w:rPr>
          <w:rFonts w:cs="Calibri"/>
          <w:color w:val="auto"/>
          <w:spacing w:val="-13"/>
          <w:w w:val="110"/>
          <w:szCs w:val="22"/>
        </w:rPr>
        <w:t xml:space="preserve"> </w:t>
      </w:r>
      <w:r w:rsidRPr="00DD7BD1">
        <w:rPr>
          <w:rFonts w:cs="Calibri"/>
          <w:color w:val="auto"/>
          <w:spacing w:val="-2"/>
          <w:w w:val="110"/>
          <w:szCs w:val="22"/>
        </w:rPr>
        <w:t>triggers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 xml:space="preserve">notice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Mini-WARN</w:t>
      </w:r>
      <w:r w:rsidRPr="00DD7BD1">
        <w:rPr>
          <w:rFonts w:cs="Calibri"/>
          <w:color w:val="auto"/>
          <w:spacing w:val="40"/>
          <w:szCs w:val="22"/>
        </w:rPr>
        <w:t xml:space="preserve"> </w:t>
      </w:r>
      <w:r w:rsidRPr="00DD7BD1">
        <w:rPr>
          <w:rFonts w:cs="Calibri"/>
          <w:color w:val="auto"/>
          <w:szCs w:val="22"/>
        </w:rPr>
        <w:t>Act</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be</w:t>
      </w:r>
      <w:r w:rsidRPr="00DD7BD1">
        <w:rPr>
          <w:rFonts w:cs="Calibri"/>
          <w:color w:val="auto"/>
          <w:spacing w:val="40"/>
          <w:szCs w:val="22"/>
        </w:rPr>
        <w:t xml:space="preserve"> </w:t>
      </w:r>
      <w:r w:rsidRPr="00DD7BD1">
        <w:rPr>
          <w:rFonts w:cs="Calibri"/>
          <w:color w:val="auto"/>
          <w:szCs w:val="22"/>
        </w:rPr>
        <w:t>prepared</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comply</w:t>
      </w:r>
      <w:r w:rsidRPr="00DD7BD1">
        <w:rPr>
          <w:rFonts w:cs="Calibri"/>
          <w:color w:val="auto"/>
          <w:spacing w:val="40"/>
          <w:szCs w:val="22"/>
        </w:rPr>
        <w:t xml:space="preserve"> </w:t>
      </w:r>
      <w:r w:rsidRPr="00DD7BD1">
        <w:rPr>
          <w:rFonts w:cs="Calibri"/>
          <w:color w:val="auto"/>
          <w:szCs w:val="22"/>
        </w:rPr>
        <w:t>with</w:t>
      </w:r>
      <w:r w:rsidRPr="00DD7BD1">
        <w:rPr>
          <w:rFonts w:cs="Calibri"/>
          <w:color w:val="auto"/>
          <w:spacing w:val="40"/>
          <w:szCs w:val="22"/>
        </w:rPr>
        <w:t xml:space="preserve"> </w:t>
      </w:r>
      <w:r w:rsidRPr="00DD7BD1">
        <w:rPr>
          <w:rFonts w:cs="Calibri"/>
          <w:color w:val="auto"/>
          <w:szCs w:val="22"/>
        </w:rPr>
        <w:t>those</w:t>
      </w:r>
      <w:r w:rsidRPr="00DD7BD1">
        <w:rPr>
          <w:rFonts w:cs="Calibri"/>
          <w:color w:val="auto"/>
          <w:spacing w:val="40"/>
          <w:szCs w:val="22"/>
        </w:rPr>
        <w:t xml:space="preserv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immediately.</w:t>
      </w:r>
    </w:p>
    <w:p w14:paraId="0FF0F593" w14:textId="77777777" w:rsidR="003A22A9" w:rsidRPr="00DD7BD1" w:rsidRDefault="003A22A9" w:rsidP="003A22A9">
      <w:pPr>
        <w:pStyle w:val="BodyText"/>
        <w:spacing w:after="0" w:line="240" w:lineRule="auto"/>
        <w:ind w:right="180"/>
        <w:rPr>
          <w:rFonts w:cs="Calibri"/>
          <w:color w:val="auto"/>
          <w:szCs w:val="22"/>
        </w:rPr>
      </w:pPr>
    </w:p>
    <w:p w14:paraId="33C74ECB" w14:textId="2B58733F" w:rsidR="007E0135" w:rsidRPr="00DD7BD1" w:rsidRDefault="007E0135" w:rsidP="007E0135">
      <w:pPr>
        <w:pStyle w:val="Heading1"/>
        <w:spacing w:before="0" w:beforeAutospacing="0" w:after="0" w:afterAutospacing="0"/>
        <w:ind w:right="-446"/>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State’s Amends Parental Leave Act – Eff </w:t>
      </w:r>
      <w:r w:rsidRPr="00DD7BD1">
        <w:rPr>
          <w:rFonts w:ascii="Calibri" w:hAnsi="Calibri" w:cs="Calibri"/>
          <w:bCs w:val="0"/>
          <w:color w:val="C00000"/>
          <w:spacing w:val="-8"/>
          <w:kern w:val="0"/>
          <w:sz w:val="28"/>
          <w:szCs w:val="24"/>
        </w:rPr>
        <w:t>Oct 1, 2025</w:t>
      </w:r>
    </w:p>
    <w:p w14:paraId="00269E96" w14:textId="77777777" w:rsidR="007E0135" w:rsidRPr="00DD7BD1" w:rsidRDefault="007E0135" w:rsidP="003A22A9">
      <w:pPr>
        <w:pStyle w:val="BodyText"/>
        <w:spacing w:after="0" w:line="240" w:lineRule="auto"/>
        <w:ind w:right="360"/>
        <w:rPr>
          <w:rFonts w:cs="Calibri"/>
        </w:rPr>
      </w:pPr>
      <w:r w:rsidRPr="00DD7BD1">
        <w:rPr>
          <w:rFonts w:cs="Calibri"/>
          <w:color w:val="auto"/>
          <w:w w:val="110"/>
        </w:rPr>
        <w:t>Maryland</w:t>
      </w:r>
      <w:r w:rsidRPr="00DD7BD1">
        <w:rPr>
          <w:rFonts w:cs="Calibri"/>
          <w:color w:val="auto"/>
          <w:spacing w:val="-9"/>
          <w:w w:val="110"/>
        </w:rPr>
        <w:t xml:space="preserve"> </w:t>
      </w:r>
      <w:r w:rsidRPr="00DD7BD1">
        <w:rPr>
          <w:rFonts w:cs="Calibri"/>
          <w:color w:val="auto"/>
          <w:w w:val="110"/>
        </w:rPr>
        <w:t>has</w:t>
      </w:r>
      <w:r w:rsidRPr="00DD7BD1">
        <w:rPr>
          <w:rFonts w:cs="Calibri"/>
          <w:color w:val="auto"/>
          <w:spacing w:val="-8"/>
          <w:w w:val="110"/>
        </w:rPr>
        <w:t xml:space="preserve"> </w:t>
      </w:r>
      <w:r w:rsidRPr="00DD7BD1">
        <w:rPr>
          <w:rFonts w:cs="Calibri"/>
          <w:color w:val="auto"/>
          <w:w w:val="110"/>
        </w:rPr>
        <w:t>enacted</w:t>
      </w:r>
      <w:r w:rsidRPr="00DD7BD1">
        <w:rPr>
          <w:rFonts w:cs="Calibri"/>
          <w:color w:val="auto"/>
          <w:spacing w:val="-7"/>
          <w:w w:val="110"/>
        </w:rPr>
        <w:t xml:space="preserve"> </w:t>
      </w:r>
      <w:hyperlink r:id="rId799">
        <w:r w:rsidRPr="00DD7BD1">
          <w:rPr>
            <w:rFonts w:cs="Calibri"/>
            <w:color w:val="0000FF"/>
            <w:w w:val="110"/>
            <w:u w:val="single" w:color="0000FF"/>
          </w:rPr>
          <w:t>Senate</w:t>
        </w:r>
        <w:r w:rsidRPr="00DD7BD1">
          <w:rPr>
            <w:rFonts w:cs="Calibri"/>
            <w:color w:val="0000FF"/>
            <w:spacing w:val="-6"/>
            <w:w w:val="110"/>
            <w:u w:val="single" w:color="0000FF"/>
          </w:rPr>
          <w:t xml:space="preserve"> </w:t>
        </w:r>
        <w:r w:rsidRPr="00DD7BD1">
          <w:rPr>
            <w:rFonts w:cs="Calibri"/>
            <w:color w:val="0000FF"/>
            <w:w w:val="110"/>
            <w:u w:val="single" w:color="0000FF"/>
          </w:rPr>
          <w:t>Bill</w:t>
        </w:r>
        <w:r w:rsidRPr="00DD7BD1">
          <w:rPr>
            <w:rFonts w:cs="Calibri"/>
            <w:color w:val="0000FF"/>
            <w:spacing w:val="-8"/>
            <w:w w:val="110"/>
            <w:u w:val="single" w:color="0000FF"/>
          </w:rPr>
          <w:t xml:space="preserve"> </w:t>
        </w:r>
        <w:r w:rsidRPr="00DD7BD1">
          <w:rPr>
            <w:rFonts w:cs="Calibri"/>
            <w:color w:val="0000FF"/>
            <w:w w:val="110"/>
            <w:u w:val="single" w:color="0000FF"/>
          </w:rPr>
          <w:t>(SB)</w:t>
        </w:r>
        <w:r w:rsidRPr="00DD7BD1">
          <w:rPr>
            <w:rFonts w:cs="Calibri"/>
            <w:color w:val="0000FF"/>
            <w:spacing w:val="-9"/>
            <w:w w:val="110"/>
            <w:u w:val="single" w:color="0000FF"/>
          </w:rPr>
          <w:t xml:space="preserve"> </w:t>
        </w:r>
        <w:r w:rsidRPr="00DD7BD1">
          <w:rPr>
            <w:rFonts w:cs="Calibri"/>
            <w:color w:val="0000FF"/>
            <w:w w:val="110"/>
            <w:u w:val="single" w:color="0000FF"/>
          </w:rPr>
          <w:t>785</w:t>
        </w:r>
        <w:r w:rsidRPr="00DD7BD1">
          <w:rPr>
            <w:rFonts w:cs="Calibri"/>
            <w:color w:val="585858"/>
            <w:w w:val="110"/>
          </w:rPr>
          <w:t>,</w:t>
        </w:r>
      </w:hyperlink>
      <w:r w:rsidRPr="00DD7BD1">
        <w:rPr>
          <w:rFonts w:cs="Calibri"/>
          <w:color w:val="585858"/>
          <w:spacing w:val="-7"/>
          <w:w w:val="110"/>
        </w:rPr>
        <w:t xml:space="preserve"> </w:t>
      </w:r>
      <w:r w:rsidRPr="00DD7BD1">
        <w:rPr>
          <w:rFonts w:cs="Calibri"/>
          <w:color w:val="auto"/>
          <w:w w:val="110"/>
        </w:rPr>
        <w:t>amending</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state’s</w:t>
      </w:r>
      <w:r w:rsidRPr="00DD7BD1">
        <w:rPr>
          <w:rFonts w:cs="Calibri"/>
          <w:color w:val="auto"/>
          <w:spacing w:val="-4"/>
          <w:w w:val="110"/>
        </w:rPr>
        <w:t xml:space="preserve"> </w:t>
      </w:r>
      <w:hyperlink r:id="rId800">
        <w:r w:rsidRPr="00DD7BD1">
          <w:rPr>
            <w:rFonts w:cs="Calibri"/>
            <w:color w:val="0000FF"/>
            <w:w w:val="110"/>
            <w:u w:val="single" w:color="0000FF"/>
          </w:rPr>
          <w:t>Parental</w:t>
        </w:r>
        <w:r w:rsidRPr="00DD7BD1">
          <w:rPr>
            <w:rFonts w:cs="Calibri"/>
            <w:color w:val="0000FF"/>
            <w:spacing w:val="-10"/>
            <w:w w:val="110"/>
            <w:u w:val="single" w:color="0000FF"/>
          </w:rPr>
          <w:t xml:space="preserve"> </w:t>
        </w:r>
        <w:r w:rsidRPr="00DD7BD1">
          <w:rPr>
            <w:rFonts w:cs="Calibri"/>
            <w:color w:val="0000FF"/>
            <w:w w:val="110"/>
            <w:u w:val="single" w:color="0000FF"/>
          </w:rPr>
          <w:t>Leave</w:t>
        </w:r>
        <w:r w:rsidRPr="00DD7BD1">
          <w:rPr>
            <w:rFonts w:cs="Calibri"/>
            <w:color w:val="0000FF"/>
            <w:spacing w:val="-6"/>
            <w:w w:val="110"/>
            <w:u w:val="single" w:color="0000FF"/>
          </w:rPr>
          <w:t xml:space="preserve"> </w:t>
        </w:r>
        <w:r w:rsidRPr="00DD7BD1">
          <w:rPr>
            <w:rFonts w:cs="Calibri"/>
            <w:color w:val="0000FF"/>
            <w:w w:val="110"/>
            <w:u w:val="single" w:color="0000FF"/>
          </w:rPr>
          <w:t>Act</w:t>
        </w:r>
      </w:hyperlink>
      <w:r w:rsidRPr="00DD7BD1">
        <w:rPr>
          <w:rFonts w:cs="Calibri"/>
          <w:color w:val="0000FF"/>
          <w:spacing w:val="-9"/>
          <w:w w:val="110"/>
        </w:rPr>
        <w:t xml:space="preserve"> </w:t>
      </w:r>
      <w:r w:rsidRPr="00DD7BD1">
        <w:rPr>
          <w:rFonts w:cs="Calibri"/>
          <w:color w:val="auto"/>
          <w:w w:val="110"/>
        </w:rPr>
        <w:t>(PLA)</w:t>
      </w:r>
      <w:r w:rsidRPr="00DD7BD1">
        <w:rPr>
          <w:rFonts w:cs="Calibri"/>
          <w:color w:val="auto"/>
          <w:spacing w:val="-9"/>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clarify</w:t>
      </w:r>
      <w:r w:rsidRPr="00DD7BD1">
        <w:rPr>
          <w:rFonts w:cs="Calibri"/>
          <w:color w:val="auto"/>
          <w:spacing w:val="-8"/>
          <w:w w:val="110"/>
        </w:rPr>
        <w:t xml:space="preserve"> </w:t>
      </w:r>
      <w:r w:rsidRPr="00DD7BD1">
        <w:rPr>
          <w:rFonts w:cs="Calibri"/>
          <w:color w:val="auto"/>
          <w:w w:val="110"/>
        </w:rPr>
        <w:t>that</w:t>
      </w:r>
      <w:r w:rsidRPr="00DD7BD1">
        <w:rPr>
          <w:rFonts w:cs="Calibri"/>
          <w:color w:val="auto"/>
          <w:spacing w:val="-7"/>
          <w:w w:val="110"/>
        </w:rPr>
        <w:t xml:space="preserve"> </w:t>
      </w:r>
      <w:r w:rsidRPr="00DD7BD1">
        <w:rPr>
          <w:rFonts w:cs="Calibri"/>
          <w:color w:val="auto"/>
          <w:w w:val="110"/>
        </w:rPr>
        <w:t>it</w:t>
      </w:r>
      <w:r w:rsidRPr="00DD7BD1">
        <w:rPr>
          <w:rFonts w:cs="Calibri"/>
          <w:color w:val="auto"/>
          <w:spacing w:val="-7"/>
          <w:w w:val="110"/>
        </w:rPr>
        <w:t xml:space="preserve"> </w:t>
      </w:r>
      <w:r w:rsidRPr="00DD7BD1">
        <w:rPr>
          <w:rFonts w:cs="Calibri"/>
          <w:color w:val="auto"/>
          <w:w w:val="110"/>
        </w:rPr>
        <w:t>does</w:t>
      </w:r>
      <w:r w:rsidRPr="00DD7BD1">
        <w:rPr>
          <w:rFonts w:cs="Calibri"/>
          <w:color w:val="auto"/>
          <w:spacing w:val="-8"/>
          <w:w w:val="110"/>
        </w:rPr>
        <w:t xml:space="preserve"> </w:t>
      </w:r>
      <w:r w:rsidRPr="00DD7BD1">
        <w:rPr>
          <w:rFonts w:cs="Calibri"/>
          <w:color w:val="auto"/>
          <w:w w:val="110"/>
        </w:rPr>
        <w:t>not apply to employers while they are covered by the federal</w:t>
      </w:r>
      <w:r w:rsidRPr="00DD7BD1">
        <w:rPr>
          <w:rFonts w:cs="Calibri"/>
          <w:color w:val="auto"/>
          <w:spacing w:val="-1"/>
          <w:w w:val="110"/>
        </w:rPr>
        <w:t xml:space="preserve"> </w:t>
      </w:r>
      <w:r w:rsidRPr="00DD7BD1">
        <w:rPr>
          <w:rFonts w:cs="Calibri"/>
          <w:color w:val="auto"/>
          <w:w w:val="110"/>
        </w:rPr>
        <w:t>Family and Medical Leave Act</w:t>
      </w:r>
      <w:r w:rsidRPr="00DD7BD1">
        <w:rPr>
          <w:rFonts w:cs="Calibri"/>
          <w:color w:val="auto"/>
          <w:spacing w:val="-3"/>
          <w:w w:val="110"/>
        </w:rPr>
        <w:t xml:space="preserve"> </w:t>
      </w:r>
      <w:r w:rsidRPr="00DD7BD1">
        <w:rPr>
          <w:rFonts w:cs="Calibri"/>
          <w:color w:val="auto"/>
          <w:w w:val="110"/>
        </w:rPr>
        <w:t>(FMLA). The amendment takes effect Oct. 1, 2025.</w:t>
      </w:r>
    </w:p>
    <w:p w14:paraId="649E95FD"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PLA and FMLA</w:t>
      </w:r>
    </w:p>
    <w:p w14:paraId="32ECFF4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PLA</w:t>
      </w:r>
      <w:r w:rsidRPr="00DD7BD1">
        <w:rPr>
          <w:rFonts w:cs="Calibri"/>
          <w:color w:val="auto"/>
          <w:spacing w:val="-11"/>
          <w:w w:val="110"/>
        </w:rPr>
        <w:t xml:space="preserve"> </w:t>
      </w:r>
      <w:r w:rsidRPr="00DD7BD1">
        <w:rPr>
          <w:rFonts w:cs="Calibri"/>
          <w:color w:val="auto"/>
          <w:spacing w:val="-2"/>
          <w:w w:val="110"/>
        </w:rPr>
        <w:t>applies</w:t>
      </w:r>
      <w:r w:rsidRPr="00DD7BD1">
        <w:rPr>
          <w:rFonts w:cs="Calibri"/>
          <w:color w:val="auto"/>
          <w:spacing w:val="-10"/>
          <w:w w:val="110"/>
        </w:rPr>
        <w:t xml:space="preserve"> </w:t>
      </w:r>
      <w:r w:rsidRPr="00DD7BD1">
        <w:rPr>
          <w:rFonts w:cs="Calibri"/>
          <w:color w:val="auto"/>
          <w:spacing w:val="-2"/>
          <w:w w:val="110"/>
        </w:rPr>
        <w:t>to</w:t>
      </w:r>
      <w:r w:rsidRPr="00DD7BD1">
        <w:rPr>
          <w:rFonts w:cs="Calibri"/>
          <w:color w:val="auto"/>
          <w:spacing w:val="-12"/>
          <w:w w:val="110"/>
        </w:rPr>
        <w:t xml:space="preserve"> </w:t>
      </w:r>
      <w:r w:rsidRPr="00DD7BD1">
        <w:rPr>
          <w:rFonts w:cs="Calibri"/>
          <w:color w:val="auto"/>
          <w:spacing w:val="-2"/>
          <w:w w:val="110"/>
        </w:rPr>
        <w:t>employers</w:t>
      </w:r>
      <w:r w:rsidRPr="00DD7BD1">
        <w:rPr>
          <w:rFonts w:cs="Calibri"/>
          <w:color w:val="auto"/>
          <w:spacing w:val="-12"/>
          <w:w w:val="110"/>
        </w:rPr>
        <w:t xml:space="preserve"> </w:t>
      </w:r>
      <w:r w:rsidRPr="00DD7BD1">
        <w:rPr>
          <w:rFonts w:cs="Calibri"/>
          <w:color w:val="auto"/>
          <w:spacing w:val="-2"/>
          <w:w w:val="110"/>
        </w:rPr>
        <w:t>with</w:t>
      </w:r>
      <w:r w:rsidRPr="00DD7BD1">
        <w:rPr>
          <w:rFonts w:cs="Calibri"/>
          <w:color w:val="auto"/>
          <w:spacing w:val="-13"/>
          <w:w w:val="110"/>
        </w:rPr>
        <w:t xml:space="preserve"> </w:t>
      </w:r>
      <w:r w:rsidRPr="00DD7BD1">
        <w:rPr>
          <w:rFonts w:cs="Calibri"/>
          <w:color w:val="auto"/>
          <w:spacing w:val="-2"/>
          <w:w w:val="110"/>
        </w:rPr>
        <w:t>15-49</w:t>
      </w:r>
      <w:r w:rsidRPr="00DD7BD1">
        <w:rPr>
          <w:rFonts w:cs="Calibri"/>
          <w:color w:val="auto"/>
          <w:spacing w:val="-13"/>
          <w:w w:val="110"/>
        </w:rPr>
        <w:t xml:space="preserve"> </w:t>
      </w:r>
      <w:r w:rsidRPr="00DD7BD1">
        <w:rPr>
          <w:rFonts w:cs="Calibri"/>
          <w:color w:val="auto"/>
          <w:spacing w:val="-2"/>
          <w:w w:val="110"/>
        </w:rPr>
        <w:t>employees</w:t>
      </w:r>
      <w:r w:rsidRPr="00DD7BD1">
        <w:rPr>
          <w:rFonts w:cs="Calibri"/>
          <w:color w:val="auto"/>
          <w:spacing w:val="-12"/>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state</w:t>
      </w:r>
      <w:r w:rsidRPr="00DD7BD1">
        <w:rPr>
          <w:rFonts w:cs="Calibri"/>
          <w:color w:val="auto"/>
          <w:spacing w:val="-13"/>
          <w:w w:val="110"/>
        </w:rPr>
        <w:t xml:space="preserve"> </w:t>
      </w:r>
      <w:r w:rsidRPr="00DD7BD1">
        <w:rPr>
          <w:rFonts w:cs="Calibri"/>
          <w:color w:val="auto"/>
          <w:spacing w:val="-2"/>
          <w:w w:val="110"/>
        </w:rPr>
        <w:t>during</w:t>
      </w:r>
      <w:r w:rsidRPr="00DD7BD1">
        <w:rPr>
          <w:rFonts w:cs="Calibri"/>
          <w:color w:val="auto"/>
          <w:spacing w:val="-13"/>
          <w:w w:val="110"/>
        </w:rPr>
        <w:t xml:space="preserve"> </w:t>
      </w:r>
      <w:r w:rsidRPr="00DD7BD1">
        <w:rPr>
          <w:rFonts w:cs="Calibri"/>
          <w:color w:val="auto"/>
          <w:spacing w:val="-2"/>
          <w:w w:val="110"/>
        </w:rPr>
        <w:t>20</w:t>
      </w:r>
      <w:r w:rsidRPr="00DD7BD1">
        <w:rPr>
          <w:rFonts w:cs="Calibri"/>
          <w:color w:val="auto"/>
          <w:spacing w:val="-13"/>
          <w:w w:val="110"/>
        </w:rPr>
        <w:t xml:space="preserve"> </w:t>
      </w:r>
      <w:r w:rsidRPr="00DD7BD1">
        <w:rPr>
          <w:rFonts w:cs="Calibri"/>
          <w:color w:val="auto"/>
          <w:spacing w:val="-2"/>
          <w:w w:val="110"/>
        </w:rPr>
        <w:t>or</w:t>
      </w:r>
      <w:r w:rsidRPr="00DD7BD1">
        <w:rPr>
          <w:rFonts w:cs="Calibri"/>
          <w:color w:val="auto"/>
          <w:spacing w:val="-14"/>
          <w:w w:val="110"/>
        </w:rPr>
        <w:t xml:space="preserve"> </w:t>
      </w:r>
      <w:r w:rsidRPr="00DD7BD1">
        <w:rPr>
          <w:rFonts w:cs="Calibri"/>
          <w:color w:val="auto"/>
          <w:spacing w:val="-2"/>
          <w:w w:val="110"/>
        </w:rPr>
        <w:t>more</w:t>
      </w:r>
      <w:r w:rsidRPr="00DD7BD1">
        <w:rPr>
          <w:rFonts w:cs="Calibri"/>
          <w:color w:val="auto"/>
          <w:spacing w:val="-13"/>
          <w:w w:val="110"/>
        </w:rPr>
        <w:t xml:space="preserve"> </w:t>
      </w:r>
      <w:r w:rsidRPr="00DD7BD1">
        <w:rPr>
          <w:rFonts w:cs="Calibri"/>
          <w:color w:val="auto"/>
          <w:spacing w:val="-2"/>
          <w:w w:val="110"/>
        </w:rPr>
        <w:t>calendar</w:t>
      </w:r>
      <w:r w:rsidRPr="00DD7BD1">
        <w:rPr>
          <w:rFonts w:cs="Calibri"/>
          <w:color w:val="auto"/>
          <w:spacing w:val="-11"/>
          <w:w w:val="110"/>
        </w:rPr>
        <w:t xml:space="preserve"> </w:t>
      </w:r>
      <w:r w:rsidRPr="00DD7BD1">
        <w:rPr>
          <w:rFonts w:cs="Calibri"/>
          <w:color w:val="auto"/>
          <w:spacing w:val="-2"/>
          <w:w w:val="110"/>
        </w:rPr>
        <w:t>weeks</w:t>
      </w:r>
      <w:r w:rsidRPr="00DD7BD1">
        <w:rPr>
          <w:rFonts w:cs="Calibri"/>
          <w:color w:val="auto"/>
          <w:spacing w:val="-14"/>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current</w:t>
      </w:r>
      <w:r w:rsidRPr="00DD7BD1">
        <w:rPr>
          <w:rFonts w:cs="Calibri"/>
          <w:color w:val="auto"/>
          <w:spacing w:val="-14"/>
          <w:w w:val="110"/>
        </w:rPr>
        <w:t xml:space="preserve"> </w:t>
      </w:r>
      <w:r w:rsidRPr="00DD7BD1">
        <w:rPr>
          <w:rFonts w:cs="Calibri"/>
          <w:color w:val="auto"/>
          <w:spacing w:val="-2"/>
          <w:w w:val="110"/>
        </w:rPr>
        <w:t>or preceding</w:t>
      </w:r>
      <w:r w:rsidRPr="00DD7BD1">
        <w:rPr>
          <w:rFonts w:cs="Calibri"/>
          <w:color w:val="auto"/>
          <w:spacing w:val="-9"/>
          <w:w w:val="110"/>
        </w:rPr>
        <w:t xml:space="preserve"> </w:t>
      </w:r>
      <w:r w:rsidRPr="00DD7BD1">
        <w:rPr>
          <w:rFonts w:cs="Calibri"/>
          <w:color w:val="auto"/>
          <w:spacing w:val="-2"/>
          <w:w w:val="110"/>
        </w:rPr>
        <w:t>calendar</w:t>
      </w:r>
      <w:r w:rsidRPr="00DD7BD1">
        <w:rPr>
          <w:rFonts w:cs="Calibri"/>
          <w:color w:val="auto"/>
          <w:spacing w:val="-10"/>
          <w:w w:val="110"/>
        </w:rPr>
        <w:t xml:space="preserve"> </w:t>
      </w:r>
      <w:r w:rsidRPr="00DD7BD1">
        <w:rPr>
          <w:rFonts w:cs="Calibri"/>
          <w:color w:val="auto"/>
          <w:spacing w:val="-2"/>
          <w:w w:val="110"/>
        </w:rPr>
        <w:t>year.</w:t>
      </w:r>
      <w:r w:rsidRPr="00DD7BD1">
        <w:rPr>
          <w:rFonts w:cs="Calibri"/>
          <w:color w:val="auto"/>
          <w:spacing w:val="-10"/>
          <w:w w:val="110"/>
        </w:rPr>
        <w:t xml:space="preserve"> </w:t>
      </w:r>
      <w:r w:rsidRPr="00DD7BD1">
        <w:rPr>
          <w:rFonts w:cs="Calibri"/>
          <w:color w:val="auto"/>
          <w:spacing w:val="-2"/>
          <w:w w:val="110"/>
        </w:rPr>
        <w:t>It</w:t>
      </w:r>
      <w:r w:rsidRPr="00DD7BD1">
        <w:rPr>
          <w:rFonts w:cs="Calibri"/>
          <w:color w:val="auto"/>
          <w:spacing w:val="-8"/>
          <w:w w:val="110"/>
        </w:rPr>
        <w:t xml:space="preserve"> </w:t>
      </w:r>
      <w:r w:rsidRPr="00DD7BD1">
        <w:rPr>
          <w:rFonts w:cs="Calibri"/>
          <w:color w:val="auto"/>
          <w:spacing w:val="-2"/>
          <w:w w:val="110"/>
        </w:rPr>
        <w:t>requires</w:t>
      </w:r>
      <w:r w:rsidRPr="00DD7BD1">
        <w:rPr>
          <w:rFonts w:cs="Calibri"/>
          <w:color w:val="auto"/>
          <w:spacing w:val="-8"/>
          <w:w w:val="110"/>
        </w:rPr>
        <w:t xml:space="preserve"> </w:t>
      </w:r>
      <w:r w:rsidRPr="00DD7BD1">
        <w:rPr>
          <w:rFonts w:cs="Calibri"/>
          <w:color w:val="auto"/>
          <w:spacing w:val="-2"/>
          <w:w w:val="110"/>
        </w:rPr>
        <w:t>them</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8"/>
          <w:w w:val="110"/>
        </w:rPr>
        <w:t xml:space="preserve"> </w:t>
      </w:r>
      <w:r w:rsidRPr="00DD7BD1">
        <w:rPr>
          <w:rFonts w:cs="Calibri"/>
          <w:color w:val="auto"/>
          <w:spacing w:val="-2"/>
          <w:w w:val="110"/>
        </w:rPr>
        <w:t>provide</w:t>
      </w:r>
      <w:r w:rsidRPr="00DD7BD1">
        <w:rPr>
          <w:rFonts w:cs="Calibri"/>
          <w:color w:val="auto"/>
          <w:spacing w:val="-9"/>
          <w:w w:val="110"/>
        </w:rPr>
        <w:t xml:space="preserve"> </w:t>
      </w:r>
      <w:r w:rsidRPr="00DD7BD1">
        <w:rPr>
          <w:rFonts w:cs="Calibri"/>
          <w:color w:val="auto"/>
          <w:spacing w:val="-2"/>
          <w:w w:val="110"/>
        </w:rPr>
        <w:t>employees</w:t>
      </w:r>
      <w:r w:rsidRPr="00DD7BD1">
        <w:rPr>
          <w:rFonts w:cs="Calibri"/>
          <w:color w:val="auto"/>
          <w:spacing w:val="-8"/>
          <w:w w:val="110"/>
        </w:rPr>
        <w:t xml:space="preserve"> </w:t>
      </w:r>
      <w:r w:rsidRPr="00DD7BD1">
        <w:rPr>
          <w:rFonts w:cs="Calibri"/>
          <w:color w:val="auto"/>
          <w:spacing w:val="-2"/>
          <w:w w:val="110"/>
        </w:rPr>
        <w:t>with</w:t>
      </w:r>
      <w:r w:rsidRPr="00DD7BD1">
        <w:rPr>
          <w:rFonts w:cs="Calibri"/>
          <w:color w:val="auto"/>
          <w:spacing w:val="-9"/>
          <w:w w:val="110"/>
        </w:rPr>
        <w:t xml:space="preserve"> </w:t>
      </w:r>
      <w:r w:rsidRPr="00DD7BD1">
        <w:rPr>
          <w:rFonts w:cs="Calibri"/>
          <w:color w:val="auto"/>
          <w:spacing w:val="-2"/>
          <w:w w:val="110"/>
        </w:rPr>
        <w:t>up</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six</w:t>
      </w:r>
      <w:r w:rsidRPr="00DD7BD1">
        <w:rPr>
          <w:rFonts w:cs="Calibri"/>
          <w:color w:val="auto"/>
          <w:spacing w:val="-6"/>
          <w:w w:val="110"/>
        </w:rPr>
        <w:t xml:space="preserve"> </w:t>
      </w:r>
      <w:r w:rsidRPr="00DD7BD1">
        <w:rPr>
          <w:rFonts w:cs="Calibri"/>
          <w:color w:val="auto"/>
          <w:spacing w:val="-2"/>
          <w:w w:val="110"/>
        </w:rPr>
        <w:t>weeks</w:t>
      </w:r>
      <w:r w:rsidRPr="00DD7BD1">
        <w:rPr>
          <w:rFonts w:cs="Calibri"/>
          <w:color w:val="auto"/>
          <w:spacing w:val="-11"/>
          <w:w w:val="110"/>
        </w:rPr>
        <w:t xml:space="preserve"> </w:t>
      </w:r>
      <w:r w:rsidRPr="00DD7BD1">
        <w:rPr>
          <w:rFonts w:cs="Calibri"/>
          <w:color w:val="auto"/>
          <w:spacing w:val="-2"/>
          <w:w w:val="110"/>
        </w:rPr>
        <w:t>of</w:t>
      </w:r>
      <w:r w:rsidRPr="00DD7BD1">
        <w:rPr>
          <w:rFonts w:cs="Calibri"/>
          <w:color w:val="auto"/>
          <w:spacing w:val="-10"/>
          <w:w w:val="110"/>
        </w:rPr>
        <w:t xml:space="preserve"> </w:t>
      </w:r>
      <w:r w:rsidRPr="00DD7BD1">
        <w:rPr>
          <w:rFonts w:cs="Calibri"/>
          <w:color w:val="auto"/>
          <w:spacing w:val="-2"/>
          <w:w w:val="110"/>
        </w:rPr>
        <w:t>unpaid</w:t>
      </w:r>
      <w:r w:rsidRPr="00DD7BD1">
        <w:rPr>
          <w:rFonts w:cs="Calibri"/>
          <w:color w:val="auto"/>
          <w:spacing w:val="-9"/>
          <w:w w:val="110"/>
        </w:rPr>
        <w:t xml:space="preserve"> </w:t>
      </w:r>
      <w:r w:rsidRPr="00DD7BD1">
        <w:rPr>
          <w:rFonts w:cs="Calibri"/>
          <w:color w:val="auto"/>
          <w:spacing w:val="-2"/>
          <w:w w:val="110"/>
        </w:rPr>
        <w:t>leave</w:t>
      </w:r>
      <w:r w:rsidRPr="00DD7BD1">
        <w:rPr>
          <w:rFonts w:cs="Calibri"/>
          <w:color w:val="auto"/>
          <w:spacing w:val="-13"/>
          <w:w w:val="110"/>
        </w:rPr>
        <w:t xml:space="preserve"> </w:t>
      </w:r>
      <w:r w:rsidRPr="00DD7BD1">
        <w:rPr>
          <w:rFonts w:cs="Calibri"/>
          <w:color w:val="auto"/>
          <w:spacing w:val="-2"/>
          <w:w w:val="110"/>
        </w:rPr>
        <w:t>annually</w:t>
      </w:r>
      <w:r w:rsidRPr="00DD7BD1">
        <w:rPr>
          <w:rFonts w:cs="Calibri"/>
          <w:color w:val="auto"/>
          <w:spacing w:val="-5"/>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 xml:space="preserve">the </w:t>
      </w:r>
      <w:r w:rsidRPr="00DD7BD1">
        <w:rPr>
          <w:rFonts w:cs="Calibri"/>
          <w:color w:val="auto"/>
          <w:w w:val="110"/>
        </w:rPr>
        <w:t>birth,</w:t>
      </w:r>
      <w:r w:rsidRPr="00DD7BD1">
        <w:rPr>
          <w:rFonts w:cs="Calibri"/>
          <w:color w:val="auto"/>
          <w:spacing w:val="-17"/>
          <w:w w:val="110"/>
        </w:rPr>
        <w:t xml:space="preserve"> </w:t>
      </w:r>
      <w:r w:rsidRPr="00DD7BD1">
        <w:rPr>
          <w:rFonts w:cs="Calibri"/>
          <w:color w:val="auto"/>
          <w:w w:val="110"/>
        </w:rPr>
        <w:t>adoption</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7"/>
          <w:w w:val="110"/>
        </w:rPr>
        <w:t xml:space="preserve"> </w:t>
      </w:r>
      <w:r w:rsidRPr="00DD7BD1">
        <w:rPr>
          <w:rFonts w:cs="Calibri"/>
          <w:color w:val="auto"/>
          <w:w w:val="110"/>
        </w:rPr>
        <w:t>foster</w:t>
      </w:r>
      <w:r w:rsidRPr="00DD7BD1">
        <w:rPr>
          <w:rFonts w:cs="Calibri"/>
          <w:color w:val="auto"/>
          <w:spacing w:val="-17"/>
          <w:w w:val="110"/>
        </w:rPr>
        <w:t xml:space="preserve"> </w:t>
      </w:r>
      <w:r w:rsidRPr="00DD7BD1">
        <w:rPr>
          <w:rFonts w:cs="Calibri"/>
          <w:color w:val="auto"/>
          <w:w w:val="110"/>
        </w:rPr>
        <w:t>placement</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a</w:t>
      </w:r>
      <w:r w:rsidRPr="00DD7BD1">
        <w:rPr>
          <w:rFonts w:cs="Calibri"/>
          <w:color w:val="auto"/>
          <w:spacing w:val="-17"/>
          <w:w w:val="110"/>
        </w:rPr>
        <w:t xml:space="preserve"> </w:t>
      </w:r>
      <w:r w:rsidRPr="00DD7BD1">
        <w:rPr>
          <w:rFonts w:cs="Calibri"/>
          <w:color w:val="auto"/>
          <w:w w:val="110"/>
        </w:rPr>
        <w:t>child.</w:t>
      </w:r>
      <w:r w:rsidRPr="00DD7BD1">
        <w:rPr>
          <w:rFonts w:cs="Calibri"/>
          <w:color w:val="auto"/>
          <w:spacing w:val="-17"/>
          <w:w w:val="110"/>
        </w:rPr>
        <w:t xml:space="preserve"> </w:t>
      </w:r>
      <w:r w:rsidRPr="00DD7BD1">
        <w:rPr>
          <w:rFonts w:cs="Calibri"/>
          <w:color w:val="auto"/>
          <w:w w:val="110"/>
        </w:rPr>
        <w:t>Employers</w:t>
      </w:r>
      <w:r w:rsidRPr="00DD7BD1">
        <w:rPr>
          <w:rFonts w:cs="Calibri"/>
          <w:color w:val="auto"/>
          <w:spacing w:val="-17"/>
          <w:w w:val="110"/>
        </w:rPr>
        <w:t xml:space="preserve"> </w:t>
      </w:r>
      <w:r w:rsidRPr="00DD7BD1">
        <w:rPr>
          <w:rFonts w:cs="Calibri"/>
          <w:color w:val="auto"/>
          <w:w w:val="110"/>
        </w:rPr>
        <w:t>must</w:t>
      </w:r>
      <w:r w:rsidRPr="00DD7BD1">
        <w:rPr>
          <w:rFonts w:cs="Calibri"/>
          <w:color w:val="auto"/>
          <w:spacing w:val="-17"/>
          <w:w w:val="110"/>
        </w:rPr>
        <w:t xml:space="preserve"> </w:t>
      </w:r>
      <w:r w:rsidRPr="00DD7BD1">
        <w:rPr>
          <w:rFonts w:cs="Calibri"/>
          <w:color w:val="auto"/>
          <w:w w:val="110"/>
        </w:rPr>
        <w:t>also</w:t>
      </w:r>
      <w:r w:rsidRPr="00DD7BD1">
        <w:rPr>
          <w:rFonts w:cs="Calibri"/>
          <w:color w:val="auto"/>
          <w:spacing w:val="-16"/>
          <w:w w:val="110"/>
        </w:rPr>
        <w:t xml:space="preserve"> </w:t>
      </w:r>
      <w:r w:rsidRPr="00DD7BD1">
        <w:rPr>
          <w:rFonts w:cs="Calibri"/>
          <w:color w:val="auto"/>
          <w:w w:val="110"/>
        </w:rPr>
        <w:t>continue</w:t>
      </w:r>
      <w:r w:rsidRPr="00DD7BD1">
        <w:rPr>
          <w:rFonts w:cs="Calibri"/>
          <w:color w:val="auto"/>
          <w:spacing w:val="-17"/>
          <w:w w:val="110"/>
        </w:rPr>
        <w:t xml:space="preserve"> </w:t>
      </w:r>
      <w:r w:rsidRPr="00DD7BD1">
        <w:rPr>
          <w:rFonts w:cs="Calibri"/>
          <w:color w:val="auto"/>
          <w:w w:val="110"/>
        </w:rPr>
        <w:t>employees’</w:t>
      </w:r>
      <w:r w:rsidRPr="00DD7BD1">
        <w:rPr>
          <w:rFonts w:cs="Calibri"/>
          <w:color w:val="auto"/>
          <w:spacing w:val="-17"/>
          <w:w w:val="110"/>
        </w:rPr>
        <w:t xml:space="preserve"> </w:t>
      </w:r>
      <w:r w:rsidRPr="00DD7BD1">
        <w:rPr>
          <w:rFonts w:cs="Calibri"/>
          <w:color w:val="auto"/>
          <w:w w:val="110"/>
        </w:rPr>
        <w:t>health</w:t>
      </w:r>
      <w:r w:rsidRPr="00DD7BD1">
        <w:rPr>
          <w:rFonts w:cs="Calibri"/>
          <w:color w:val="auto"/>
          <w:spacing w:val="-17"/>
          <w:w w:val="110"/>
        </w:rPr>
        <w:t xml:space="preserve"> </w:t>
      </w:r>
      <w:r w:rsidRPr="00DD7BD1">
        <w:rPr>
          <w:rFonts w:cs="Calibri"/>
          <w:color w:val="auto"/>
          <w:w w:val="110"/>
        </w:rPr>
        <w:t>insurance</w:t>
      </w:r>
      <w:r w:rsidRPr="00DD7BD1">
        <w:rPr>
          <w:rFonts w:cs="Calibri"/>
          <w:color w:val="auto"/>
          <w:spacing w:val="-17"/>
          <w:w w:val="110"/>
        </w:rPr>
        <w:t xml:space="preserve"> </w:t>
      </w:r>
      <w:r w:rsidRPr="00DD7BD1">
        <w:rPr>
          <w:rFonts w:cs="Calibri"/>
          <w:color w:val="auto"/>
          <w:w w:val="110"/>
        </w:rPr>
        <w:t>while</w:t>
      </w:r>
      <w:r w:rsidRPr="00DD7BD1">
        <w:rPr>
          <w:rFonts w:cs="Calibri"/>
          <w:color w:val="auto"/>
          <w:spacing w:val="-16"/>
          <w:w w:val="110"/>
        </w:rPr>
        <w:t xml:space="preserve"> </w:t>
      </w:r>
      <w:r w:rsidRPr="00DD7BD1">
        <w:rPr>
          <w:rFonts w:cs="Calibri"/>
          <w:color w:val="auto"/>
          <w:w w:val="110"/>
        </w:rPr>
        <w:t>they are on leave.</w:t>
      </w:r>
    </w:p>
    <w:p w14:paraId="490A0C07" w14:textId="77777777" w:rsidR="007E0135" w:rsidRPr="00DD7BD1" w:rsidRDefault="007E0135" w:rsidP="003A22A9">
      <w:pPr>
        <w:pStyle w:val="BodyText"/>
        <w:spacing w:after="0" w:line="240" w:lineRule="auto"/>
        <w:ind w:right="360"/>
        <w:rPr>
          <w:rFonts w:cs="Calibri"/>
          <w:color w:val="auto"/>
          <w:sz w:val="16"/>
          <w:szCs w:val="16"/>
        </w:rPr>
      </w:pPr>
    </w:p>
    <w:p w14:paraId="217C3C17" w14:textId="77777777" w:rsidR="007E0135" w:rsidRPr="00DD7BD1" w:rsidRDefault="007E0135" w:rsidP="003A22A9">
      <w:pPr>
        <w:pStyle w:val="BodyText"/>
        <w:spacing w:after="0" w:line="240" w:lineRule="auto"/>
        <w:ind w:right="360"/>
        <w:rPr>
          <w:rFonts w:cs="Calibri"/>
          <w:color w:val="auto"/>
        </w:rPr>
      </w:pPr>
      <w:r w:rsidRPr="00DD7BD1">
        <w:rPr>
          <w:rFonts w:cs="Calibri"/>
          <w:color w:val="auto"/>
          <w:w w:val="110"/>
        </w:rPr>
        <w:t>The FMLA requires employers with 50 or more employees during 20 or more calendar weeks in the current or preceding</w:t>
      </w:r>
      <w:r w:rsidRPr="00DD7BD1">
        <w:rPr>
          <w:rFonts w:cs="Calibri"/>
          <w:color w:val="auto"/>
          <w:spacing w:val="-8"/>
          <w:w w:val="110"/>
        </w:rPr>
        <w:t xml:space="preserve"> </w:t>
      </w:r>
      <w:r w:rsidRPr="00DD7BD1">
        <w:rPr>
          <w:rFonts w:cs="Calibri"/>
          <w:color w:val="auto"/>
          <w:w w:val="110"/>
        </w:rPr>
        <w:t>calendar</w:t>
      </w:r>
      <w:r w:rsidRPr="00DD7BD1">
        <w:rPr>
          <w:rFonts w:cs="Calibri"/>
          <w:color w:val="auto"/>
          <w:spacing w:val="-11"/>
          <w:w w:val="110"/>
        </w:rPr>
        <w:t xml:space="preserve"> </w:t>
      </w:r>
      <w:r w:rsidRPr="00DD7BD1">
        <w:rPr>
          <w:rFonts w:cs="Calibri"/>
          <w:color w:val="auto"/>
          <w:w w:val="110"/>
        </w:rPr>
        <w:t>year</w:t>
      </w:r>
      <w:r w:rsidRPr="00DD7BD1">
        <w:rPr>
          <w:rFonts w:cs="Calibri"/>
          <w:color w:val="auto"/>
          <w:spacing w:val="-11"/>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provide</w:t>
      </w:r>
      <w:r w:rsidRPr="00DD7BD1">
        <w:rPr>
          <w:rFonts w:cs="Calibri"/>
          <w:color w:val="auto"/>
          <w:spacing w:val="-8"/>
          <w:w w:val="110"/>
        </w:rPr>
        <w:t xml:space="preserve"> </w:t>
      </w:r>
      <w:r w:rsidRPr="00DD7BD1">
        <w:rPr>
          <w:rFonts w:cs="Calibri"/>
          <w:color w:val="auto"/>
          <w:w w:val="110"/>
        </w:rPr>
        <w:t>up</w:t>
      </w:r>
      <w:r w:rsidRPr="00DD7BD1">
        <w:rPr>
          <w:rFonts w:cs="Calibri"/>
          <w:color w:val="auto"/>
          <w:spacing w:val="-8"/>
          <w:w w:val="110"/>
        </w:rPr>
        <w:t xml:space="preserve"> </w:t>
      </w:r>
      <w:r w:rsidRPr="00DD7BD1">
        <w:rPr>
          <w:rFonts w:cs="Calibri"/>
          <w:color w:val="auto"/>
          <w:w w:val="110"/>
        </w:rPr>
        <w:t>to</w:t>
      </w:r>
      <w:r w:rsidRPr="00DD7BD1">
        <w:rPr>
          <w:rFonts w:cs="Calibri"/>
          <w:color w:val="auto"/>
          <w:spacing w:val="-10"/>
          <w:w w:val="110"/>
        </w:rPr>
        <w:t xml:space="preserve"> </w:t>
      </w:r>
      <w:r w:rsidRPr="00DD7BD1">
        <w:rPr>
          <w:rFonts w:cs="Calibri"/>
          <w:color w:val="auto"/>
          <w:w w:val="110"/>
        </w:rPr>
        <w:t>12</w:t>
      </w:r>
      <w:r w:rsidRPr="00DD7BD1">
        <w:rPr>
          <w:rFonts w:cs="Calibri"/>
          <w:color w:val="auto"/>
          <w:spacing w:val="-8"/>
          <w:w w:val="110"/>
        </w:rPr>
        <w:t xml:space="preserve"> </w:t>
      </w:r>
      <w:r w:rsidRPr="00DD7BD1">
        <w:rPr>
          <w:rFonts w:cs="Calibri"/>
          <w:color w:val="auto"/>
          <w:w w:val="110"/>
        </w:rPr>
        <w:t>weeks</w:t>
      </w:r>
      <w:r w:rsidRPr="00DD7BD1">
        <w:rPr>
          <w:rFonts w:cs="Calibri"/>
          <w:color w:val="auto"/>
          <w:spacing w:val="-8"/>
          <w:w w:val="110"/>
        </w:rPr>
        <w:t xml:space="preserve"> </w:t>
      </w:r>
      <w:r w:rsidRPr="00DD7BD1">
        <w:rPr>
          <w:rFonts w:cs="Calibri"/>
          <w:color w:val="auto"/>
          <w:w w:val="110"/>
        </w:rPr>
        <w:t>of</w:t>
      </w:r>
      <w:r w:rsidRPr="00DD7BD1">
        <w:rPr>
          <w:rFonts w:cs="Calibri"/>
          <w:color w:val="auto"/>
          <w:spacing w:val="-11"/>
          <w:w w:val="110"/>
        </w:rPr>
        <w:t xml:space="preserve"> </w:t>
      </w:r>
      <w:r w:rsidRPr="00DD7BD1">
        <w:rPr>
          <w:rFonts w:cs="Calibri"/>
          <w:color w:val="auto"/>
          <w:w w:val="110"/>
        </w:rPr>
        <w:t>unpaid</w:t>
      </w:r>
      <w:r w:rsidRPr="00DD7BD1">
        <w:rPr>
          <w:rFonts w:cs="Calibri"/>
          <w:color w:val="auto"/>
          <w:spacing w:val="-8"/>
          <w:w w:val="110"/>
        </w:rPr>
        <w:t xml:space="preserve"> </w:t>
      </w:r>
      <w:r w:rsidRPr="00DD7BD1">
        <w:rPr>
          <w:rFonts w:cs="Calibri"/>
          <w:color w:val="auto"/>
          <w:w w:val="110"/>
        </w:rPr>
        <w:t>leave</w:t>
      </w:r>
      <w:r w:rsidRPr="00DD7BD1">
        <w:rPr>
          <w:rFonts w:cs="Calibri"/>
          <w:color w:val="auto"/>
          <w:spacing w:val="-8"/>
          <w:w w:val="110"/>
        </w:rPr>
        <w:t xml:space="preserve"> </w:t>
      </w:r>
      <w:r w:rsidRPr="00DD7BD1">
        <w:rPr>
          <w:rFonts w:cs="Calibri"/>
          <w:color w:val="auto"/>
          <w:w w:val="110"/>
        </w:rPr>
        <w:t>annually</w:t>
      </w:r>
      <w:r w:rsidRPr="00DD7BD1">
        <w:rPr>
          <w:rFonts w:cs="Calibri"/>
          <w:color w:val="auto"/>
          <w:spacing w:val="-8"/>
          <w:w w:val="110"/>
        </w:rPr>
        <w:t xml:space="preserve"> </w:t>
      </w:r>
      <w:r w:rsidRPr="00DD7BD1">
        <w:rPr>
          <w:rFonts w:cs="Calibri"/>
          <w:color w:val="auto"/>
          <w:w w:val="110"/>
        </w:rPr>
        <w:t>for</w:t>
      </w:r>
      <w:r w:rsidRPr="00DD7BD1">
        <w:rPr>
          <w:rFonts w:cs="Calibri"/>
          <w:color w:val="auto"/>
          <w:spacing w:val="-9"/>
          <w:w w:val="110"/>
        </w:rPr>
        <w:t xml:space="preserve"> </w:t>
      </w:r>
      <w:r w:rsidRPr="00DD7BD1">
        <w:rPr>
          <w:rFonts w:cs="Calibri"/>
          <w:color w:val="auto"/>
          <w:w w:val="110"/>
        </w:rPr>
        <w:t>reasons</w:t>
      </w:r>
      <w:r w:rsidRPr="00DD7BD1">
        <w:rPr>
          <w:rFonts w:cs="Calibri"/>
          <w:color w:val="auto"/>
          <w:spacing w:val="-8"/>
          <w:w w:val="110"/>
        </w:rPr>
        <w:t xml:space="preserve"> </w:t>
      </w:r>
      <w:r w:rsidRPr="00DD7BD1">
        <w:rPr>
          <w:rFonts w:cs="Calibri"/>
          <w:color w:val="auto"/>
          <w:w w:val="110"/>
        </w:rPr>
        <w:t>including</w:t>
      </w:r>
      <w:r w:rsidRPr="00DD7BD1">
        <w:rPr>
          <w:rFonts w:cs="Calibri"/>
          <w:color w:val="auto"/>
          <w:spacing w:val="-8"/>
          <w:w w:val="110"/>
        </w:rPr>
        <w:t xml:space="preserve"> </w:t>
      </w:r>
      <w:r w:rsidRPr="00DD7BD1">
        <w:rPr>
          <w:rFonts w:cs="Calibri"/>
          <w:color w:val="auto"/>
          <w:w w:val="110"/>
        </w:rPr>
        <w:t>those</w:t>
      </w:r>
      <w:r w:rsidRPr="00DD7BD1">
        <w:rPr>
          <w:rFonts w:cs="Calibri"/>
          <w:color w:val="auto"/>
          <w:spacing w:val="-8"/>
          <w:w w:val="110"/>
        </w:rPr>
        <w:t xml:space="preserve"> </w:t>
      </w:r>
      <w:r w:rsidRPr="00DD7BD1">
        <w:rPr>
          <w:rFonts w:cs="Calibri"/>
          <w:color w:val="auto"/>
          <w:w w:val="110"/>
        </w:rPr>
        <w:t>covered</w:t>
      </w:r>
      <w:r w:rsidRPr="00DD7BD1">
        <w:rPr>
          <w:rFonts w:cs="Calibri"/>
          <w:color w:val="auto"/>
          <w:spacing w:val="-8"/>
          <w:w w:val="110"/>
        </w:rPr>
        <w:t xml:space="preserve"> </w:t>
      </w:r>
      <w:r w:rsidRPr="00DD7BD1">
        <w:rPr>
          <w:rFonts w:cs="Calibri"/>
          <w:color w:val="auto"/>
          <w:w w:val="110"/>
        </w:rPr>
        <w:t>by the</w:t>
      </w:r>
      <w:r w:rsidRPr="00DD7BD1">
        <w:rPr>
          <w:rFonts w:cs="Calibri"/>
          <w:color w:val="auto"/>
          <w:spacing w:val="-2"/>
          <w:w w:val="110"/>
        </w:rPr>
        <w:t xml:space="preserve"> </w:t>
      </w:r>
      <w:r w:rsidRPr="00DD7BD1">
        <w:rPr>
          <w:rFonts w:cs="Calibri"/>
          <w:color w:val="auto"/>
          <w:w w:val="110"/>
        </w:rPr>
        <w:t>PLA.</w:t>
      </w:r>
      <w:r w:rsidRPr="00DD7BD1">
        <w:rPr>
          <w:rFonts w:cs="Calibri"/>
          <w:color w:val="auto"/>
          <w:spacing w:val="-5"/>
          <w:w w:val="110"/>
        </w:rPr>
        <w:t xml:space="preserve"> </w:t>
      </w:r>
      <w:r w:rsidRPr="00DD7BD1">
        <w:rPr>
          <w:rFonts w:cs="Calibri"/>
          <w:color w:val="auto"/>
          <w:w w:val="110"/>
        </w:rPr>
        <w:t>Like</w:t>
      </w:r>
      <w:r w:rsidRPr="00DD7BD1">
        <w:rPr>
          <w:rFonts w:cs="Calibri"/>
          <w:color w:val="auto"/>
          <w:spacing w:val="-2"/>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the</w:t>
      </w:r>
      <w:r w:rsidRPr="00DD7BD1">
        <w:rPr>
          <w:rFonts w:cs="Calibri"/>
          <w:color w:val="auto"/>
          <w:spacing w:val="-2"/>
          <w:w w:val="110"/>
        </w:rPr>
        <w:t xml:space="preserve"> </w:t>
      </w:r>
      <w:r w:rsidRPr="00DD7BD1">
        <w:rPr>
          <w:rFonts w:cs="Calibri"/>
          <w:color w:val="auto"/>
          <w:w w:val="110"/>
        </w:rPr>
        <w:t>FMLA</w:t>
      </w:r>
      <w:r w:rsidRPr="00DD7BD1">
        <w:rPr>
          <w:rFonts w:cs="Calibri"/>
          <w:color w:val="auto"/>
          <w:spacing w:val="-2"/>
          <w:w w:val="110"/>
        </w:rPr>
        <w:t xml:space="preserve"> </w:t>
      </w:r>
      <w:r w:rsidRPr="00DD7BD1">
        <w:rPr>
          <w:rFonts w:cs="Calibri"/>
          <w:color w:val="auto"/>
          <w:w w:val="110"/>
        </w:rPr>
        <w:t>also requires</w:t>
      </w:r>
      <w:r w:rsidRPr="00DD7BD1">
        <w:rPr>
          <w:rFonts w:cs="Calibri"/>
          <w:color w:val="auto"/>
          <w:spacing w:val="-2"/>
          <w:w w:val="110"/>
        </w:rPr>
        <w:t xml:space="preserve"> </w:t>
      </w:r>
      <w:r w:rsidRPr="00DD7BD1">
        <w:rPr>
          <w:rFonts w:cs="Calibri"/>
          <w:color w:val="auto"/>
          <w:w w:val="110"/>
        </w:rPr>
        <w:t>employers</w:t>
      </w:r>
      <w:r w:rsidRPr="00DD7BD1">
        <w:rPr>
          <w:rFonts w:cs="Calibri"/>
          <w:color w:val="auto"/>
          <w:spacing w:val="-2"/>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continue</w:t>
      </w:r>
      <w:r w:rsidRPr="00DD7BD1">
        <w:rPr>
          <w:rFonts w:cs="Calibri"/>
          <w:color w:val="auto"/>
          <w:spacing w:val="-4"/>
          <w:w w:val="110"/>
        </w:rPr>
        <w:t xml:space="preserve"> </w:t>
      </w:r>
      <w:r w:rsidRPr="00DD7BD1">
        <w:rPr>
          <w:rFonts w:cs="Calibri"/>
          <w:color w:val="auto"/>
          <w:w w:val="110"/>
        </w:rPr>
        <w:t>health</w:t>
      </w:r>
      <w:r w:rsidRPr="00DD7BD1">
        <w:rPr>
          <w:rFonts w:cs="Calibri"/>
          <w:color w:val="auto"/>
          <w:spacing w:val="-2"/>
          <w:w w:val="110"/>
        </w:rPr>
        <w:t xml:space="preserve"> </w:t>
      </w:r>
      <w:r w:rsidRPr="00DD7BD1">
        <w:rPr>
          <w:rFonts w:cs="Calibri"/>
          <w:color w:val="auto"/>
          <w:w w:val="110"/>
        </w:rPr>
        <w:t>insurance</w:t>
      </w:r>
      <w:r w:rsidRPr="00DD7BD1">
        <w:rPr>
          <w:rFonts w:cs="Calibri"/>
          <w:color w:val="auto"/>
          <w:spacing w:val="-2"/>
          <w:w w:val="110"/>
        </w:rPr>
        <w:t xml:space="preserve"> </w:t>
      </w:r>
      <w:r w:rsidRPr="00DD7BD1">
        <w:rPr>
          <w:rFonts w:cs="Calibri"/>
          <w:color w:val="auto"/>
          <w:w w:val="110"/>
        </w:rPr>
        <w:t>benefits</w:t>
      </w:r>
      <w:r w:rsidRPr="00DD7BD1">
        <w:rPr>
          <w:rFonts w:cs="Calibri"/>
          <w:color w:val="auto"/>
          <w:spacing w:val="-2"/>
          <w:w w:val="110"/>
        </w:rPr>
        <w:t xml:space="preserve"> </w:t>
      </w:r>
      <w:r w:rsidRPr="00DD7BD1">
        <w:rPr>
          <w:rFonts w:cs="Calibri"/>
          <w:color w:val="auto"/>
          <w:w w:val="110"/>
        </w:rPr>
        <w:t>for</w:t>
      </w:r>
      <w:r w:rsidRPr="00DD7BD1">
        <w:rPr>
          <w:rFonts w:cs="Calibri"/>
          <w:color w:val="auto"/>
          <w:spacing w:val="-2"/>
          <w:w w:val="110"/>
        </w:rPr>
        <w:t xml:space="preserve"> </w:t>
      </w:r>
      <w:r w:rsidRPr="00DD7BD1">
        <w:rPr>
          <w:rFonts w:cs="Calibri"/>
          <w:color w:val="auto"/>
          <w:w w:val="110"/>
        </w:rPr>
        <w:t>employees</w:t>
      </w:r>
      <w:r w:rsidRPr="00DD7BD1">
        <w:rPr>
          <w:rFonts w:cs="Calibri"/>
          <w:color w:val="auto"/>
          <w:spacing w:val="-3"/>
          <w:w w:val="110"/>
        </w:rPr>
        <w:t xml:space="preserve"> </w:t>
      </w:r>
      <w:r w:rsidRPr="00DD7BD1">
        <w:rPr>
          <w:rFonts w:cs="Calibri"/>
          <w:color w:val="auto"/>
          <w:w w:val="110"/>
        </w:rPr>
        <w:t xml:space="preserve">on </w:t>
      </w:r>
      <w:r w:rsidRPr="00DD7BD1">
        <w:rPr>
          <w:rFonts w:cs="Calibri"/>
          <w:color w:val="auto"/>
          <w:spacing w:val="-2"/>
          <w:w w:val="110"/>
        </w:rPr>
        <w:t>leave.</w:t>
      </w:r>
    </w:p>
    <w:p w14:paraId="361A0623" w14:textId="77777777" w:rsidR="007E0135" w:rsidRPr="00DD7BD1" w:rsidRDefault="007E0135" w:rsidP="003A22A9">
      <w:pPr>
        <w:pStyle w:val="Heading4"/>
        <w:spacing w:before="0"/>
        <w:ind w:right="360"/>
        <w:rPr>
          <w:rFonts w:ascii="Calibri" w:eastAsia="Times New Roman" w:hAnsi="Calibri" w:cs="Calibri"/>
          <w:b/>
          <w:bCs/>
          <w:i w:val="0"/>
          <w:iCs w:val="0"/>
          <w:color w:val="auto"/>
          <w:sz w:val="16"/>
          <w:szCs w:val="16"/>
        </w:rPr>
      </w:pPr>
    </w:p>
    <w:p w14:paraId="1F6A4701"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SB 785</w:t>
      </w:r>
    </w:p>
    <w:p w14:paraId="4B32C67B" w14:textId="77777777" w:rsidR="007E0135" w:rsidRPr="00DD7BD1" w:rsidRDefault="007E0135" w:rsidP="003A22A9">
      <w:pPr>
        <w:pStyle w:val="BodyText"/>
        <w:spacing w:after="0" w:line="240" w:lineRule="auto"/>
        <w:ind w:right="360"/>
        <w:rPr>
          <w:rFonts w:cs="Calibri"/>
          <w:color w:val="auto"/>
          <w:spacing w:val="-2"/>
          <w:w w:val="115"/>
        </w:rPr>
      </w:pP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bill</w:t>
      </w:r>
      <w:r w:rsidRPr="00DD7BD1">
        <w:rPr>
          <w:rFonts w:cs="Calibri"/>
          <w:color w:val="auto"/>
          <w:spacing w:val="-8"/>
          <w:w w:val="110"/>
        </w:rPr>
        <w:t xml:space="preserve"> </w:t>
      </w:r>
      <w:r w:rsidRPr="00DD7BD1">
        <w:rPr>
          <w:rFonts w:cs="Calibri"/>
          <w:color w:val="auto"/>
          <w:w w:val="110"/>
        </w:rPr>
        <w:t>was</w:t>
      </w:r>
      <w:r w:rsidRPr="00DD7BD1">
        <w:rPr>
          <w:rFonts w:cs="Calibri"/>
          <w:color w:val="auto"/>
          <w:spacing w:val="-6"/>
          <w:w w:val="110"/>
        </w:rPr>
        <w:t xml:space="preserve"> </w:t>
      </w:r>
      <w:r w:rsidRPr="00DD7BD1">
        <w:rPr>
          <w:rFonts w:cs="Calibri"/>
          <w:color w:val="auto"/>
          <w:w w:val="110"/>
        </w:rPr>
        <w:t>introduced</w:t>
      </w:r>
      <w:r w:rsidRPr="00DD7BD1">
        <w:rPr>
          <w:rFonts w:cs="Calibri"/>
          <w:color w:val="auto"/>
          <w:spacing w:val="-9"/>
          <w:w w:val="110"/>
        </w:rPr>
        <w:t xml:space="preserve"> </w:t>
      </w:r>
      <w:r w:rsidRPr="00DD7BD1">
        <w:rPr>
          <w:rFonts w:cs="Calibri"/>
          <w:color w:val="auto"/>
          <w:w w:val="110"/>
        </w:rPr>
        <w:t>as</w:t>
      </w:r>
      <w:r w:rsidRPr="00DD7BD1">
        <w:rPr>
          <w:rFonts w:cs="Calibri"/>
          <w:color w:val="auto"/>
          <w:spacing w:val="-6"/>
          <w:w w:val="110"/>
        </w:rPr>
        <w:t xml:space="preserve"> </w:t>
      </w:r>
      <w:r w:rsidRPr="00DD7BD1">
        <w:rPr>
          <w:rFonts w:cs="Calibri"/>
          <w:color w:val="auto"/>
          <w:w w:val="110"/>
        </w:rPr>
        <w:t>a</w:t>
      </w:r>
      <w:r w:rsidRPr="00DD7BD1">
        <w:rPr>
          <w:rFonts w:cs="Calibri"/>
          <w:color w:val="auto"/>
          <w:spacing w:val="-9"/>
          <w:w w:val="110"/>
        </w:rPr>
        <w:t xml:space="preserve"> </w:t>
      </w:r>
      <w:r w:rsidRPr="00DD7BD1">
        <w:rPr>
          <w:rFonts w:cs="Calibri"/>
          <w:color w:val="auto"/>
          <w:w w:val="110"/>
        </w:rPr>
        <w:t>technical</w:t>
      </w:r>
      <w:r w:rsidRPr="00DD7BD1">
        <w:rPr>
          <w:rFonts w:cs="Calibri"/>
          <w:color w:val="auto"/>
          <w:spacing w:val="-8"/>
          <w:w w:val="110"/>
        </w:rPr>
        <w:t xml:space="preserve"> </w:t>
      </w:r>
      <w:r w:rsidRPr="00DD7BD1">
        <w:rPr>
          <w:rFonts w:cs="Calibri"/>
          <w:color w:val="auto"/>
          <w:w w:val="110"/>
        </w:rPr>
        <w:t>correction</w:t>
      </w:r>
      <w:r w:rsidRPr="00DD7BD1">
        <w:rPr>
          <w:rFonts w:cs="Calibri"/>
          <w:color w:val="auto"/>
          <w:spacing w:val="-6"/>
          <w:w w:val="110"/>
        </w:rPr>
        <w:t xml:space="preserve"> </w:t>
      </w:r>
      <w:r w:rsidRPr="00DD7BD1">
        <w:rPr>
          <w:rFonts w:cs="Calibri"/>
          <w:color w:val="auto"/>
          <w:w w:val="110"/>
        </w:rPr>
        <w:t>to</w:t>
      </w:r>
      <w:r w:rsidRPr="00DD7BD1">
        <w:rPr>
          <w:rFonts w:cs="Calibri"/>
          <w:color w:val="auto"/>
          <w:spacing w:val="-6"/>
          <w:w w:val="110"/>
        </w:rPr>
        <w:t xml:space="preserve"> </w:t>
      </w:r>
      <w:r w:rsidRPr="00DD7BD1">
        <w:rPr>
          <w:rFonts w:cs="Calibri"/>
          <w:color w:val="auto"/>
          <w:w w:val="110"/>
        </w:rPr>
        <w:t>rectify</w:t>
      </w:r>
      <w:r w:rsidRPr="00DD7BD1">
        <w:rPr>
          <w:rFonts w:cs="Calibri"/>
          <w:color w:val="auto"/>
          <w:spacing w:val="-8"/>
          <w:w w:val="110"/>
        </w:rPr>
        <w:t xml:space="preserve"> </w:t>
      </w:r>
      <w:r w:rsidRPr="00DD7BD1">
        <w:rPr>
          <w:rFonts w:cs="Calibri"/>
          <w:color w:val="auto"/>
          <w:w w:val="110"/>
        </w:rPr>
        <w:t>an</w:t>
      </w:r>
      <w:r w:rsidRPr="00DD7BD1">
        <w:rPr>
          <w:rFonts w:cs="Calibri"/>
          <w:color w:val="auto"/>
          <w:spacing w:val="-9"/>
          <w:w w:val="110"/>
        </w:rPr>
        <w:t xml:space="preserve"> </w:t>
      </w:r>
      <w:r w:rsidRPr="00DD7BD1">
        <w:rPr>
          <w:rFonts w:cs="Calibri"/>
          <w:color w:val="auto"/>
          <w:w w:val="110"/>
        </w:rPr>
        <w:t>unintended</w:t>
      </w:r>
      <w:r w:rsidRPr="00DD7BD1">
        <w:rPr>
          <w:rFonts w:cs="Calibri"/>
          <w:color w:val="auto"/>
          <w:spacing w:val="-8"/>
          <w:w w:val="110"/>
        </w:rPr>
        <w:t xml:space="preserve"> </w:t>
      </w:r>
      <w:r w:rsidRPr="00DD7BD1">
        <w:rPr>
          <w:rFonts w:cs="Calibri"/>
          <w:color w:val="auto"/>
          <w:w w:val="110"/>
        </w:rPr>
        <w:t>consequence</w:t>
      </w:r>
      <w:r w:rsidRPr="00DD7BD1">
        <w:rPr>
          <w:rFonts w:cs="Calibri"/>
          <w:color w:val="auto"/>
          <w:spacing w:val="-9"/>
          <w:w w:val="110"/>
        </w:rPr>
        <w:t xml:space="preserve"> </w:t>
      </w:r>
      <w:r w:rsidRPr="00DD7BD1">
        <w:rPr>
          <w:rFonts w:cs="Calibri"/>
          <w:color w:val="auto"/>
          <w:w w:val="110"/>
        </w:rPr>
        <w:t>of</w:t>
      </w:r>
      <w:r w:rsidRPr="00DD7BD1">
        <w:rPr>
          <w:rFonts w:cs="Calibri"/>
          <w:color w:val="auto"/>
          <w:spacing w:val="-7"/>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PLA:</w:t>
      </w:r>
      <w:r w:rsidRPr="00DD7BD1">
        <w:rPr>
          <w:rFonts w:cs="Calibri"/>
          <w:color w:val="auto"/>
          <w:spacing w:val="-10"/>
          <w:w w:val="110"/>
        </w:rPr>
        <w:t xml:space="preserve"> </w:t>
      </w:r>
      <w:r w:rsidRPr="00DD7BD1">
        <w:rPr>
          <w:rFonts w:cs="Calibri"/>
          <w:color w:val="auto"/>
          <w:w w:val="110"/>
        </w:rPr>
        <w:t>that</w:t>
      </w:r>
      <w:r w:rsidRPr="00DD7BD1">
        <w:rPr>
          <w:rFonts w:cs="Calibri"/>
          <w:color w:val="auto"/>
          <w:spacing w:val="-9"/>
          <w:w w:val="110"/>
        </w:rPr>
        <w:t xml:space="preserve"> </w:t>
      </w:r>
      <w:r w:rsidRPr="00DD7BD1">
        <w:rPr>
          <w:rFonts w:cs="Calibri"/>
          <w:color w:val="auto"/>
          <w:w w:val="110"/>
        </w:rPr>
        <w:t>employers could</w:t>
      </w:r>
      <w:r w:rsidRPr="00DD7BD1">
        <w:rPr>
          <w:rFonts w:cs="Calibri"/>
          <w:color w:val="auto"/>
          <w:spacing w:val="-7"/>
          <w:w w:val="110"/>
        </w:rPr>
        <w:t xml:space="preserve"> </w:t>
      </w:r>
      <w:r w:rsidRPr="00DD7BD1">
        <w:rPr>
          <w:rFonts w:cs="Calibri"/>
          <w:color w:val="auto"/>
          <w:w w:val="110"/>
        </w:rPr>
        <w:t>be</w:t>
      </w:r>
      <w:r w:rsidRPr="00DD7BD1">
        <w:rPr>
          <w:rFonts w:cs="Calibri"/>
          <w:color w:val="auto"/>
          <w:spacing w:val="-6"/>
          <w:w w:val="110"/>
        </w:rPr>
        <w:t xml:space="preserve"> </w:t>
      </w:r>
      <w:r w:rsidRPr="00DD7BD1">
        <w:rPr>
          <w:rFonts w:cs="Calibri"/>
          <w:color w:val="auto"/>
          <w:w w:val="110"/>
        </w:rPr>
        <w:t>subject</w:t>
      </w:r>
      <w:r w:rsidRPr="00DD7BD1">
        <w:rPr>
          <w:rFonts w:cs="Calibri"/>
          <w:color w:val="auto"/>
          <w:spacing w:val="-3"/>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both</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3"/>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FMLA</w:t>
      </w:r>
      <w:r w:rsidRPr="00DD7BD1">
        <w:rPr>
          <w:rFonts w:cs="Calibri"/>
          <w:color w:val="auto"/>
          <w:spacing w:val="-7"/>
          <w:w w:val="110"/>
        </w:rPr>
        <w:t xml:space="preserve"> </w:t>
      </w:r>
      <w:r w:rsidRPr="00DD7BD1">
        <w:rPr>
          <w:rFonts w:cs="Calibri"/>
          <w:color w:val="auto"/>
          <w:w w:val="110"/>
        </w:rPr>
        <w:t>simultaneously</w:t>
      </w:r>
      <w:r w:rsidRPr="00DD7BD1">
        <w:rPr>
          <w:rFonts w:cs="Calibri"/>
          <w:color w:val="auto"/>
          <w:spacing w:val="-2"/>
          <w:w w:val="110"/>
        </w:rPr>
        <w:t xml:space="preserve"> </w:t>
      </w:r>
      <w:r w:rsidRPr="00DD7BD1">
        <w:rPr>
          <w:rFonts w:cs="Calibri"/>
          <w:color w:val="auto"/>
          <w:w w:val="110"/>
        </w:rPr>
        <w:t>in</w:t>
      </w:r>
      <w:r w:rsidRPr="00DD7BD1">
        <w:rPr>
          <w:rFonts w:cs="Calibri"/>
          <w:color w:val="auto"/>
          <w:spacing w:val="-3"/>
          <w:w w:val="110"/>
        </w:rPr>
        <w:t xml:space="preserve"> </w:t>
      </w:r>
      <w:r w:rsidRPr="00DD7BD1">
        <w:rPr>
          <w:rFonts w:cs="Calibri"/>
          <w:color w:val="auto"/>
          <w:w w:val="110"/>
        </w:rPr>
        <w:t>a</w:t>
      </w:r>
      <w:r w:rsidRPr="00DD7BD1">
        <w:rPr>
          <w:rFonts w:cs="Calibri"/>
          <w:color w:val="auto"/>
          <w:spacing w:val="-5"/>
          <w:w w:val="110"/>
        </w:rPr>
        <w:t xml:space="preserve"> </w:t>
      </w:r>
      <w:r w:rsidRPr="00DD7BD1">
        <w:rPr>
          <w:rFonts w:cs="Calibri"/>
          <w:color w:val="auto"/>
          <w:w w:val="110"/>
        </w:rPr>
        <w:t>calendar</w:t>
      </w:r>
      <w:r w:rsidRPr="00DD7BD1">
        <w:rPr>
          <w:rFonts w:cs="Calibri"/>
          <w:color w:val="auto"/>
          <w:spacing w:val="-5"/>
          <w:w w:val="110"/>
        </w:rPr>
        <w:t xml:space="preserve"> </w:t>
      </w:r>
      <w:r w:rsidRPr="00DD7BD1">
        <w:rPr>
          <w:rFonts w:cs="Calibri"/>
          <w:color w:val="auto"/>
          <w:w w:val="110"/>
        </w:rPr>
        <w:t>year</w:t>
      </w:r>
      <w:r w:rsidRPr="00DD7BD1">
        <w:rPr>
          <w:rFonts w:cs="Calibri"/>
          <w:color w:val="auto"/>
          <w:spacing w:val="-3"/>
          <w:w w:val="110"/>
        </w:rPr>
        <w:t xml:space="preserve"> </w:t>
      </w:r>
      <w:r w:rsidRPr="00DD7BD1">
        <w:rPr>
          <w:rFonts w:cs="Calibri"/>
          <w:color w:val="auto"/>
          <w:w w:val="110"/>
        </w:rPr>
        <w:t>during</w:t>
      </w:r>
      <w:r w:rsidRPr="00DD7BD1">
        <w:rPr>
          <w:rFonts w:cs="Calibri"/>
          <w:color w:val="auto"/>
          <w:spacing w:val="-2"/>
          <w:w w:val="110"/>
        </w:rPr>
        <w:t xml:space="preserve"> </w:t>
      </w:r>
      <w:r w:rsidRPr="00DD7BD1">
        <w:rPr>
          <w:rFonts w:cs="Calibri"/>
          <w:color w:val="auto"/>
          <w:w w:val="110"/>
        </w:rPr>
        <w:t>which</w:t>
      </w:r>
      <w:r w:rsidRPr="00DD7BD1">
        <w:rPr>
          <w:rFonts w:cs="Calibri"/>
          <w:color w:val="auto"/>
          <w:spacing w:val="-3"/>
          <w:w w:val="110"/>
        </w:rPr>
        <w:t xml:space="preserve"> </w:t>
      </w:r>
      <w:r w:rsidRPr="00DD7BD1">
        <w:rPr>
          <w:rFonts w:cs="Calibri"/>
          <w:color w:val="auto"/>
          <w:w w:val="110"/>
        </w:rPr>
        <w:t>they</w:t>
      </w:r>
      <w:r w:rsidRPr="00DD7BD1">
        <w:rPr>
          <w:rFonts w:cs="Calibri"/>
          <w:color w:val="auto"/>
          <w:spacing w:val="-2"/>
          <w:w w:val="110"/>
        </w:rPr>
        <w:t xml:space="preserve"> </w:t>
      </w:r>
      <w:r w:rsidRPr="00DD7BD1">
        <w:rPr>
          <w:rFonts w:cs="Calibri"/>
          <w:color w:val="auto"/>
          <w:w w:val="110"/>
        </w:rPr>
        <w:t>reach</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6"/>
          <w:w w:val="110"/>
        </w:rPr>
        <w:t xml:space="preserve"> </w:t>
      </w:r>
      <w:r w:rsidRPr="00DD7BD1">
        <w:rPr>
          <w:rFonts w:cs="Calibri"/>
          <w:color w:val="auto"/>
          <w:w w:val="110"/>
        </w:rPr>
        <w:t>50- employee</w:t>
      </w:r>
      <w:r w:rsidRPr="00DD7BD1">
        <w:rPr>
          <w:rFonts w:cs="Calibri"/>
          <w:color w:val="auto"/>
          <w:spacing w:val="-12"/>
          <w:w w:val="110"/>
        </w:rPr>
        <w:t xml:space="preserve"> </w:t>
      </w:r>
      <w:r w:rsidRPr="00DD7BD1">
        <w:rPr>
          <w:rFonts w:cs="Calibri"/>
          <w:color w:val="auto"/>
          <w:w w:val="110"/>
        </w:rPr>
        <w:t>FMLA</w:t>
      </w:r>
      <w:r w:rsidRPr="00DD7BD1">
        <w:rPr>
          <w:rFonts w:cs="Calibri"/>
          <w:color w:val="auto"/>
          <w:spacing w:val="-13"/>
          <w:w w:val="110"/>
        </w:rPr>
        <w:t xml:space="preserve"> </w:t>
      </w:r>
      <w:r w:rsidRPr="00DD7BD1">
        <w:rPr>
          <w:rFonts w:cs="Calibri"/>
          <w:color w:val="auto"/>
          <w:w w:val="110"/>
        </w:rPr>
        <w:t>threshold,</w:t>
      </w:r>
      <w:r w:rsidRPr="00DD7BD1">
        <w:rPr>
          <w:rFonts w:cs="Calibri"/>
          <w:color w:val="auto"/>
          <w:spacing w:val="-11"/>
          <w:w w:val="110"/>
        </w:rPr>
        <w:t xml:space="preserve"> </w:t>
      </w:r>
      <w:r w:rsidRPr="00DD7BD1">
        <w:rPr>
          <w:rFonts w:cs="Calibri"/>
          <w:color w:val="auto"/>
          <w:w w:val="110"/>
        </w:rPr>
        <w:t>because</w:t>
      </w:r>
      <w:r w:rsidRPr="00DD7BD1">
        <w:rPr>
          <w:rFonts w:cs="Calibri"/>
          <w:color w:val="auto"/>
          <w:spacing w:val="-13"/>
          <w:w w:val="110"/>
        </w:rPr>
        <w:t xml:space="preserve"> </w:t>
      </w:r>
      <w:r w:rsidRPr="00DD7BD1">
        <w:rPr>
          <w:rFonts w:cs="Calibri"/>
          <w:color w:val="auto"/>
          <w:w w:val="110"/>
        </w:rPr>
        <w:t>they</w:t>
      </w:r>
      <w:r w:rsidRPr="00DD7BD1">
        <w:rPr>
          <w:rFonts w:cs="Calibri"/>
          <w:color w:val="auto"/>
          <w:spacing w:val="-10"/>
          <w:w w:val="110"/>
        </w:rPr>
        <w:t xml:space="preserve"> </w:t>
      </w:r>
      <w:r w:rsidRPr="00DD7BD1">
        <w:rPr>
          <w:rFonts w:cs="Calibri"/>
          <w:color w:val="auto"/>
          <w:w w:val="110"/>
        </w:rPr>
        <w:t>could</w:t>
      </w:r>
      <w:r w:rsidRPr="00DD7BD1">
        <w:rPr>
          <w:rFonts w:cs="Calibri"/>
          <w:color w:val="auto"/>
          <w:spacing w:val="-16"/>
          <w:w w:val="110"/>
        </w:rPr>
        <w:t xml:space="preserve"> </w:t>
      </w:r>
      <w:r w:rsidRPr="00DD7BD1">
        <w:rPr>
          <w:rFonts w:cs="Calibri"/>
          <w:color w:val="auto"/>
          <w:w w:val="110"/>
        </w:rPr>
        <w:t>have</w:t>
      </w:r>
      <w:r w:rsidRPr="00DD7BD1">
        <w:rPr>
          <w:rFonts w:cs="Calibri"/>
          <w:color w:val="auto"/>
          <w:spacing w:val="-13"/>
          <w:w w:val="110"/>
        </w:rPr>
        <w:t xml:space="preserve"> </w:t>
      </w:r>
      <w:r w:rsidRPr="00DD7BD1">
        <w:rPr>
          <w:rFonts w:cs="Calibri"/>
          <w:color w:val="auto"/>
          <w:w w:val="110"/>
        </w:rPr>
        <w:t>employed</w:t>
      </w:r>
      <w:r w:rsidRPr="00DD7BD1">
        <w:rPr>
          <w:rFonts w:cs="Calibri"/>
          <w:color w:val="auto"/>
          <w:spacing w:val="-12"/>
          <w:w w:val="110"/>
        </w:rPr>
        <w:t xml:space="preserve"> </w:t>
      </w:r>
      <w:r w:rsidRPr="00DD7BD1">
        <w:rPr>
          <w:rFonts w:cs="Calibri"/>
          <w:color w:val="auto"/>
          <w:w w:val="110"/>
        </w:rPr>
        <w:t>15-49</w:t>
      </w:r>
      <w:r w:rsidRPr="00DD7BD1">
        <w:rPr>
          <w:rFonts w:cs="Calibri"/>
          <w:color w:val="auto"/>
          <w:spacing w:val="-13"/>
          <w:w w:val="110"/>
        </w:rPr>
        <w:t xml:space="preserve"> </w:t>
      </w:r>
      <w:r w:rsidRPr="00DD7BD1">
        <w:rPr>
          <w:rFonts w:cs="Calibri"/>
          <w:color w:val="auto"/>
          <w:w w:val="110"/>
        </w:rPr>
        <w:t>employees</w:t>
      </w:r>
      <w:r w:rsidRPr="00DD7BD1">
        <w:rPr>
          <w:rFonts w:cs="Calibri"/>
          <w:color w:val="auto"/>
          <w:spacing w:val="-12"/>
          <w:w w:val="110"/>
        </w:rPr>
        <w:t xml:space="preserve"> </w:t>
      </w:r>
      <w:r w:rsidRPr="00DD7BD1">
        <w:rPr>
          <w:rFonts w:cs="Calibri"/>
          <w:color w:val="auto"/>
          <w:w w:val="110"/>
        </w:rPr>
        <w:t>for</w:t>
      </w:r>
      <w:r w:rsidRPr="00DD7BD1">
        <w:rPr>
          <w:rFonts w:cs="Calibri"/>
          <w:color w:val="auto"/>
          <w:spacing w:val="-14"/>
          <w:w w:val="110"/>
        </w:rPr>
        <w:t xml:space="preserve"> </w:t>
      </w:r>
      <w:r w:rsidRPr="00DD7BD1">
        <w:rPr>
          <w:rFonts w:cs="Calibri"/>
          <w:color w:val="auto"/>
          <w:w w:val="110"/>
        </w:rPr>
        <w:t>at</w:t>
      </w:r>
      <w:r w:rsidRPr="00DD7BD1">
        <w:rPr>
          <w:rFonts w:cs="Calibri"/>
          <w:color w:val="auto"/>
          <w:spacing w:val="-13"/>
          <w:w w:val="110"/>
        </w:rPr>
        <w:t xml:space="preserve"> </w:t>
      </w:r>
      <w:r w:rsidRPr="00DD7BD1">
        <w:rPr>
          <w:rFonts w:cs="Calibri"/>
          <w:color w:val="auto"/>
          <w:w w:val="110"/>
        </w:rPr>
        <w:t>least</w:t>
      </w:r>
      <w:r w:rsidRPr="00DD7BD1">
        <w:rPr>
          <w:rFonts w:cs="Calibri"/>
          <w:color w:val="auto"/>
          <w:spacing w:val="-13"/>
          <w:w w:val="110"/>
        </w:rPr>
        <w:t xml:space="preserve"> </w:t>
      </w:r>
      <w:r w:rsidRPr="00DD7BD1">
        <w:rPr>
          <w:rFonts w:cs="Calibri"/>
          <w:color w:val="auto"/>
          <w:w w:val="110"/>
        </w:rPr>
        <w:t>20</w:t>
      </w:r>
      <w:r w:rsidRPr="00DD7BD1">
        <w:rPr>
          <w:rFonts w:cs="Calibri"/>
          <w:color w:val="auto"/>
          <w:spacing w:val="-13"/>
          <w:w w:val="110"/>
        </w:rPr>
        <w:t xml:space="preserve"> </w:t>
      </w:r>
      <w:r w:rsidRPr="00DD7BD1">
        <w:rPr>
          <w:rFonts w:cs="Calibri"/>
          <w:color w:val="auto"/>
          <w:w w:val="110"/>
        </w:rPr>
        <w:t>weeks</w:t>
      </w:r>
      <w:r w:rsidRPr="00DD7BD1">
        <w:rPr>
          <w:rFonts w:cs="Calibri"/>
          <w:color w:val="auto"/>
          <w:spacing w:val="-12"/>
          <w:w w:val="110"/>
        </w:rPr>
        <w:t xml:space="preserve"> </w:t>
      </w:r>
      <w:r w:rsidRPr="00DD7BD1">
        <w:rPr>
          <w:rFonts w:cs="Calibri"/>
          <w:color w:val="auto"/>
          <w:w w:val="110"/>
        </w:rPr>
        <w:t>in</w:t>
      </w:r>
      <w:r w:rsidRPr="00DD7BD1">
        <w:rPr>
          <w:rFonts w:cs="Calibri"/>
          <w:color w:val="auto"/>
          <w:spacing w:val="-13"/>
          <w:w w:val="110"/>
        </w:rPr>
        <w:t xml:space="preserve"> </w:t>
      </w:r>
      <w:r w:rsidRPr="00DD7BD1">
        <w:rPr>
          <w:rFonts w:cs="Calibri"/>
          <w:color w:val="auto"/>
          <w:w w:val="110"/>
        </w:rPr>
        <w:t>that</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1"/>
          <w:w w:val="110"/>
        </w:rPr>
        <w:t xml:space="preserve"> </w:t>
      </w:r>
      <w:r w:rsidRPr="00DD7BD1">
        <w:rPr>
          <w:rFonts w:cs="Calibri"/>
          <w:color w:val="auto"/>
          <w:w w:val="110"/>
        </w:rPr>
        <w:t xml:space="preserve">the </w:t>
      </w:r>
      <w:r w:rsidRPr="00DD7BD1">
        <w:rPr>
          <w:rFonts w:cs="Calibri"/>
          <w:color w:val="auto"/>
        </w:rPr>
        <w:t xml:space="preserve">preceding year. Under the PLA as currently worded, the employer might, therefore, be required to provide leave to an </w:t>
      </w:r>
      <w:r w:rsidRPr="00DD7BD1">
        <w:rPr>
          <w:rFonts w:cs="Calibri"/>
          <w:color w:val="auto"/>
          <w:spacing w:val="-2"/>
          <w:w w:val="115"/>
        </w:rPr>
        <w:t>employee</w:t>
      </w:r>
      <w:r w:rsidRPr="00DD7BD1">
        <w:rPr>
          <w:rFonts w:cs="Calibri"/>
          <w:color w:val="auto"/>
          <w:spacing w:val="-14"/>
          <w:w w:val="115"/>
        </w:rPr>
        <w:t xml:space="preserve"> </w:t>
      </w:r>
      <w:r w:rsidRPr="00DD7BD1">
        <w:rPr>
          <w:rFonts w:cs="Calibri"/>
          <w:color w:val="auto"/>
          <w:spacing w:val="-2"/>
          <w:w w:val="115"/>
        </w:rPr>
        <w:t>under</w:t>
      </w:r>
      <w:r w:rsidRPr="00DD7BD1">
        <w:rPr>
          <w:rFonts w:cs="Calibri"/>
          <w:color w:val="auto"/>
          <w:spacing w:val="-15"/>
          <w:w w:val="115"/>
        </w:rPr>
        <w:t xml:space="preserve"> </w:t>
      </w:r>
      <w:r w:rsidRPr="00DD7BD1">
        <w:rPr>
          <w:rFonts w:cs="Calibri"/>
          <w:color w:val="auto"/>
          <w:spacing w:val="-2"/>
          <w:w w:val="115"/>
        </w:rPr>
        <w:t>both</w:t>
      </w:r>
      <w:r w:rsidRPr="00DD7BD1">
        <w:rPr>
          <w:rFonts w:cs="Calibri"/>
          <w:color w:val="auto"/>
          <w:spacing w:val="-12"/>
          <w:w w:val="115"/>
        </w:rPr>
        <w:t xml:space="preserve"> </w:t>
      </w:r>
      <w:r w:rsidRPr="00DD7BD1">
        <w:rPr>
          <w:rFonts w:cs="Calibri"/>
          <w:color w:val="auto"/>
          <w:spacing w:val="-2"/>
          <w:w w:val="115"/>
        </w:rPr>
        <w:t>that</w:t>
      </w:r>
      <w:r w:rsidRPr="00DD7BD1">
        <w:rPr>
          <w:rFonts w:cs="Calibri"/>
          <w:color w:val="auto"/>
          <w:spacing w:val="-13"/>
          <w:w w:val="115"/>
        </w:rPr>
        <w:t xml:space="preserve"> </w:t>
      </w:r>
      <w:r w:rsidRPr="00DD7BD1">
        <w:rPr>
          <w:rFonts w:cs="Calibri"/>
          <w:color w:val="auto"/>
          <w:spacing w:val="-2"/>
          <w:w w:val="115"/>
        </w:rPr>
        <w:t>law</w:t>
      </w:r>
      <w:r w:rsidRPr="00DD7BD1">
        <w:rPr>
          <w:rFonts w:cs="Calibri"/>
          <w:color w:val="auto"/>
          <w:spacing w:val="-13"/>
          <w:w w:val="115"/>
        </w:rPr>
        <w:t xml:space="preserve"> </w:t>
      </w:r>
      <w:r w:rsidRPr="00DD7BD1">
        <w:rPr>
          <w:rFonts w:cs="Calibri"/>
          <w:color w:val="auto"/>
          <w:spacing w:val="-2"/>
          <w:w w:val="115"/>
        </w:rPr>
        <w:t>and</w:t>
      </w:r>
      <w:r w:rsidRPr="00DD7BD1">
        <w:rPr>
          <w:rFonts w:cs="Calibri"/>
          <w:color w:val="auto"/>
          <w:spacing w:val="-14"/>
          <w:w w:val="115"/>
        </w:rPr>
        <w:t xml:space="preserve"> </w:t>
      </w:r>
      <w:r w:rsidRPr="00DD7BD1">
        <w:rPr>
          <w:rFonts w:cs="Calibri"/>
          <w:color w:val="auto"/>
          <w:spacing w:val="-2"/>
          <w:w w:val="115"/>
        </w:rPr>
        <w:t>the</w:t>
      </w:r>
      <w:r w:rsidRPr="00DD7BD1">
        <w:rPr>
          <w:rFonts w:cs="Calibri"/>
          <w:color w:val="auto"/>
          <w:spacing w:val="-15"/>
          <w:w w:val="115"/>
        </w:rPr>
        <w:t xml:space="preserve"> </w:t>
      </w:r>
      <w:r w:rsidRPr="00DD7BD1">
        <w:rPr>
          <w:rFonts w:cs="Calibri"/>
          <w:color w:val="auto"/>
          <w:spacing w:val="-2"/>
          <w:w w:val="115"/>
        </w:rPr>
        <w:t>FMLA.</w:t>
      </w:r>
    </w:p>
    <w:p w14:paraId="75F543B5" w14:textId="77777777" w:rsidR="007E0135" w:rsidRPr="00DD7BD1" w:rsidRDefault="007E0135" w:rsidP="003A22A9">
      <w:pPr>
        <w:pStyle w:val="BodyText"/>
        <w:spacing w:after="0" w:line="240" w:lineRule="auto"/>
        <w:ind w:right="360"/>
        <w:rPr>
          <w:rFonts w:cs="Calibri"/>
          <w:color w:val="auto"/>
          <w:sz w:val="16"/>
          <w:szCs w:val="16"/>
        </w:rPr>
      </w:pPr>
    </w:p>
    <w:p w14:paraId="5D336D9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rPr>
        <w:t>To</w:t>
      </w:r>
      <w:r w:rsidRPr="00DD7BD1">
        <w:rPr>
          <w:rFonts w:cs="Calibri"/>
          <w:color w:val="auto"/>
          <w:spacing w:val="22"/>
        </w:rPr>
        <w:t xml:space="preserve"> </w:t>
      </w:r>
      <w:r w:rsidRPr="00DD7BD1">
        <w:rPr>
          <w:rFonts w:cs="Calibri"/>
          <w:color w:val="auto"/>
        </w:rPr>
        <w:t>avoid</w:t>
      </w:r>
      <w:r w:rsidRPr="00DD7BD1">
        <w:rPr>
          <w:rFonts w:cs="Calibri"/>
          <w:color w:val="auto"/>
          <w:spacing w:val="24"/>
        </w:rPr>
        <w:t xml:space="preserve"> </w:t>
      </w:r>
      <w:r w:rsidRPr="00DD7BD1">
        <w:rPr>
          <w:rFonts w:cs="Calibri"/>
          <w:color w:val="auto"/>
        </w:rPr>
        <w:t>this</w:t>
      </w:r>
      <w:r w:rsidRPr="00DD7BD1">
        <w:rPr>
          <w:rFonts w:cs="Calibri"/>
          <w:color w:val="auto"/>
          <w:spacing w:val="22"/>
        </w:rPr>
        <w:t xml:space="preserve"> </w:t>
      </w:r>
      <w:r w:rsidRPr="00DD7BD1">
        <w:rPr>
          <w:rFonts w:cs="Calibri"/>
          <w:color w:val="auto"/>
        </w:rPr>
        <w:t>result,</w:t>
      </w:r>
      <w:r w:rsidRPr="00DD7BD1">
        <w:rPr>
          <w:rFonts w:cs="Calibri"/>
          <w:color w:val="auto"/>
          <w:spacing w:val="18"/>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bill</w:t>
      </w:r>
      <w:r w:rsidRPr="00DD7BD1">
        <w:rPr>
          <w:rFonts w:cs="Calibri"/>
          <w:color w:val="auto"/>
          <w:spacing w:val="22"/>
        </w:rPr>
        <w:t xml:space="preserve"> </w:t>
      </w:r>
      <w:r w:rsidRPr="00DD7BD1">
        <w:rPr>
          <w:rFonts w:cs="Calibri"/>
          <w:color w:val="auto"/>
        </w:rPr>
        <w:t>amends</w:t>
      </w:r>
      <w:r w:rsidRPr="00DD7BD1">
        <w:rPr>
          <w:rFonts w:cs="Calibri"/>
          <w:color w:val="auto"/>
          <w:spacing w:val="22"/>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definition</w:t>
      </w:r>
      <w:r w:rsidRPr="00DD7BD1">
        <w:rPr>
          <w:rFonts w:cs="Calibri"/>
          <w:color w:val="auto"/>
          <w:spacing w:val="20"/>
        </w:rPr>
        <w:t xml:space="preserve"> </w:t>
      </w:r>
      <w:r w:rsidRPr="00DD7BD1">
        <w:rPr>
          <w:rFonts w:cs="Calibri"/>
          <w:color w:val="auto"/>
        </w:rPr>
        <w:t>of</w:t>
      </w:r>
      <w:r w:rsidRPr="00DD7BD1">
        <w:rPr>
          <w:rFonts w:cs="Calibri"/>
          <w:color w:val="auto"/>
          <w:spacing w:val="24"/>
        </w:rPr>
        <w:t xml:space="preserve"> </w:t>
      </w:r>
      <w:r w:rsidRPr="00DD7BD1">
        <w:rPr>
          <w:rFonts w:cs="Calibri"/>
          <w:color w:val="auto"/>
        </w:rPr>
        <w:t>“employer”</w:t>
      </w:r>
      <w:r w:rsidRPr="00DD7BD1">
        <w:rPr>
          <w:rFonts w:cs="Calibri"/>
          <w:color w:val="auto"/>
          <w:spacing w:val="20"/>
        </w:rPr>
        <w:t xml:space="preserve"> </w:t>
      </w:r>
      <w:r w:rsidRPr="00DD7BD1">
        <w:rPr>
          <w:rFonts w:cs="Calibri"/>
          <w:color w:val="auto"/>
        </w:rPr>
        <w:t>under</w:t>
      </w:r>
      <w:r w:rsidRPr="00DD7BD1">
        <w:rPr>
          <w:rFonts w:cs="Calibri"/>
          <w:color w:val="auto"/>
          <w:spacing w:val="18"/>
        </w:rPr>
        <w:t xml:space="preserve"> </w:t>
      </w:r>
      <w:r w:rsidRPr="00DD7BD1">
        <w:rPr>
          <w:rFonts w:cs="Calibri"/>
          <w:color w:val="auto"/>
        </w:rPr>
        <w:t>the</w:t>
      </w:r>
      <w:r w:rsidRPr="00DD7BD1">
        <w:rPr>
          <w:rFonts w:cs="Calibri"/>
          <w:color w:val="auto"/>
          <w:spacing w:val="24"/>
        </w:rPr>
        <w:t xml:space="preserve"> </w:t>
      </w:r>
      <w:r w:rsidRPr="00DD7BD1">
        <w:rPr>
          <w:rFonts w:cs="Calibri"/>
          <w:color w:val="auto"/>
        </w:rPr>
        <w:t>PLA</w:t>
      </w:r>
      <w:r w:rsidRPr="00DD7BD1">
        <w:rPr>
          <w:rFonts w:cs="Calibri"/>
          <w:color w:val="auto"/>
          <w:spacing w:val="24"/>
        </w:rPr>
        <w:t xml:space="preserve"> </w:t>
      </w:r>
      <w:r w:rsidRPr="00DD7BD1">
        <w:rPr>
          <w:rFonts w:cs="Calibri"/>
          <w:color w:val="auto"/>
        </w:rPr>
        <w:t>to</w:t>
      </w:r>
      <w:r w:rsidRPr="00DD7BD1">
        <w:rPr>
          <w:rFonts w:cs="Calibri"/>
          <w:color w:val="auto"/>
          <w:spacing w:val="20"/>
        </w:rPr>
        <w:t xml:space="preserve"> </w:t>
      </w:r>
      <w:r w:rsidRPr="00DD7BD1">
        <w:rPr>
          <w:rFonts w:cs="Calibri"/>
          <w:color w:val="auto"/>
        </w:rPr>
        <w:t>exclude</w:t>
      </w:r>
      <w:r w:rsidRPr="00DD7BD1">
        <w:rPr>
          <w:rFonts w:cs="Calibri"/>
          <w:color w:val="auto"/>
          <w:spacing w:val="20"/>
        </w:rPr>
        <w:t xml:space="preserve"> </w:t>
      </w:r>
      <w:r w:rsidRPr="00DD7BD1">
        <w:rPr>
          <w:rFonts w:cs="Calibri"/>
          <w:color w:val="auto"/>
        </w:rPr>
        <w:t>employers</w:t>
      </w:r>
      <w:r w:rsidRPr="00DD7BD1">
        <w:rPr>
          <w:rFonts w:cs="Calibri"/>
          <w:color w:val="auto"/>
          <w:spacing w:val="26"/>
        </w:rPr>
        <w:t xml:space="preserve"> </w:t>
      </w:r>
      <w:r w:rsidRPr="00DD7BD1">
        <w:rPr>
          <w:rFonts w:cs="Calibri"/>
          <w:color w:val="auto"/>
        </w:rPr>
        <w:t>who</w:t>
      </w:r>
      <w:r w:rsidRPr="00DD7BD1">
        <w:rPr>
          <w:rFonts w:cs="Calibri"/>
          <w:color w:val="auto"/>
          <w:spacing w:val="20"/>
        </w:rPr>
        <w:t xml:space="preserve"> </w:t>
      </w:r>
      <w:r w:rsidRPr="00DD7BD1">
        <w:rPr>
          <w:rFonts w:cs="Calibri"/>
          <w:color w:val="auto"/>
        </w:rPr>
        <w:t>are</w:t>
      </w:r>
      <w:r w:rsidRPr="00DD7BD1">
        <w:rPr>
          <w:rFonts w:cs="Calibri"/>
          <w:color w:val="auto"/>
          <w:spacing w:val="18"/>
        </w:rPr>
        <w:t xml:space="preserve"> </w:t>
      </w:r>
      <w:r w:rsidRPr="00DD7BD1">
        <w:rPr>
          <w:rFonts w:cs="Calibri"/>
          <w:color w:val="auto"/>
        </w:rPr>
        <w:t xml:space="preserve">covered </w:t>
      </w:r>
      <w:r w:rsidRPr="00DD7BD1">
        <w:rPr>
          <w:rFonts w:cs="Calibri"/>
          <w:color w:val="auto"/>
          <w:spacing w:val="-2"/>
          <w:w w:val="110"/>
        </w:rPr>
        <w:t>by</w:t>
      </w:r>
      <w:r w:rsidRPr="00DD7BD1">
        <w:rPr>
          <w:rFonts w:cs="Calibri"/>
          <w:color w:val="auto"/>
          <w:spacing w:val="-7"/>
          <w:w w:val="110"/>
        </w:rPr>
        <w:t xml:space="preserve"> </w:t>
      </w:r>
      <w:r w:rsidRPr="00DD7BD1">
        <w:rPr>
          <w:rFonts w:cs="Calibri"/>
          <w:color w:val="auto"/>
          <w:spacing w:val="-2"/>
          <w:w w:val="110"/>
        </w:rPr>
        <w:t>the</w:t>
      </w:r>
      <w:r w:rsidRPr="00DD7BD1">
        <w:rPr>
          <w:rFonts w:cs="Calibri"/>
          <w:color w:val="auto"/>
          <w:spacing w:val="-11"/>
          <w:w w:val="110"/>
        </w:rPr>
        <w:t xml:space="preserve"> </w:t>
      </w:r>
      <w:r w:rsidRPr="00DD7BD1">
        <w:rPr>
          <w:rFonts w:cs="Calibri"/>
          <w:color w:val="auto"/>
          <w:spacing w:val="-2"/>
          <w:w w:val="110"/>
        </w:rPr>
        <w:t>FMLA</w:t>
      </w:r>
      <w:r w:rsidRPr="00DD7BD1">
        <w:rPr>
          <w:rFonts w:cs="Calibri"/>
          <w:color w:val="auto"/>
          <w:spacing w:val="-8"/>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8"/>
          <w:w w:val="110"/>
        </w:rPr>
        <w:t xml:space="preserve"> </w:t>
      </w:r>
      <w:r w:rsidRPr="00DD7BD1">
        <w:rPr>
          <w:rFonts w:cs="Calibri"/>
          <w:color w:val="auto"/>
          <w:spacing w:val="-2"/>
          <w:w w:val="110"/>
        </w:rPr>
        <w:t>current</w:t>
      </w:r>
      <w:r w:rsidRPr="00DD7BD1">
        <w:rPr>
          <w:rFonts w:cs="Calibri"/>
          <w:color w:val="auto"/>
          <w:spacing w:val="-8"/>
          <w:w w:val="110"/>
        </w:rPr>
        <w:t xml:space="preserve"> </w:t>
      </w:r>
      <w:r w:rsidRPr="00DD7BD1">
        <w:rPr>
          <w:rFonts w:cs="Calibri"/>
          <w:color w:val="auto"/>
          <w:spacing w:val="-2"/>
          <w:w w:val="110"/>
        </w:rPr>
        <w:t>calendar</w:t>
      </w:r>
      <w:r w:rsidRPr="00DD7BD1">
        <w:rPr>
          <w:rFonts w:cs="Calibri"/>
          <w:color w:val="auto"/>
          <w:spacing w:val="-8"/>
          <w:w w:val="110"/>
        </w:rPr>
        <w:t xml:space="preserve"> </w:t>
      </w:r>
      <w:r w:rsidRPr="00DD7BD1">
        <w:rPr>
          <w:rFonts w:cs="Calibri"/>
          <w:color w:val="auto"/>
          <w:spacing w:val="-2"/>
          <w:w w:val="110"/>
        </w:rPr>
        <w:t>year.</w:t>
      </w:r>
      <w:r w:rsidRPr="00DD7BD1">
        <w:rPr>
          <w:rFonts w:cs="Calibri"/>
          <w:color w:val="auto"/>
          <w:spacing w:val="-8"/>
          <w:w w:val="110"/>
        </w:rPr>
        <w:t xml:space="preserve"> </w:t>
      </w:r>
      <w:r w:rsidRPr="00DD7BD1">
        <w:rPr>
          <w:rFonts w:cs="Calibri"/>
          <w:color w:val="auto"/>
          <w:spacing w:val="-2"/>
          <w:w w:val="110"/>
        </w:rPr>
        <w:t>Eligible</w:t>
      </w:r>
      <w:r w:rsidRPr="00DD7BD1">
        <w:rPr>
          <w:rFonts w:cs="Calibri"/>
          <w:color w:val="auto"/>
          <w:spacing w:val="-11"/>
          <w:w w:val="110"/>
        </w:rPr>
        <w:t xml:space="preserve"> </w:t>
      </w:r>
      <w:r w:rsidRPr="00DD7BD1">
        <w:rPr>
          <w:rFonts w:cs="Calibri"/>
          <w:color w:val="auto"/>
          <w:spacing w:val="-2"/>
          <w:w w:val="110"/>
        </w:rPr>
        <w:t>employees</w:t>
      </w:r>
      <w:r w:rsidRPr="00DD7BD1">
        <w:rPr>
          <w:rFonts w:cs="Calibri"/>
          <w:color w:val="auto"/>
          <w:spacing w:val="-10"/>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these</w:t>
      </w:r>
      <w:r w:rsidRPr="00DD7BD1">
        <w:rPr>
          <w:rFonts w:cs="Calibri"/>
          <w:color w:val="auto"/>
          <w:spacing w:val="-11"/>
          <w:w w:val="110"/>
        </w:rPr>
        <w:t xml:space="preserve"> </w:t>
      </w:r>
      <w:r w:rsidRPr="00DD7BD1">
        <w:rPr>
          <w:rFonts w:cs="Calibri"/>
          <w:color w:val="auto"/>
          <w:spacing w:val="-2"/>
          <w:w w:val="110"/>
        </w:rPr>
        <w:t>employers</w:t>
      </w:r>
      <w:r w:rsidRPr="00DD7BD1">
        <w:rPr>
          <w:rFonts w:cs="Calibri"/>
          <w:color w:val="auto"/>
          <w:spacing w:val="-10"/>
          <w:w w:val="110"/>
        </w:rPr>
        <w:t xml:space="preserve"> </w:t>
      </w:r>
      <w:r w:rsidRPr="00DD7BD1">
        <w:rPr>
          <w:rFonts w:cs="Calibri"/>
          <w:color w:val="auto"/>
          <w:spacing w:val="-2"/>
          <w:w w:val="110"/>
        </w:rPr>
        <w:t>will</w:t>
      </w:r>
      <w:r w:rsidRPr="00DD7BD1">
        <w:rPr>
          <w:rFonts w:cs="Calibri"/>
          <w:color w:val="auto"/>
          <w:spacing w:val="-10"/>
          <w:w w:val="110"/>
        </w:rPr>
        <w:t xml:space="preserve"> </w:t>
      </w:r>
      <w:r w:rsidRPr="00DD7BD1">
        <w:rPr>
          <w:rFonts w:cs="Calibri"/>
          <w:color w:val="auto"/>
          <w:spacing w:val="-2"/>
          <w:w w:val="110"/>
        </w:rPr>
        <w:t>be</w:t>
      </w:r>
      <w:r w:rsidRPr="00DD7BD1">
        <w:rPr>
          <w:rFonts w:cs="Calibri"/>
          <w:color w:val="auto"/>
          <w:spacing w:val="-8"/>
          <w:w w:val="110"/>
        </w:rPr>
        <w:t xml:space="preserve"> </w:t>
      </w:r>
      <w:r w:rsidRPr="00DD7BD1">
        <w:rPr>
          <w:rFonts w:cs="Calibri"/>
          <w:color w:val="auto"/>
          <w:spacing w:val="-2"/>
          <w:w w:val="110"/>
        </w:rPr>
        <w:t>able</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7"/>
          <w:w w:val="110"/>
        </w:rPr>
        <w:t xml:space="preserve"> </w:t>
      </w:r>
      <w:r w:rsidRPr="00DD7BD1">
        <w:rPr>
          <w:rFonts w:cs="Calibri"/>
          <w:color w:val="auto"/>
          <w:spacing w:val="-2"/>
          <w:w w:val="110"/>
        </w:rPr>
        <w:t>take</w:t>
      </w:r>
      <w:r w:rsidRPr="00DD7BD1">
        <w:rPr>
          <w:rFonts w:cs="Calibri"/>
          <w:color w:val="auto"/>
          <w:spacing w:val="-11"/>
          <w:w w:val="110"/>
        </w:rPr>
        <w:t xml:space="preserve"> </w:t>
      </w:r>
      <w:r w:rsidRPr="00DD7BD1">
        <w:rPr>
          <w:rFonts w:cs="Calibri"/>
          <w:color w:val="auto"/>
          <w:spacing w:val="-2"/>
          <w:w w:val="110"/>
        </w:rPr>
        <w:t>qualifying</w:t>
      </w:r>
      <w:r w:rsidRPr="00DD7BD1">
        <w:rPr>
          <w:rFonts w:cs="Calibri"/>
          <w:color w:val="auto"/>
          <w:spacing w:val="-7"/>
          <w:w w:val="110"/>
        </w:rPr>
        <w:t xml:space="preserve"> </w:t>
      </w:r>
      <w:r w:rsidRPr="00DD7BD1">
        <w:rPr>
          <w:rFonts w:cs="Calibri"/>
          <w:color w:val="auto"/>
          <w:spacing w:val="-2"/>
          <w:w w:val="110"/>
        </w:rPr>
        <w:t xml:space="preserve">leave </w:t>
      </w:r>
      <w:r w:rsidRPr="00DD7BD1">
        <w:rPr>
          <w:rFonts w:cs="Calibri"/>
          <w:color w:val="auto"/>
          <w:w w:val="110"/>
        </w:rPr>
        <w:t>under the FMLA</w:t>
      </w:r>
      <w:r w:rsidRPr="00DD7BD1">
        <w:rPr>
          <w:rFonts w:cs="Calibri"/>
          <w:color w:val="auto"/>
          <w:spacing w:val="-1"/>
          <w:w w:val="110"/>
        </w:rPr>
        <w:t xml:space="preserve"> </w:t>
      </w:r>
      <w:r w:rsidRPr="00DD7BD1">
        <w:rPr>
          <w:rFonts w:cs="Calibri"/>
          <w:color w:val="auto"/>
          <w:w w:val="110"/>
        </w:rPr>
        <w:t>but not the PLA.</w:t>
      </w:r>
    </w:p>
    <w:p w14:paraId="190016FE" w14:textId="77777777" w:rsidR="007E0135" w:rsidRPr="00DD7BD1" w:rsidRDefault="007E0135" w:rsidP="003A22A9">
      <w:pPr>
        <w:pStyle w:val="BodyText"/>
        <w:spacing w:after="0" w:line="240" w:lineRule="auto"/>
        <w:ind w:right="360"/>
        <w:rPr>
          <w:rFonts w:cs="Calibri"/>
          <w:color w:val="auto"/>
          <w:sz w:val="16"/>
          <w:szCs w:val="16"/>
        </w:rPr>
      </w:pPr>
    </w:p>
    <w:p w14:paraId="337EDFA6" w14:textId="77777777" w:rsidR="007E0135" w:rsidRPr="00DD7BD1" w:rsidRDefault="007E0135" w:rsidP="003A22A9">
      <w:pPr>
        <w:pStyle w:val="BodyText"/>
        <w:spacing w:after="0" w:line="240" w:lineRule="auto"/>
        <w:ind w:right="360"/>
        <w:rPr>
          <w:rFonts w:cs="Calibri"/>
          <w:color w:val="auto"/>
          <w:sz w:val="24"/>
        </w:rPr>
      </w:pPr>
      <w:r w:rsidRPr="00DD7BD1">
        <w:rPr>
          <w:rFonts w:cs="Calibri"/>
          <w:color w:val="auto"/>
          <w:w w:val="110"/>
        </w:rPr>
        <w:t>ETC’s</w:t>
      </w:r>
      <w:r w:rsidRPr="00DD7BD1">
        <w:rPr>
          <w:rFonts w:cs="Calibri"/>
          <w:color w:val="auto"/>
          <w:spacing w:val="38"/>
          <w:w w:val="110"/>
        </w:rPr>
        <w:t xml:space="preserve"> </w:t>
      </w:r>
      <w:r w:rsidRPr="00DD7BD1">
        <w:rPr>
          <w:rFonts w:cs="Calibri"/>
          <w:color w:val="auto"/>
          <w:w w:val="110"/>
        </w:rPr>
        <w:t>State</w:t>
      </w:r>
      <w:r w:rsidRPr="00DD7BD1">
        <w:rPr>
          <w:rFonts w:cs="Calibri"/>
          <w:color w:val="auto"/>
          <w:spacing w:val="37"/>
          <w:w w:val="110"/>
        </w:rPr>
        <w:t xml:space="preserve"> </w:t>
      </w:r>
      <w:r w:rsidRPr="00DD7BD1">
        <w:rPr>
          <w:rFonts w:cs="Calibri"/>
          <w:color w:val="auto"/>
          <w:w w:val="110"/>
        </w:rPr>
        <w:t>Handbook</w:t>
      </w:r>
      <w:r w:rsidRPr="00DD7BD1">
        <w:rPr>
          <w:rFonts w:cs="Calibri"/>
          <w:color w:val="auto"/>
          <w:spacing w:val="35"/>
          <w:w w:val="110"/>
        </w:rPr>
        <w:t xml:space="preserve"> </w:t>
      </w:r>
      <w:r w:rsidRPr="00DD7BD1">
        <w:rPr>
          <w:rFonts w:cs="Calibri"/>
          <w:color w:val="auto"/>
          <w:w w:val="110"/>
        </w:rPr>
        <w:t>Addendum</w:t>
      </w:r>
      <w:r w:rsidRPr="00DD7BD1">
        <w:rPr>
          <w:rFonts w:cs="Calibri"/>
          <w:color w:val="auto"/>
          <w:spacing w:val="40"/>
          <w:w w:val="110"/>
        </w:rPr>
        <w:t xml:space="preserve"> </w:t>
      </w:r>
      <w:r w:rsidRPr="00DD7BD1">
        <w:rPr>
          <w:rFonts w:cs="Calibri"/>
          <w:color w:val="auto"/>
          <w:w w:val="110"/>
        </w:rPr>
        <w:t>covers</w:t>
      </w:r>
      <w:r w:rsidRPr="00DD7BD1">
        <w:rPr>
          <w:rFonts w:cs="Calibri"/>
          <w:color w:val="auto"/>
          <w:spacing w:val="40"/>
          <w:w w:val="110"/>
        </w:rPr>
        <w:t xml:space="preserve"> </w:t>
      </w:r>
      <w:r w:rsidRPr="00DD7BD1">
        <w:rPr>
          <w:rFonts w:cs="Calibri"/>
          <w:color w:val="auto"/>
          <w:w w:val="110"/>
        </w:rPr>
        <w:t>the</w:t>
      </w:r>
      <w:r w:rsidRPr="00DD7BD1">
        <w:rPr>
          <w:rFonts w:cs="Calibri"/>
          <w:color w:val="auto"/>
          <w:spacing w:val="35"/>
          <w:w w:val="110"/>
        </w:rPr>
        <w:t xml:space="preserve"> </w:t>
      </w:r>
      <w:r w:rsidRPr="00DD7BD1">
        <w:rPr>
          <w:rFonts w:cs="Calibri"/>
          <w:color w:val="auto"/>
          <w:w w:val="110"/>
        </w:rPr>
        <w:t>policy</w:t>
      </w:r>
      <w:r w:rsidRPr="00DD7BD1">
        <w:rPr>
          <w:rFonts w:cs="Calibri"/>
          <w:color w:val="auto"/>
          <w:spacing w:val="37"/>
          <w:w w:val="110"/>
        </w:rPr>
        <w:t xml:space="preserve"> </w:t>
      </w:r>
      <w:r w:rsidRPr="00DD7BD1">
        <w:rPr>
          <w:rFonts w:cs="Calibri"/>
          <w:color w:val="auto"/>
          <w:w w:val="110"/>
        </w:rPr>
        <w:t>requirements;</w:t>
      </w:r>
      <w:r w:rsidRPr="00DD7BD1">
        <w:rPr>
          <w:rFonts w:cs="Calibri"/>
          <w:color w:val="auto"/>
          <w:spacing w:val="38"/>
          <w:w w:val="110"/>
        </w:rPr>
        <w:t xml:space="preserve"> </w:t>
      </w:r>
      <w:r w:rsidRPr="00DD7BD1">
        <w:rPr>
          <w:rFonts w:cs="Calibri"/>
          <w:color w:val="auto"/>
          <w:w w:val="110"/>
        </w:rPr>
        <w:t>however,</w:t>
      </w:r>
      <w:r w:rsidRPr="00DD7BD1">
        <w:rPr>
          <w:rFonts w:cs="Calibri"/>
          <w:color w:val="auto"/>
          <w:spacing w:val="40"/>
          <w:w w:val="110"/>
        </w:rPr>
        <w:t xml:space="preserve"> </w:t>
      </w:r>
      <w:r w:rsidRPr="00DD7BD1">
        <w:rPr>
          <w:rFonts w:cs="Calibri"/>
          <w:color w:val="auto"/>
          <w:w w:val="110"/>
        </w:rPr>
        <w:t>an</w:t>
      </w:r>
      <w:r w:rsidRPr="00DD7BD1">
        <w:rPr>
          <w:rFonts w:cs="Calibri"/>
          <w:color w:val="auto"/>
          <w:spacing w:val="35"/>
          <w:w w:val="110"/>
        </w:rPr>
        <w:t xml:space="preserve"> </w:t>
      </w:r>
      <w:r w:rsidRPr="00DD7BD1">
        <w:rPr>
          <w:rFonts w:cs="Calibri"/>
          <w:color w:val="auto"/>
          <w:w w:val="110"/>
        </w:rPr>
        <w:t>updated</w:t>
      </w:r>
      <w:r w:rsidRPr="00DD7BD1">
        <w:rPr>
          <w:rFonts w:cs="Calibri"/>
          <w:color w:val="auto"/>
          <w:spacing w:val="37"/>
          <w:w w:val="110"/>
        </w:rPr>
        <w:t xml:space="preserve"> </w:t>
      </w:r>
      <w:r w:rsidRPr="00DD7BD1">
        <w:rPr>
          <w:rFonts w:cs="Calibri"/>
          <w:color w:val="auto"/>
          <w:w w:val="110"/>
        </w:rPr>
        <w:t>Addendum</w:t>
      </w:r>
      <w:r w:rsidRPr="00DD7BD1">
        <w:rPr>
          <w:rFonts w:cs="Calibri"/>
          <w:color w:val="auto"/>
          <w:spacing w:val="37"/>
          <w:w w:val="110"/>
        </w:rPr>
        <w:t xml:space="preserve"> </w:t>
      </w:r>
      <w:r w:rsidRPr="00DD7BD1">
        <w:rPr>
          <w:rFonts w:cs="Calibri"/>
          <w:color w:val="auto"/>
          <w:w w:val="110"/>
        </w:rPr>
        <w:t>is</w:t>
      </w:r>
      <w:r w:rsidRPr="00DD7BD1">
        <w:rPr>
          <w:rFonts w:cs="Calibri"/>
          <w:color w:val="auto"/>
          <w:spacing w:val="38"/>
          <w:w w:val="110"/>
        </w:rPr>
        <w:t xml:space="preserve"> </w:t>
      </w:r>
      <w:r w:rsidRPr="00DD7BD1">
        <w:rPr>
          <w:rFonts w:cs="Calibri"/>
          <w:color w:val="auto"/>
          <w:w w:val="110"/>
        </w:rPr>
        <w:t>being published to offer additional commentary for Employers.</w:t>
      </w:r>
    </w:p>
    <w:p w14:paraId="2556A0D3"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2"/>
          <w:szCs w:val="22"/>
        </w:rPr>
      </w:pPr>
    </w:p>
    <w:p w14:paraId="07647701"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Montgomery County Increases Minimum Wage – Eff July 1, 2025</w:t>
      </w:r>
    </w:p>
    <w:p w14:paraId="0AC50252" w14:textId="14851147" w:rsidR="007E0135" w:rsidRPr="00DD7BD1" w:rsidRDefault="007E0135" w:rsidP="007E0135">
      <w:pPr>
        <w:pStyle w:val="BodyText"/>
        <w:spacing w:after="0" w:line="240" w:lineRule="auto"/>
        <w:ind w:right="-180"/>
        <w:rPr>
          <w:rFonts w:cs="Calibri"/>
        </w:rPr>
      </w:pPr>
      <w:r w:rsidRPr="00DD7BD1">
        <w:rPr>
          <w:rFonts w:cs="Calibri"/>
          <w:color w:val="auto"/>
          <w:spacing w:val="-2"/>
          <w:w w:val="110"/>
        </w:rPr>
        <w:t>On</w:t>
      </w:r>
      <w:r w:rsidRPr="00DD7BD1">
        <w:rPr>
          <w:rFonts w:cs="Calibri"/>
          <w:color w:val="auto"/>
          <w:spacing w:val="-7"/>
          <w:w w:val="110"/>
        </w:rPr>
        <w:t xml:space="preserve"> </w:t>
      </w:r>
      <w:r w:rsidRPr="00DD7BD1">
        <w:rPr>
          <w:rFonts w:cs="Calibri"/>
          <w:color w:val="auto"/>
          <w:spacing w:val="-2"/>
          <w:w w:val="110"/>
        </w:rPr>
        <w:t>July</w:t>
      </w:r>
      <w:r w:rsidRPr="00DD7BD1">
        <w:rPr>
          <w:rFonts w:cs="Calibri"/>
          <w:color w:val="auto"/>
          <w:spacing w:val="-9"/>
          <w:w w:val="110"/>
        </w:rPr>
        <w:t xml:space="preserve"> </w:t>
      </w:r>
      <w:r w:rsidRPr="00DD7BD1">
        <w:rPr>
          <w:rFonts w:cs="Calibri"/>
          <w:color w:val="auto"/>
          <w:spacing w:val="-2"/>
          <w:w w:val="110"/>
        </w:rPr>
        <w:t>1,</w:t>
      </w:r>
      <w:r w:rsidRPr="00DD7BD1">
        <w:rPr>
          <w:rFonts w:cs="Calibri"/>
          <w:color w:val="auto"/>
          <w:spacing w:val="-8"/>
          <w:w w:val="110"/>
        </w:rPr>
        <w:t xml:space="preserve"> </w:t>
      </w:r>
      <w:r w:rsidRPr="00DD7BD1">
        <w:rPr>
          <w:rFonts w:cs="Calibri"/>
          <w:color w:val="auto"/>
          <w:spacing w:val="-2"/>
          <w:w w:val="110"/>
        </w:rPr>
        <w:t>2025,</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minimum</w:t>
      </w:r>
      <w:r w:rsidRPr="00DD7BD1">
        <w:rPr>
          <w:rFonts w:cs="Calibri"/>
          <w:color w:val="auto"/>
          <w:spacing w:val="-6"/>
          <w:w w:val="110"/>
        </w:rPr>
        <w:t xml:space="preserve"> </w:t>
      </w:r>
      <w:r w:rsidRPr="00DD7BD1">
        <w:rPr>
          <w:rFonts w:cs="Calibri"/>
          <w:color w:val="auto"/>
          <w:spacing w:val="-2"/>
          <w:w w:val="110"/>
        </w:rPr>
        <w:t>hourly</w:t>
      </w:r>
      <w:r w:rsidRPr="00DD7BD1">
        <w:rPr>
          <w:rFonts w:cs="Calibri"/>
          <w:color w:val="auto"/>
          <w:spacing w:val="-7"/>
          <w:w w:val="110"/>
        </w:rPr>
        <w:t xml:space="preserve"> </w:t>
      </w:r>
      <w:r w:rsidRPr="00DD7BD1">
        <w:rPr>
          <w:rFonts w:cs="Calibri"/>
          <w:color w:val="auto"/>
          <w:spacing w:val="-2"/>
          <w:w w:val="110"/>
        </w:rPr>
        <w:t>wage</w:t>
      </w:r>
      <w:r w:rsidRPr="00DD7BD1">
        <w:rPr>
          <w:rFonts w:cs="Calibri"/>
          <w:color w:val="auto"/>
          <w:spacing w:val="-10"/>
          <w:w w:val="110"/>
        </w:rPr>
        <w:t xml:space="preserve"> </w:t>
      </w:r>
      <w:r w:rsidRPr="00DD7BD1">
        <w:rPr>
          <w:rFonts w:cs="Calibri"/>
          <w:color w:val="auto"/>
          <w:spacing w:val="-2"/>
          <w:w w:val="110"/>
        </w:rPr>
        <w:t>in</w:t>
      </w:r>
      <w:r w:rsidRPr="00DD7BD1">
        <w:rPr>
          <w:rFonts w:cs="Calibri"/>
          <w:color w:val="auto"/>
          <w:spacing w:val="-8"/>
          <w:w w:val="110"/>
        </w:rPr>
        <w:t xml:space="preserve"> </w:t>
      </w:r>
      <w:r w:rsidRPr="00DD7BD1">
        <w:rPr>
          <w:rFonts w:cs="Calibri"/>
          <w:color w:val="auto"/>
          <w:spacing w:val="-2"/>
          <w:w w:val="110"/>
        </w:rPr>
        <w:t>Montgomery</w:t>
      </w:r>
      <w:r w:rsidRPr="00DD7BD1">
        <w:rPr>
          <w:rFonts w:cs="Calibri"/>
          <w:color w:val="auto"/>
          <w:spacing w:val="-9"/>
          <w:w w:val="110"/>
        </w:rPr>
        <w:t xml:space="preserve"> </w:t>
      </w:r>
      <w:r w:rsidRPr="00DD7BD1">
        <w:rPr>
          <w:rFonts w:cs="Calibri"/>
          <w:color w:val="auto"/>
          <w:spacing w:val="-2"/>
          <w:w w:val="110"/>
        </w:rPr>
        <w:t>County</w:t>
      </w:r>
      <w:r w:rsidRPr="00DD7BD1">
        <w:rPr>
          <w:rFonts w:cs="Calibri"/>
          <w:color w:val="auto"/>
          <w:spacing w:val="-6"/>
          <w:w w:val="110"/>
        </w:rPr>
        <w:t xml:space="preserve"> </w:t>
      </w:r>
      <w:r w:rsidRPr="00DD7BD1">
        <w:rPr>
          <w:rFonts w:cs="Calibri"/>
          <w:color w:val="auto"/>
          <w:spacing w:val="-2"/>
          <w:w w:val="110"/>
        </w:rPr>
        <w:t>increased.</w:t>
      </w:r>
      <w:r w:rsidRPr="00DD7BD1">
        <w:rPr>
          <w:rFonts w:cs="Calibri"/>
          <w:color w:val="auto"/>
          <w:spacing w:val="-8"/>
          <w:w w:val="110"/>
        </w:rPr>
        <w:t xml:space="preserve"> </w:t>
      </w:r>
      <w:r w:rsidRPr="00DD7BD1">
        <w:rPr>
          <w:rFonts w:cs="Calibri"/>
          <w:color w:val="auto"/>
          <w:spacing w:val="-2"/>
          <w:w w:val="110"/>
        </w:rPr>
        <w:t>More</w:t>
      </w:r>
      <w:r w:rsidRPr="00DD7BD1">
        <w:rPr>
          <w:rFonts w:cs="Calibri"/>
          <w:color w:val="auto"/>
          <w:spacing w:val="-7"/>
          <w:w w:val="110"/>
        </w:rPr>
        <w:t xml:space="preserve"> </w:t>
      </w:r>
      <w:r w:rsidRPr="00DD7BD1">
        <w:rPr>
          <w:rFonts w:cs="Calibri"/>
          <w:color w:val="auto"/>
          <w:spacing w:val="-2"/>
          <w:w w:val="110"/>
        </w:rPr>
        <w:t>information</w:t>
      </w:r>
      <w:r w:rsidRPr="00DD7BD1">
        <w:rPr>
          <w:rFonts w:cs="Calibri"/>
          <w:color w:val="auto"/>
          <w:spacing w:val="-10"/>
          <w:w w:val="110"/>
        </w:rPr>
        <w:t xml:space="preserve"> </w:t>
      </w:r>
      <w:r w:rsidRPr="00DD7BD1">
        <w:rPr>
          <w:rFonts w:cs="Calibri"/>
          <w:color w:val="auto"/>
          <w:spacing w:val="-2"/>
          <w:w w:val="110"/>
        </w:rPr>
        <w:t>can</w:t>
      </w:r>
      <w:r w:rsidRPr="00DD7BD1">
        <w:rPr>
          <w:rFonts w:cs="Calibri"/>
          <w:color w:val="auto"/>
          <w:spacing w:val="-7"/>
          <w:w w:val="110"/>
        </w:rPr>
        <w:t xml:space="preserve"> </w:t>
      </w:r>
      <w:r w:rsidRPr="00DD7BD1">
        <w:rPr>
          <w:rFonts w:cs="Calibri"/>
          <w:color w:val="auto"/>
          <w:spacing w:val="-2"/>
          <w:w w:val="110"/>
        </w:rPr>
        <w:t>be</w:t>
      </w:r>
      <w:r w:rsidRPr="00DD7BD1">
        <w:rPr>
          <w:rFonts w:cs="Calibri"/>
          <w:color w:val="auto"/>
          <w:spacing w:val="-6"/>
          <w:w w:val="110"/>
        </w:rPr>
        <w:t xml:space="preserve"> </w:t>
      </w:r>
      <w:r w:rsidRPr="00DD7BD1">
        <w:rPr>
          <w:rFonts w:cs="Calibri"/>
          <w:color w:val="auto"/>
          <w:spacing w:val="-2"/>
          <w:w w:val="110"/>
        </w:rPr>
        <w:t>found</w:t>
      </w:r>
      <w:r w:rsidRPr="00DD7BD1">
        <w:rPr>
          <w:rFonts w:cs="Calibri"/>
          <w:color w:val="auto"/>
          <w:spacing w:val="-7"/>
          <w:w w:val="110"/>
        </w:rPr>
        <w:t xml:space="preserve"> </w:t>
      </w:r>
      <w:hyperlink r:id="rId801">
        <w:r w:rsidRPr="00DD7BD1">
          <w:rPr>
            <w:rFonts w:cs="Calibri"/>
            <w:color w:val="0000FF"/>
            <w:spacing w:val="-4"/>
            <w:w w:val="110"/>
            <w:u w:val="single" w:color="0000FF"/>
          </w:rPr>
          <w:t>here</w:t>
        </w:r>
      </w:hyperlink>
      <w:r w:rsidRPr="00DD7BD1">
        <w:rPr>
          <w:rFonts w:cs="Calibri"/>
          <w:color w:val="2D74B5"/>
          <w:spacing w:val="-4"/>
          <w:w w:val="110"/>
        </w:rPr>
        <w:t>.</w:t>
      </w:r>
    </w:p>
    <w:p w14:paraId="6B2A4D09" w14:textId="77777777" w:rsidR="007E0135" w:rsidRPr="00DD7BD1" w:rsidRDefault="007E0135" w:rsidP="007E0135">
      <w:pPr>
        <w:pStyle w:val="ListParagraph"/>
        <w:widowControl w:val="0"/>
        <w:autoSpaceDE w:val="0"/>
        <w:autoSpaceDN w:val="0"/>
        <w:spacing w:before="1" w:after="0" w:line="247" w:lineRule="auto"/>
        <w:ind w:right="-360"/>
        <w:contextualSpacing w:val="0"/>
        <w:rPr>
          <w:rFonts w:ascii="Calibri" w:hAnsi="Calibri" w:cs="Calibri"/>
        </w:rPr>
      </w:pPr>
    </w:p>
    <w:p w14:paraId="77B2D534" w14:textId="1E69EE63" w:rsidR="00402F96" w:rsidRPr="00DD7BD1" w:rsidRDefault="00402F96" w:rsidP="00402F96">
      <w:pPr>
        <w:jc w:val="center"/>
        <w:rPr>
          <w:rFonts w:ascii="Calibri" w:hAnsi="Calibri" w:cs="Calibri"/>
          <w:b/>
          <w:bCs/>
          <w:color w:val="C00000"/>
          <w:sz w:val="28"/>
          <w:szCs w:val="28"/>
          <w:shd w:val="clear" w:color="auto" w:fill="FFFFFF"/>
          <w:lang w:val="en"/>
        </w:rPr>
      </w:pPr>
      <w:bookmarkStart w:id="99" w:name="_Hlk213054707"/>
      <w:r w:rsidRPr="00DD7BD1">
        <w:rPr>
          <w:rFonts w:ascii="Calibri" w:hAnsi="Calibri" w:cs="Calibri"/>
          <w:b/>
          <w:bCs/>
          <w:sz w:val="28"/>
          <w:szCs w:val="28"/>
          <w:shd w:val="clear" w:color="auto" w:fill="FFFFFF"/>
          <w:lang w:val="en"/>
        </w:rPr>
        <w:t xml:space="preserve">State Amends Parental Leave Act </w:t>
      </w:r>
      <w:r w:rsidRPr="00DD7BD1">
        <w:rPr>
          <w:rFonts w:ascii="Calibri" w:hAnsi="Calibri" w:cs="Calibri"/>
          <w:b/>
          <w:bCs/>
          <w:color w:val="C00000"/>
          <w:sz w:val="28"/>
          <w:szCs w:val="28"/>
          <w:shd w:val="clear" w:color="auto" w:fill="FFFFFF"/>
          <w:lang w:val="en"/>
        </w:rPr>
        <w:t>– Eff October 1, 2025</w:t>
      </w:r>
    </w:p>
    <w:p w14:paraId="22AA249A" w14:textId="77777777" w:rsidR="00402F96" w:rsidRPr="00DD7BD1" w:rsidRDefault="00402F96" w:rsidP="00402F96">
      <w:pPr>
        <w:pStyle w:val="BodyText"/>
        <w:rPr>
          <w:rFonts w:cs="Calibri"/>
          <w:color w:val="auto"/>
          <w:szCs w:val="22"/>
        </w:rPr>
      </w:pPr>
      <w:r w:rsidRPr="00DD7BD1">
        <w:rPr>
          <w:rFonts w:cs="Calibri"/>
          <w:color w:val="auto"/>
          <w:szCs w:val="22"/>
        </w:rPr>
        <w:t xml:space="preserve">Maryland has enacted </w:t>
      </w:r>
      <w:hyperlink r:id="rId802" w:history="1">
        <w:r w:rsidRPr="00DD7BD1">
          <w:rPr>
            <w:rStyle w:val="Hyperlink"/>
            <w:rFonts w:cs="Calibri"/>
            <w:szCs w:val="22"/>
          </w:rPr>
          <w:t>Senate Bill (SB) 785</w:t>
        </w:r>
      </w:hyperlink>
      <w:r w:rsidRPr="00DD7BD1">
        <w:rPr>
          <w:rFonts w:cs="Calibri"/>
          <w:szCs w:val="22"/>
        </w:rPr>
        <w:t xml:space="preserve">, </w:t>
      </w:r>
      <w:r w:rsidRPr="00DD7BD1">
        <w:rPr>
          <w:rFonts w:cs="Calibri"/>
          <w:color w:val="auto"/>
          <w:szCs w:val="22"/>
        </w:rPr>
        <w:t xml:space="preserve">amending the state’s </w:t>
      </w:r>
      <w:hyperlink r:id="rId803" w:history="1">
        <w:r w:rsidRPr="00DD7BD1">
          <w:rPr>
            <w:rStyle w:val="Hyperlink"/>
            <w:rFonts w:cs="Calibri"/>
            <w:szCs w:val="22"/>
          </w:rPr>
          <w:t>Parental Leave Act</w:t>
        </w:r>
      </w:hyperlink>
      <w:r w:rsidRPr="00DD7BD1">
        <w:rPr>
          <w:rFonts w:cs="Calibri"/>
          <w:szCs w:val="22"/>
        </w:rPr>
        <w:t xml:space="preserve"> </w:t>
      </w:r>
      <w:r w:rsidRPr="00DD7BD1">
        <w:rPr>
          <w:rFonts w:cs="Calibri"/>
          <w:color w:val="auto"/>
          <w:szCs w:val="22"/>
        </w:rPr>
        <w:t xml:space="preserve">(PLA) to clarify that it does not apply to employers while they are covered by the federal Family and Medical Leave Act (FMLA). </w:t>
      </w:r>
    </w:p>
    <w:p w14:paraId="744AF365" w14:textId="77777777" w:rsidR="00402F96" w:rsidRPr="00DD7BD1" w:rsidRDefault="00402F96" w:rsidP="00402F96">
      <w:pPr>
        <w:pStyle w:val="BodyText"/>
        <w:rPr>
          <w:rFonts w:cs="Calibri"/>
          <w:color w:val="auto"/>
          <w:szCs w:val="22"/>
        </w:rPr>
      </w:pPr>
      <w:r w:rsidRPr="00DD7BD1">
        <w:rPr>
          <w:rFonts w:cs="Calibri"/>
          <w:color w:val="auto"/>
          <w:szCs w:val="22"/>
        </w:rPr>
        <w:t xml:space="preserve">The amendment takes effect Oct. 1, 2025. </w:t>
      </w:r>
    </w:p>
    <w:p w14:paraId="7A686685"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PLA and FMLA</w:t>
      </w:r>
    </w:p>
    <w:p w14:paraId="1231EDD6" w14:textId="77777777" w:rsidR="00402F96" w:rsidRPr="00DD7BD1" w:rsidRDefault="00402F96" w:rsidP="00402F96">
      <w:pPr>
        <w:pStyle w:val="BodyText"/>
        <w:rPr>
          <w:rFonts w:cs="Calibri"/>
          <w:color w:val="auto"/>
          <w:szCs w:val="22"/>
        </w:rPr>
      </w:pPr>
      <w:r w:rsidRPr="00DD7BD1">
        <w:rPr>
          <w:rFonts w:cs="Calibri"/>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DD7BD1" w:rsidRDefault="00402F96" w:rsidP="00402F96">
      <w:pPr>
        <w:pStyle w:val="BodyText"/>
        <w:rPr>
          <w:rFonts w:cs="Calibri"/>
          <w:color w:val="auto"/>
          <w:szCs w:val="22"/>
        </w:rPr>
      </w:pPr>
      <w:r w:rsidRPr="00DD7BD1">
        <w:rPr>
          <w:rFonts w:cs="Calibri"/>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SB 785</w:t>
      </w:r>
    </w:p>
    <w:p w14:paraId="03E7145A" w14:textId="77777777" w:rsidR="00402F96" w:rsidRPr="00DD7BD1" w:rsidRDefault="00402F96" w:rsidP="00402F96">
      <w:pPr>
        <w:pStyle w:val="BodyText"/>
        <w:rPr>
          <w:rFonts w:cs="Calibri"/>
          <w:color w:val="auto"/>
          <w:szCs w:val="22"/>
        </w:rPr>
      </w:pPr>
      <w:r w:rsidRPr="00DD7BD1">
        <w:rPr>
          <w:rFonts w:cs="Calibri"/>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DD7BD1" w:rsidRDefault="00402F96" w:rsidP="00402F96">
      <w:pPr>
        <w:pStyle w:val="BodyText"/>
        <w:rPr>
          <w:rFonts w:cs="Calibri"/>
          <w:color w:val="auto"/>
          <w:szCs w:val="22"/>
        </w:rPr>
      </w:pPr>
      <w:r w:rsidRPr="00DD7BD1">
        <w:rPr>
          <w:rFonts w:cs="Calibri"/>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99"/>
    <w:p w14:paraId="60A2CBB0" w14:textId="77777777" w:rsidR="00EC2A47" w:rsidRPr="00DD7BD1" w:rsidRDefault="00EC2A47" w:rsidP="00EC2A47">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sz w:val="28"/>
          <w:szCs w:val="28"/>
          <w:shd w:val="clear" w:color="auto" w:fill="FFFFFF"/>
        </w:rPr>
        <w:t xml:space="preserve">Family and Medical Leave Insurance Program – </w:t>
      </w:r>
      <w:r w:rsidRPr="00DD7BD1">
        <w:rPr>
          <w:rFonts w:ascii="Calibri" w:hAnsi="Calibri" w:cs="Calibri"/>
          <w:b/>
          <w:bCs/>
          <w:color w:val="C00000"/>
          <w:sz w:val="28"/>
          <w:szCs w:val="28"/>
          <w:shd w:val="clear" w:color="auto" w:fill="FFFFFF"/>
        </w:rPr>
        <w:t>Jan 1, 2027 &amp; Jan 2028</w:t>
      </w:r>
    </w:p>
    <w:p w14:paraId="02D5D6EC" w14:textId="5100C26A" w:rsidR="00EC2A47" w:rsidRPr="00DD7BD1" w:rsidRDefault="00EC2A47" w:rsidP="00EC2A47">
      <w:pPr>
        <w:rPr>
          <w:rFonts w:ascii="Calibri" w:hAnsi="Calibri" w:cs="Calibri"/>
          <w:shd w:val="clear" w:color="auto" w:fill="FFFFFF"/>
        </w:rPr>
      </w:pPr>
      <w:r w:rsidRPr="00DD7BD1">
        <w:rPr>
          <w:rFonts w:ascii="Calibri" w:hAnsi="Calibri" w:cs="Calibri"/>
          <w:b/>
          <w:bCs/>
          <w:u w:val="single"/>
          <w:shd w:val="clear" w:color="auto" w:fill="FFFFFF"/>
        </w:rPr>
        <w:t>UPDATE:</w:t>
      </w:r>
      <w:r w:rsidRPr="00DD7BD1">
        <w:rPr>
          <w:rFonts w:ascii="Calibri" w:hAnsi="Calibri" w:cs="Calibri"/>
          <w:shd w:val="clear" w:color="auto" w:fill="FFFFFF"/>
        </w:rPr>
        <w:t xml:space="preserve"> Amendments to the law have delayed the start of the program several times, so that employer and employee payroll contributions will now begin </w:t>
      </w:r>
      <w:r w:rsidRPr="00DD7BD1">
        <w:rPr>
          <w:rFonts w:ascii="Calibri" w:hAnsi="Calibri" w:cs="Calibri"/>
          <w:bCs/>
          <w:color w:val="C00000"/>
          <w:shd w:val="clear" w:color="auto" w:fill="FFFFFF"/>
        </w:rPr>
        <w:t>Jan. 1, 2027</w:t>
      </w:r>
      <w:r w:rsidRPr="00DD7BD1">
        <w:rPr>
          <w:rFonts w:ascii="Calibri" w:hAnsi="Calibri" w:cs="Calibri"/>
          <w:shd w:val="clear" w:color="auto" w:fill="FFFFFF"/>
        </w:rPr>
        <w:t xml:space="preserve">, with benefits becoming available at some point between that date and </w:t>
      </w:r>
      <w:r w:rsidRPr="00DD7BD1">
        <w:rPr>
          <w:rFonts w:ascii="Calibri" w:hAnsi="Calibri" w:cs="Calibri"/>
          <w:color w:val="C00000"/>
          <w:shd w:val="clear" w:color="auto" w:fill="FFFFFF"/>
        </w:rPr>
        <w:t>Jan. 3, 2028</w:t>
      </w:r>
      <w:r w:rsidRPr="00DD7BD1">
        <w:rPr>
          <w:rFonts w:ascii="Calibri" w:hAnsi="Calibri" w:cs="Calibri"/>
          <w:shd w:val="clear" w:color="auto" w:fill="FFFFFF"/>
        </w:rPr>
        <w:t xml:space="preserve">, as determined by the Maryland Secretary of Labor.    </w:t>
      </w:r>
    </w:p>
    <w:p w14:paraId="448523F3" w14:textId="4490D205" w:rsidR="00BD445F" w:rsidRPr="00DD7BD1" w:rsidRDefault="00BD445F" w:rsidP="00BD445F">
      <w:pPr>
        <w:spacing w:after="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Sate’s </w:t>
      </w:r>
      <w:r w:rsidRPr="00DD7BD1">
        <w:rPr>
          <w:rFonts w:ascii="Calibri" w:hAnsi="Calibri" w:cs="Calibri"/>
          <w:b/>
          <w:bCs/>
          <w:sz w:val="28"/>
          <w:szCs w:val="28"/>
          <w:shd w:val="clear" w:color="auto" w:fill="FFFFFF"/>
        </w:rPr>
        <w:t xml:space="preserve">Family and Medical Leave Insurance Program </w:t>
      </w:r>
      <w:bookmarkEnd w:id="97"/>
      <w:r w:rsidRPr="00DD7BD1">
        <w:rPr>
          <w:rFonts w:ascii="Calibri" w:hAnsi="Calibri" w:cs="Calibri"/>
          <w:b/>
          <w:bCs/>
          <w:sz w:val="28"/>
          <w:szCs w:val="28"/>
          <w:shd w:val="clear" w:color="auto" w:fill="FFFFFF"/>
        </w:rPr>
        <w:t xml:space="preserve">– </w:t>
      </w:r>
      <w:r w:rsidRPr="00DD7BD1">
        <w:rPr>
          <w:rFonts w:ascii="Calibri" w:hAnsi="Calibri" w:cs="Calibri"/>
          <w:b/>
          <w:bCs/>
          <w:strike/>
          <w:color w:val="C00000"/>
          <w:sz w:val="28"/>
          <w:szCs w:val="28"/>
          <w:shd w:val="clear" w:color="auto" w:fill="FFFFFF"/>
        </w:rPr>
        <w:t>July 1</w:t>
      </w:r>
      <w:proofErr w:type="gramStart"/>
      <w:r w:rsidRPr="00DD7BD1">
        <w:rPr>
          <w:rFonts w:ascii="Calibri" w:hAnsi="Calibri" w:cs="Calibri"/>
          <w:b/>
          <w:bCs/>
          <w:strike/>
          <w:color w:val="C00000"/>
          <w:sz w:val="28"/>
          <w:szCs w:val="28"/>
          <w:shd w:val="clear" w:color="auto" w:fill="FFFFFF"/>
        </w:rPr>
        <w:t xml:space="preserve"> 2025</w:t>
      </w:r>
      <w:proofErr w:type="gramEnd"/>
      <w:r w:rsidRPr="00DD7BD1">
        <w:rPr>
          <w:rFonts w:ascii="Calibri" w:hAnsi="Calibri" w:cs="Calibri"/>
          <w:b/>
          <w:bCs/>
          <w:strike/>
          <w:color w:val="C00000"/>
          <w:sz w:val="28"/>
          <w:szCs w:val="28"/>
          <w:shd w:val="clear" w:color="auto" w:fill="FFFFFF"/>
        </w:rPr>
        <w:t xml:space="preserve"> &amp; July 1, 2026</w:t>
      </w:r>
    </w:p>
    <w:p w14:paraId="42C109C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Maryland Family and Medical Leave Insurance (FAMLI) program, also known as the </w:t>
      </w:r>
      <w:proofErr w:type="gramStart"/>
      <w:r w:rsidRPr="00DD7BD1">
        <w:rPr>
          <w:rFonts w:ascii="Calibri" w:hAnsi="Calibri" w:cs="Calibri"/>
          <w:shd w:val="clear" w:color="auto" w:fill="FFFFFF"/>
        </w:rPr>
        <w:t>Time</w:t>
      </w:r>
      <w:proofErr w:type="gramEnd"/>
      <w:r w:rsidRPr="00DD7BD1">
        <w:rPr>
          <w:rFonts w:ascii="Calibri" w:hAnsi="Calibri" w:cs="Calibri"/>
          <w:shd w:val="clear" w:color="auto" w:fill="FFFFFF"/>
        </w:rPr>
        <w:t xml:space="preserv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DD7BD1" w:rsidRDefault="00BD445F" w:rsidP="00BD445F">
      <w:pPr>
        <w:spacing w:after="0" w:line="240" w:lineRule="auto"/>
        <w:rPr>
          <w:rFonts w:ascii="Calibri" w:hAnsi="Calibri" w:cs="Calibri"/>
          <w:sz w:val="16"/>
          <w:szCs w:val="16"/>
          <w:shd w:val="clear" w:color="auto" w:fill="FFFFFF"/>
        </w:rPr>
      </w:pPr>
    </w:p>
    <w:p w14:paraId="5048FAEE"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The program implementation dates are:</w:t>
      </w:r>
    </w:p>
    <w:p w14:paraId="1ACF5F85"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2025, for employers with 15 or more employees to begin program contributions.</w:t>
      </w:r>
    </w:p>
    <w:p w14:paraId="209029BD"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2026, for covered employees to begin submitting claims for benefits.</w:t>
      </w:r>
    </w:p>
    <w:p w14:paraId="559E08E2" w14:textId="77777777" w:rsidR="00BD445F" w:rsidRPr="00DD7BD1" w:rsidRDefault="00BD445F" w:rsidP="00BD445F">
      <w:pPr>
        <w:spacing w:after="0" w:line="240" w:lineRule="auto"/>
        <w:rPr>
          <w:rFonts w:ascii="Calibri" w:hAnsi="Calibri" w:cs="Calibri"/>
          <w:b/>
          <w:bCs/>
          <w:sz w:val="16"/>
          <w:szCs w:val="16"/>
          <w:shd w:val="clear" w:color="auto" w:fill="FFFFFF"/>
        </w:rPr>
      </w:pPr>
    </w:p>
    <w:p w14:paraId="2AC79C0C"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6BA38F3"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All employers with at least one employee in Maryland are covered under this law. Only employers with 15 or more employees must contribute to the program.</w:t>
      </w:r>
    </w:p>
    <w:p w14:paraId="71278BC8" w14:textId="77777777" w:rsidR="00BD445F" w:rsidRPr="00DD7BD1" w:rsidRDefault="00BD445F" w:rsidP="00BD445F">
      <w:pPr>
        <w:spacing w:after="0" w:line="240" w:lineRule="auto"/>
        <w:rPr>
          <w:rFonts w:ascii="Calibri" w:hAnsi="Calibri" w:cs="Calibri"/>
          <w:sz w:val="16"/>
          <w:szCs w:val="16"/>
          <w:shd w:val="clear" w:color="auto" w:fill="FFFFFF"/>
        </w:rPr>
      </w:pPr>
    </w:p>
    <w:p w14:paraId="152A58C4"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Employees</w:t>
      </w:r>
    </w:p>
    <w:p w14:paraId="149C1A44"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DD7BD1" w:rsidRDefault="00BD445F" w:rsidP="00BD445F">
      <w:pPr>
        <w:spacing w:after="0" w:line="240" w:lineRule="auto"/>
        <w:rPr>
          <w:rFonts w:ascii="Calibri" w:hAnsi="Calibri" w:cs="Calibri"/>
          <w:sz w:val="16"/>
          <w:szCs w:val="16"/>
          <w:shd w:val="clear" w:color="auto" w:fill="FFFFFF"/>
        </w:rPr>
      </w:pPr>
    </w:p>
    <w:p w14:paraId="2F436EC0"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Md. Lab. &amp; Emp. Code Ann. §§ 8.3-101 – 8.3-1001; Md. State Fin. &amp; Procure. § 6-226</w:t>
      </w:r>
    </w:p>
    <w:p w14:paraId="23AD2585" w14:textId="77777777" w:rsidR="00BD445F" w:rsidRPr="00DD7BD1" w:rsidRDefault="00BD445F" w:rsidP="00A3637F">
      <w:pPr>
        <w:spacing w:after="0" w:line="240" w:lineRule="auto"/>
        <w:jc w:val="center"/>
        <w:rPr>
          <w:rFonts w:ascii="Calibri" w:hAnsi="Calibri" w:cs="Calibri"/>
          <w:b/>
          <w:bCs/>
          <w:sz w:val="20"/>
          <w:szCs w:val="20"/>
          <w:shd w:val="clear" w:color="auto" w:fill="FFFFFF"/>
          <w:lang w:val="en"/>
        </w:rPr>
      </w:pPr>
    </w:p>
    <w:p w14:paraId="2B9A8D03" w14:textId="35A7C683" w:rsidR="00A3637F" w:rsidRPr="00DD7BD1" w:rsidRDefault="00A3637F" w:rsidP="00A3637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Employment Law Update</w:t>
      </w:r>
      <w:r w:rsidR="00A83553" w:rsidRPr="00DD7BD1">
        <w:rPr>
          <w:rFonts w:ascii="Calibri" w:hAnsi="Calibri" w:cs="Calibri"/>
          <w:b/>
          <w:bCs/>
          <w:sz w:val="28"/>
          <w:szCs w:val="28"/>
          <w:shd w:val="clear" w:color="auto" w:fill="FFFFFF"/>
          <w:lang w:val="en"/>
        </w:rPr>
        <w:t>s</w:t>
      </w:r>
      <w:r w:rsidRPr="00DD7BD1">
        <w:rPr>
          <w:rFonts w:ascii="Calibri" w:hAnsi="Calibri" w:cs="Calibri"/>
          <w:b/>
          <w:bCs/>
          <w:sz w:val="28"/>
          <w:szCs w:val="28"/>
          <w:shd w:val="clear" w:color="auto" w:fill="FFFFFF"/>
          <w:lang w:val="en"/>
        </w:rPr>
        <w:t xml:space="preserve"> Effective – </w:t>
      </w:r>
      <w:r w:rsidRPr="00DD7BD1">
        <w:rPr>
          <w:rFonts w:ascii="Calibri" w:hAnsi="Calibri" w:cs="Calibri"/>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DD7BD1" w14:paraId="316C2FDA" w14:textId="77777777" w:rsidTr="00AB648C">
        <w:tc>
          <w:tcPr>
            <w:tcW w:w="11070" w:type="dxa"/>
            <w:shd w:val="clear" w:color="auto" w:fill="FFFFFF"/>
            <w:tcMar>
              <w:top w:w="300" w:type="dxa"/>
              <w:left w:w="0" w:type="dxa"/>
              <w:bottom w:w="300" w:type="dxa"/>
              <w:right w:w="0" w:type="dxa"/>
            </w:tcMar>
            <w:vAlign w:val="center"/>
            <w:hideMark/>
          </w:tcPr>
          <w:bookmarkEnd w:id="98"/>
          <w:p w14:paraId="6320878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following apply to employers of all sizes, unless otherwise noted.  </w:t>
            </w:r>
            <w:r w:rsidRPr="00DD7BD1">
              <w:rPr>
                <w:rFonts w:ascii="Calibri" w:hAnsi="Calibri" w:cs="Calibri"/>
              </w:rPr>
              <w:t xml:space="preserve"> The learn more, access the September HR WIRE</w:t>
            </w:r>
          </w:p>
          <w:p w14:paraId="71FB2A6A"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4B971A72"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Pay and Benefit Transparency in Job Posting Requirements</w:t>
            </w:r>
            <w:r w:rsidRPr="00DD7BD1">
              <w:rPr>
                <w:rFonts w:ascii="Calibri" w:hAnsi="Calibri" w:cs="Calibri"/>
                <w:b/>
                <w:bCs/>
                <w:shd w:val="clear" w:color="auto" w:fill="FFFFFF"/>
              </w:rPr>
              <w:t xml:space="preserve"> (</w:t>
            </w:r>
            <w:hyperlink r:id="rId804" w:tgtFrame="_blank" w:history="1">
              <w:r w:rsidRPr="00DD7BD1">
                <w:rPr>
                  <w:rStyle w:val="Hyperlink"/>
                  <w:rFonts w:ascii="Calibri" w:hAnsi="Calibri" w:cs="Calibri"/>
                  <w:shd w:val="clear" w:color="auto" w:fill="FFFFFF"/>
                </w:rPr>
                <w:t>MD H 649</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Employers will be required to </w:t>
            </w:r>
            <w:r w:rsidRPr="00DD7BD1">
              <w:rPr>
                <w:rFonts w:ascii="Calibri" w:hAnsi="Calibri" w:cs="Calibri"/>
                <w:b/>
                <w:bCs/>
                <w:shd w:val="clear" w:color="auto" w:fill="FFFFFF"/>
              </w:rPr>
              <w:t>post a wage range</w:t>
            </w:r>
            <w:r w:rsidRPr="00DD7BD1">
              <w:rPr>
                <w:rFonts w:ascii="Calibri" w:hAnsi="Calibri" w:cs="Calibri"/>
                <w:shd w:val="clear" w:color="auto" w:fill="FFFFFF"/>
              </w:rPr>
              <w:t xml:space="preserve"> </w:t>
            </w:r>
            <w:r w:rsidRPr="00DD7BD1">
              <w:rPr>
                <w:rFonts w:ascii="Calibri" w:hAnsi="Calibri" w:cs="Calibri"/>
                <w:b/>
                <w:bCs/>
                <w:shd w:val="clear" w:color="auto" w:fill="FFFFFF"/>
              </w:rPr>
              <w:t>in all job postings for positions that will be physically performed, even in part, in Maryland.</w:t>
            </w:r>
            <w:r w:rsidRPr="00DD7BD1">
              <w:rPr>
                <w:rFonts w:ascii="Calibri" w:hAnsi="Calibri" w:cs="Calibri"/>
                <w:shd w:val="clear" w:color="auto" w:fill="FFFFFF"/>
              </w:rPr>
              <w:t xml:space="preserve"> </w:t>
            </w:r>
          </w:p>
          <w:p w14:paraId="7EDE5DA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Amend job postings to include the required pay information by October 1.</w:t>
            </w:r>
          </w:p>
          <w:p w14:paraId="703FC1C1" w14:textId="77777777" w:rsidR="005A6DB9" w:rsidRPr="00DD7BD1" w:rsidRDefault="005A6DB9" w:rsidP="00AB648C">
            <w:pPr>
              <w:spacing w:after="0" w:line="240" w:lineRule="auto"/>
              <w:rPr>
                <w:rFonts w:ascii="Calibri" w:hAnsi="Calibri" w:cs="Calibri"/>
                <w:b/>
                <w:bCs/>
                <w:u w:val="single"/>
                <w:shd w:val="clear" w:color="auto" w:fill="FFFFFF"/>
              </w:rPr>
            </w:pPr>
          </w:p>
          <w:p w14:paraId="33BBD27E" w14:textId="4284806E" w:rsidR="00A3637F" w:rsidRPr="00DD7BD1" w:rsidRDefault="00A3637F" w:rsidP="00AB648C">
            <w:pPr>
              <w:spacing w:after="0" w:line="240" w:lineRule="auto"/>
              <w:rPr>
                <w:rFonts w:ascii="Calibri" w:hAnsi="Calibri" w:cs="Calibri"/>
                <w:shd w:val="clear" w:color="auto" w:fill="FFFFFF"/>
                <w:lang w:val="en"/>
              </w:rPr>
            </w:pPr>
            <w:r w:rsidRPr="00DD7BD1">
              <w:rPr>
                <w:rFonts w:ascii="Calibri" w:hAnsi="Calibri" w:cs="Calibri"/>
                <w:b/>
                <w:bCs/>
                <w:u w:val="single"/>
                <w:shd w:val="clear" w:color="auto" w:fill="FFFFFF"/>
              </w:rPr>
              <w:t>Written Pay Information Required (</w:t>
            </w:r>
            <w:hyperlink r:id="rId805" w:tgtFrame="_blank" w:history="1">
              <w:r w:rsidRPr="00DD7BD1">
                <w:rPr>
                  <w:rStyle w:val="Hyperlink"/>
                  <w:rFonts w:ascii="Calibri" w:hAnsi="Calibri" w:cs="Calibri"/>
                  <w:shd w:val="clear" w:color="auto" w:fill="FFFFFF"/>
                </w:rPr>
                <w:t>MD H 385</w:t>
              </w:r>
            </w:hyperlink>
            <w:r w:rsidRPr="00DD7BD1">
              <w:rPr>
                <w:rFonts w:ascii="Calibri" w:hAnsi="Calibri" w:cs="Calibri"/>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Two existing pay-related notice obligations for employers have been revised.</w:t>
            </w:r>
          </w:p>
          <w:p w14:paraId="47870B4F" w14:textId="77777777" w:rsidR="00A3637F" w:rsidRPr="00DD7BD1" w:rsidRDefault="00A3637F" w:rsidP="00AB648C">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First, the </w:t>
            </w:r>
            <w:r w:rsidRPr="00DD7BD1">
              <w:rPr>
                <w:rFonts w:ascii="Calibri" w:hAnsi="Calibri" w:cs="Calibri"/>
                <w:b/>
                <w:bCs/>
                <w:shd w:val="clear" w:color="auto" w:fill="FFFFFF"/>
              </w:rPr>
              <w:t>notice</w:t>
            </w:r>
            <w:r w:rsidRPr="00DD7BD1">
              <w:rPr>
                <w:rFonts w:ascii="Calibri" w:hAnsi="Calibri" w:cs="Calibri"/>
                <w:shd w:val="clear" w:color="auto" w:fill="FFFFFF"/>
              </w:rPr>
              <w:t xml:space="preserve"> that employers must give employees at the time of hire, </w:t>
            </w:r>
            <w:r w:rsidRPr="00DD7BD1">
              <w:rPr>
                <w:rFonts w:ascii="Calibri" w:hAnsi="Calibri" w:cs="Calibri"/>
                <w:b/>
                <w:bCs/>
                <w:shd w:val="clear" w:color="auto" w:fill="FFFFFF"/>
              </w:rPr>
              <w:t>detailing their pay rate</w:t>
            </w:r>
            <w:r w:rsidRPr="00DD7BD1">
              <w:rPr>
                <w:rFonts w:ascii="Calibri" w:hAnsi="Calibri" w:cs="Calibri"/>
                <w:shd w:val="clear" w:color="auto" w:fill="FFFFFF"/>
              </w:rPr>
              <w:t xml:space="preserve">, </w:t>
            </w:r>
            <w:r w:rsidRPr="00DD7BD1">
              <w:rPr>
                <w:rFonts w:ascii="Calibri" w:hAnsi="Calibri" w:cs="Calibri"/>
                <w:b/>
                <w:bCs/>
                <w:shd w:val="clear" w:color="auto" w:fill="FFFFFF"/>
              </w:rPr>
              <w:t>scheduled paydays, and leave benefits</w:t>
            </w:r>
            <w:r w:rsidRPr="00DD7BD1">
              <w:rPr>
                <w:rFonts w:ascii="Calibri" w:hAnsi="Calibri" w:cs="Calibri"/>
                <w:shd w:val="clear" w:color="auto" w:fill="FFFFFF"/>
              </w:rPr>
              <w:t xml:space="preserve">, will now need to </w:t>
            </w:r>
            <w:r w:rsidRPr="00DD7BD1">
              <w:rPr>
                <w:rFonts w:ascii="Calibri" w:hAnsi="Calibri" w:cs="Calibri"/>
                <w:b/>
                <w:bCs/>
                <w:shd w:val="clear" w:color="auto" w:fill="FFFFFF"/>
              </w:rPr>
              <w:t>be in </w:t>
            </w:r>
            <w:r w:rsidRPr="00DD7BD1">
              <w:rPr>
                <w:rFonts w:ascii="Calibri" w:hAnsi="Calibri" w:cs="Calibri"/>
                <w:b/>
                <w:bCs/>
                <w:i/>
                <w:iCs/>
                <w:shd w:val="clear" w:color="auto" w:fill="FFFFFF"/>
              </w:rPr>
              <w:t>writing</w:t>
            </w:r>
            <w:r w:rsidRPr="00DD7BD1">
              <w:rPr>
                <w:rFonts w:ascii="Calibri" w:hAnsi="Calibri" w:cs="Calibri"/>
                <w:b/>
                <w:bCs/>
                <w:shd w:val="clear" w:color="auto" w:fill="FFFFFF"/>
              </w:rPr>
              <w:t>.</w:t>
            </w:r>
          </w:p>
          <w:p w14:paraId="22C99FE1"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will be required to </w:t>
            </w:r>
            <w:r w:rsidRPr="00DD7BD1">
              <w:rPr>
                <w:rFonts w:ascii="Calibri" w:hAnsi="Calibri" w:cs="Calibri"/>
                <w:b/>
                <w:bCs/>
                <w:shd w:val="clear" w:color="auto" w:fill="FFFFFF"/>
              </w:rPr>
              <w:t>provide the following written information on employees’ pay stubs</w:t>
            </w:r>
            <w:r w:rsidRPr="00DD7BD1">
              <w:rPr>
                <w:rFonts w:ascii="Calibri" w:hAnsi="Calibri" w:cs="Calibri"/>
                <w:shd w:val="clear" w:color="auto" w:fill="FFFFFF"/>
              </w:rPr>
              <w:t>, whether paper or electronic:</w:t>
            </w:r>
          </w:p>
          <w:p w14:paraId="2C074DD6"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Employer’s business name (as it’s registered with the state), address, and telephone number</w:t>
            </w:r>
          </w:p>
          <w:p w14:paraId="2F41CF14"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Date of payment and the beginning and end dates of </w:t>
            </w:r>
            <w:proofErr w:type="gramStart"/>
            <w:r w:rsidRPr="00DD7BD1">
              <w:rPr>
                <w:rFonts w:ascii="Calibri" w:hAnsi="Calibri" w:cs="Calibri"/>
                <w:shd w:val="clear" w:color="auto" w:fill="FFFFFF"/>
              </w:rPr>
              <w:t>the pay period the</w:t>
            </w:r>
            <w:proofErr w:type="gramEnd"/>
            <w:r w:rsidRPr="00DD7BD1">
              <w:rPr>
                <w:rFonts w:ascii="Calibri" w:hAnsi="Calibri" w:cs="Calibri"/>
                <w:shd w:val="clear" w:color="auto" w:fill="FFFFFF"/>
              </w:rPr>
              <w:t xml:space="preserve"> payment covers</w:t>
            </w:r>
          </w:p>
          <w:p w14:paraId="0AB1FEEC"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rate of pay</w:t>
            </w:r>
          </w:p>
          <w:p w14:paraId="698D503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gross and net pay earned during the pay period</w:t>
            </w:r>
          </w:p>
          <w:p w14:paraId="6D4C3050"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Name and amount of all deductions</w:t>
            </w:r>
          </w:p>
          <w:p w14:paraId="1EE66C71"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List of additional bases of pay (e.g., bonuses or commissions)</w:t>
            </w:r>
          </w:p>
          <w:p w14:paraId="08DAFCC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nonexempt employees, the number of hours they worked during the pay period</w:t>
            </w:r>
          </w:p>
          <w:p w14:paraId="5420FE77"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employees paid on a piece rate basis, the piece rates of pay and the number of pieces completed at each rate</w:t>
            </w:r>
          </w:p>
          <w:p w14:paraId="10CF0B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state will create a pay stub template for employers to use, though it hasn’t </w:t>
            </w:r>
            <w:proofErr w:type="gramStart"/>
            <w:r w:rsidRPr="00DD7BD1">
              <w:rPr>
                <w:rFonts w:ascii="Calibri" w:hAnsi="Calibri" w:cs="Calibri"/>
                <w:shd w:val="clear" w:color="auto" w:fill="FFFFFF"/>
              </w:rPr>
              <w:t>said</w:t>
            </w:r>
            <w:proofErr w:type="gramEnd"/>
            <w:r w:rsidRPr="00DD7BD1">
              <w:rPr>
                <w:rFonts w:ascii="Calibri" w:hAnsi="Calibri" w:cs="Calibri"/>
                <w:shd w:val="clear" w:color="auto" w:fill="FFFFFF"/>
              </w:rPr>
              <w:t xml:space="preserve"> when it will be made available.</w:t>
            </w:r>
          </w:p>
          <w:p w14:paraId="72009E2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Revise your new hire paperwork to include the new hire notice in </w:t>
            </w:r>
            <w:r w:rsidRPr="00DD7BD1">
              <w:rPr>
                <w:rFonts w:ascii="Calibri" w:hAnsi="Calibri" w:cs="Calibri"/>
                <w:i/>
                <w:iCs/>
                <w:shd w:val="clear" w:color="auto" w:fill="FFFFFF"/>
              </w:rPr>
              <w:t>writing</w:t>
            </w:r>
            <w:r w:rsidRPr="00DD7BD1">
              <w:rPr>
                <w:rFonts w:ascii="Calibri" w:hAnsi="Calibri" w:cs="Calibri"/>
                <w:shd w:val="clear" w:color="auto" w:fill="FFFFFF"/>
              </w:rPr>
              <w:t>. Ensure your pay stubs are modified to contain the specific written information required by the law.</w:t>
            </w:r>
          </w:p>
          <w:p w14:paraId="1CC02CFD"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138AB244"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Military Status Protected (</w:t>
            </w:r>
            <w:hyperlink r:id="rId806" w:tgtFrame="_blank" w:history="1">
              <w:r w:rsidRPr="00DD7BD1">
                <w:rPr>
                  <w:rStyle w:val="Hyperlink"/>
                  <w:rFonts w:ascii="Calibri" w:hAnsi="Calibri" w:cs="Calibri"/>
                  <w:shd w:val="clear" w:color="auto" w:fill="FFFFFF"/>
                </w:rPr>
                <w:t>MD H 598</w:t>
              </w:r>
            </w:hyperlink>
            <w:r w:rsidRPr="00DD7BD1">
              <w:rPr>
                <w:rFonts w:ascii="Calibri" w:hAnsi="Calibri" w:cs="Calibri"/>
                <w:shd w:val="clear" w:color="auto" w:fill="FFFFFF"/>
                <w:lang w:val="en"/>
              </w:rPr>
              <w:t>)</w:t>
            </w:r>
            <w:r w:rsidRPr="00DD7BD1">
              <w:rPr>
                <w:rFonts w:ascii="Calibri" w:hAnsi="Calibri" w:cs="Calibri"/>
                <w:b/>
                <w:bCs/>
                <w:u w:val="single"/>
                <w:shd w:val="clear" w:color="auto" w:fill="FFFFFF"/>
              </w:rPr>
              <w:br/>
            </w:r>
            <w:r w:rsidRPr="00DD7BD1">
              <w:rPr>
                <w:rFonts w:ascii="Calibri" w:hAnsi="Calibri" w:cs="Calibri"/>
                <w:shd w:val="clear" w:color="auto" w:fill="FFFFFF"/>
              </w:rPr>
              <w:t xml:space="preserve">The state has updated its </w:t>
            </w:r>
            <w:r w:rsidRPr="00DD7BD1">
              <w:rPr>
                <w:rFonts w:ascii="Calibri" w:hAnsi="Calibri" w:cs="Calibri"/>
                <w:b/>
                <w:bCs/>
                <w:shd w:val="clear" w:color="auto" w:fill="FFFFFF"/>
              </w:rPr>
              <w:t>antidiscrimination law to include military status</w:t>
            </w:r>
            <w:r w:rsidRPr="00DD7BD1">
              <w:rPr>
                <w:rFonts w:ascii="Calibri" w:hAnsi="Calibri" w:cs="Calibri"/>
                <w:shd w:val="clear" w:color="auto" w:fill="FFFFFF"/>
              </w:rPr>
              <w:t xml:space="preserve"> as a protected category. </w:t>
            </w:r>
            <w:r w:rsidRPr="00DD7BD1">
              <w:rPr>
                <w:rFonts w:ascii="Calibri" w:hAnsi="Calibri" w:cs="Calibri"/>
                <w:i/>
                <w:iCs/>
                <w:shd w:val="clear" w:color="auto" w:fill="FFFFFF"/>
              </w:rPr>
              <w:t>Military status </w:t>
            </w:r>
            <w:r w:rsidRPr="00DD7BD1">
              <w:rPr>
                <w:rFonts w:ascii="Calibri" w:hAnsi="Calibri" w:cs="Calibri"/>
                <w:shd w:val="clear" w:color="auto" w:fill="FFFFFF"/>
              </w:rPr>
              <w:t xml:space="preserve">is defined as being a member of the uniformed services or a reserve component of the U.S. Armed Forces or </w:t>
            </w:r>
            <w:r w:rsidRPr="00DD7BD1">
              <w:rPr>
                <w:rFonts w:ascii="Calibri" w:hAnsi="Calibri" w:cs="Calibri"/>
                <w:b/>
                <w:bCs/>
                <w:shd w:val="clear" w:color="auto" w:fill="FFFFFF"/>
              </w:rPr>
              <w:t>being a servicemember’s dependent</w:t>
            </w:r>
            <w:r w:rsidRPr="00DD7BD1">
              <w:rPr>
                <w:rFonts w:ascii="Calibri" w:hAnsi="Calibri" w:cs="Calibri"/>
                <w:shd w:val="clear" w:color="auto" w:fill="FFFFFF"/>
              </w:rPr>
              <w:t xml:space="preserve">. </w:t>
            </w:r>
          </w:p>
          <w:p w14:paraId="4AE591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Update your Equal Employment Opportunity (EEO) policy, and any other policies that include protected classes, to include military status, if it’s not included already.</w:t>
            </w:r>
          </w:p>
          <w:p w14:paraId="6413664D" w14:textId="77777777" w:rsidR="00A3637F" w:rsidRPr="00DD7BD1" w:rsidRDefault="00A3637F" w:rsidP="00AB648C">
            <w:pPr>
              <w:spacing w:after="0" w:line="240" w:lineRule="auto"/>
              <w:rPr>
                <w:rFonts w:ascii="Calibri" w:hAnsi="Calibri" w:cs="Calibri"/>
                <w:shd w:val="clear" w:color="auto" w:fill="FFFFFF"/>
              </w:rPr>
            </w:pPr>
          </w:p>
          <w:p w14:paraId="574895D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Equal Pay Law Expanded (</w:t>
            </w:r>
            <w:hyperlink r:id="rId807" w:tgtFrame="_blank" w:history="1">
              <w:r w:rsidRPr="00DD7BD1">
                <w:rPr>
                  <w:rStyle w:val="Hyperlink"/>
                  <w:rFonts w:ascii="Calibri" w:hAnsi="Calibri" w:cs="Calibri"/>
                  <w:shd w:val="clear" w:color="auto" w:fill="FFFFFF"/>
                </w:rPr>
                <w:t>MD H 602</w:t>
              </w:r>
            </w:hyperlink>
            <w:r w:rsidRPr="00DD7BD1">
              <w:rPr>
                <w:rFonts w:ascii="Calibri" w:hAnsi="Calibri" w:cs="Calibri"/>
                <w:shd w:val="clear" w:color="auto" w:fill="FFFFFF"/>
                <w:lang w:val="en"/>
              </w:rPr>
              <w:t xml:space="preserve"> &amp; </w:t>
            </w:r>
            <w:hyperlink r:id="rId808" w:tgtFrame="_blank" w:history="1">
              <w:r w:rsidRPr="00DD7BD1">
                <w:rPr>
                  <w:rStyle w:val="Hyperlink"/>
                  <w:rFonts w:ascii="Calibri" w:hAnsi="Calibri" w:cs="Calibri"/>
                  <w:shd w:val="clear" w:color="auto" w:fill="FFFFFF"/>
                </w:rPr>
                <w:t>MD H 1397</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The state’s equal pay law has been expanded to include </w:t>
            </w:r>
            <w:r w:rsidRPr="00DD7BD1">
              <w:rPr>
                <w:rFonts w:ascii="Calibri" w:hAnsi="Calibri" w:cs="Calibri"/>
                <w:b/>
                <w:bCs/>
                <w:shd w:val="clear" w:color="auto" w:fill="FFFFFF"/>
              </w:rPr>
              <w:t>additional protected characteristics</w:t>
            </w:r>
            <w:r w:rsidRPr="00DD7BD1">
              <w:rPr>
                <w:rFonts w:ascii="Calibri" w:hAnsi="Calibri" w:cs="Calibri"/>
                <w:shd w:val="clear" w:color="auto" w:fill="FFFFFF"/>
              </w:rPr>
              <w:t xml:space="preserve">. </w:t>
            </w:r>
          </w:p>
          <w:p w14:paraId="16A9AC08"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will be </w:t>
            </w:r>
            <w:r w:rsidRPr="00DD7BD1">
              <w:rPr>
                <w:rFonts w:ascii="Calibri" w:hAnsi="Calibri" w:cs="Calibri"/>
                <w:b/>
                <w:bCs/>
                <w:shd w:val="clear" w:color="auto" w:fill="FFFFFF"/>
              </w:rPr>
              <w:t>required to ensure equal pay and job opportunities between employees of different sexual orientations, races, and religious beliefs, unless there are bona fide reasons for a discrepancy</w:t>
            </w:r>
            <w:r w:rsidRPr="00DD7BD1">
              <w:rPr>
                <w:rFonts w:ascii="Calibri" w:hAnsi="Calibri" w:cs="Calibri"/>
                <w:shd w:val="clear" w:color="auto" w:fill="FFFFFF"/>
              </w:rPr>
              <w:t>. Additionally, the law specifically prohibits offering less favorable job opportunities to those with disabilities. Previously, sex and gender identity were the only protected characteristics under the state’s equal pay law.</w:t>
            </w:r>
          </w:p>
          <w:p w14:paraId="06396E99"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lastRenderedPageBreak/>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p>
          <w:p w14:paraId="6454A631" w14:textId="77777777" w:rsidR="00A3637F" w:rsidRPr="00DD7BD1" w:rsidRDefault="00A3637F" w:rsidP="00AB648C">
            <w:pPr>
              <w:spacing w:after="0" w:line="240" w:lineRule="auto"/>
              <w:rPr>
                <w:rFonts w:ascii="Calibri" w:hAnsi="Calibri" w:cs="Calibri"/>
                <w:b/>
                <w:bCs/>
                <w:u w:val="single"/>
                <w:shd w:val="clear" w:color="auto" w:fill="FFFFFF"/>
              </w:rPr>
            </w:pPr>
          </w:p>
          <w:p w14:paraId="1E78920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Paid Family Leave Insurance Program (</w:t>
            </w:r>
            <w:hyperlink r:id="rId809" w:history="1">
              <w:r w:rsidRPr="00DD7BD1">
                <w:rPr>
                  <w:rStyle w:val="Hyperlink"/>
                  <w:rFonts w:ascii="Calibri" w:hAnsi="Calibri" w:cs="Calibri"/>
                  <w:shd w:val="clear" w:color="auto" w:fill="FFFFFF"/>
                </w:rPr>
                <w:t>SB0485</w:t>
              </w:r>
            </w:hyperlink>
            <w:r w:rsidRPr="00DD7BD1">
              <w:rPr>
                <w:rFonts w:ascii="Calibri" w:hAnsi="Calibri" w:cs="Calibri"/>
                <w:color w:val="2E74B5" w:themeColor="accent5" w:themeShade="BF"/>
                <w:shd w:val="clear" w:color="auto" w:fill="FFFFFF"/>
              </w:rPr>
              <w:t>)</w:t>
            </w:r>
          </w:p>
          <w:p w14:paraId="6CC3CB8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Maryland legislators passed  a law modifying the </w:t>
            </w:r>
            <w:r w:rsidRPr="00DD7BD1">
              <w:rPr>
                <w:rFonts w:ascii="Calibri" w:hAnsi="Calibri" w:cs="Calibri"/>
                <w:u w:val="single"/>
                <w:shd w:val="clear" w:color="auto" w:fill="FFFFFF"/>
              </w:rPr>
              <w:t>timeline and deadlines for the Family and Medical Leave Insurance Program</w:t>
            </w:r>
            <w:r w:rsidRPr="00DD7BD1">
              <w:rPr>
                <w:rFonts w:ascii="Calibri" w:hAnsi="Calibri" w:cs="Calibri"/>
                <w:shd w:val="clear" w:color="auto" w:fill="FFFFFF"/>
              </w:rPr>
              <w:t xml:space="preserve"> (“FAMLI”), a program first established in a </w:t>
            </w:r>
            <w:hyperlink r:id="rId810" w:history="1">
              <w:r w:rsidRPr="00DD7BD1">
                <w:rPr>
                  <w:rStyle w:val="Hyperlink"/>
                  <w:rFonts w:ascii="Calibri" w:hAnsi="Calibri" w:cs="Calibri"/>
                  <w:shd w:val="clear" w:color="auto" w:fill="FFFFFF"/>
                </w:rPr>
                <w:t>2022 bill</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 The start date for required contributions changed from October 1, 2024, to </w:t>
            </w:r>
            <w:r w:rsidRPr="00DD7BD1">
              <w:rPr>
                <w:rFonts w:ascii="Calibri" w:hAnsi="Calibri" w:cs="Calibri"/>
                <w:b/>
                <w:bCs/>
                <w:shd w:val="clear" w:color="auto" w:fill="FFFFFF"/>
              </w:rPr>
              <w:t>July 1, 2025</w:t>
            </w:r>
            <w:r w:rsidRPr="00DD7BD1">
              <w:rPr>
                <w:rFonts w:ascii="Calibri" w:hAnsi="Calibri" w:cs="Calibri"/>
                <w:shd w:val="clear" w:color="auto" w:fill="FFFFFF"/>
              </w:rPr>
              <w:t>. This means payroll deductions will begin on July 1, 2025, and employers will remit the first payment in October 2025</w:t>
            </w:r>
          </w:p>
          <w:p w14:paraId="5E250997" w14:textId="77777777" w:rsidR="00CD70B8" w:rsidRPr="00DD7BD1" w:rsidRDefault="00CD70B8" w:rsidP="00AB648C">
            <w:pPr>
              <w:spacing w:after="0" w:line="240" w:lineRule="auto"/>
              <w:rPr>
                <w:rFonts w:ascii="Calibri" w:hAnsi="Calibri" w:cs="Calibri"/>
                <w:shd w:val="clear" w:color="auto" w:fill="FFFFFF"/>
              </w:rPr>
            </w:pPr>
          </w:p>
          <w:p w14:paraId="4DEDD38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Maryland Adopts Heat Stress Standards – </w:t>
            </w:r>
            <w:r w:rsidRPr="00DD7BD1">
              <w:rPr>
                <w:rFonts w:ascii="Calibri" w:hAnsi="Calibri" w:cs="Calibri"/>
                <w:b/>
                <w:bCs/>
                <w:color w:val="C00000"/>
                <w:sz w:val="28"/>
                <w:szCs w:val="28"/>
                <w:shd w:val="clear" w:color="auto" w:fill="FFFFFF"/>
              </w:rPr>
              <w:t>September 20, 2024</w:t>
            </w:r>
          </w:p>
          <w:p w14:paraId="37D99F1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w:t>
            </w:r>
            <w:hyperlink r:id="rId811" w:anchor="_Toc177385268" w:tgtFrame="_blank" w:history="1">
              <w:r w:rsidRPr="00DD7BD1">
                <w:rPr>
                  <w:rStyle w:val="Hyperlink"/>
                  <w:rFonts w:ascii="Calibri" w:hAnsi="Calibri" w:cs="Calibri"/>
                  <w:shd w:val="clear" w:color="auto" w:fill="FFFFFF"/>
                </w:rPr>
                <w:t>Heat Stress Standards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were published in the Maryland Register on September 20, 2024. To read the full text of the adopted standards, see the </w:t>
            </w:r>
            <w:hyperlink r:id="rId812" w:anchor="_Toc172634334" w:tgtFrame="_blank" w:history="1">
              <w:r w:rsidRPr="00DD7BD1">
                <w:rPr>
                  <w:rStyle w:val="Hyperlink"/>
                  <w:rFonts w:ascii="Calibri" w:hAnsi="Calibri" w:cs="Calibri"/>
                  <w:shd w:val="clear" w:color="auto" w:fill="FFFFFF"/>
                </w:rPr>
                <w:t>Notice of Proposed Action 24-081-P</w:t>
              </w:r>
            </w:hyperlink>
            <w:r w:rsidRPr="00DD7BD1">
              <w:rPr>
                <w:rFonts w:ascii="Calibri" w:hAnsi="Calibri" w:cs="Calibri"/>
                <w:color w:val="2E74B5" w:themeColor="accent5" w:themeShade="BF"/>
                <w:shd w:val="clear" w:color="auto" w:fill="FFFFFF"/>
              </w:rPr>
              <w:t>.</w:t>
            </w:r>
          </w:p>
        </w:tc>
      </w:tr>
    </w:tbl>
    <w:p w14:paraId="4441CE77" w14:textId="77777777" w:rsidR="00A3637F" w:rsidRPr="00DD7BD1" w:rsidRDefault="00A3637F" w:rsidP="001C5F42">
      <w:pPr>
        <w:spacing w:after="0" w:line="240" w:lineRule="auto"/>
        <w:jc w:val="center"/>
        <w:rPr>
          <w:rFonts w:ascii="Calibri" w:hAnsi="Calibri" w:cs="Calibri"/>
          <w:b/>
          <w:bCs/>
          <w:sz w:val="28"/>
          <w:szCs w:val="28"/>
          <w:shd w:val="clear" w:color="auto" w:fill="FFFFFF"/>
        </w:rPr>
      </w:pPr>
    </w:p>
    <w:p w14:paraId="3A72F757" w14:textId="6C8BA4E5"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Prohibits Vaping in the Workplace – </w:t>
      </w:r>
      <w:r w:rsidRPr="00DD7BD1">
        <w:rPr>
          <w:rFonts w:ascii="Calibri" w:hAnsi="Calibri" w:cs="Calibri"/>
          <w:b/>
          <w:bCs/>
          <w:color w:val="C00000"/>
          <w:sz w:val="28"/>
          <w:szCs w:val="28"/>
          <w:shd w:val="clear" w:color="auto" w:fill="FFFFFF"/>
        </w:rPr>
        <w:t>July 1, 2024</w:t>
      </w:r>
    </w:p>
    <w:p w14:paraId="67879646"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Effective July 1, 2024, Maryland’s Clean Indoor Air Act will be expanded to prohibit vaping in almost all indoor places of employment. </w:t>
      </w:r>
      <w:r w:rsidRPr="00DD7BD1">
        <w:rPr>
          <w:rFonts w:ascii="Calibri" w:hAnsi="Calibri" w:cs="Calibri"/>
          <w:i/>
          <w:iCs/>
          <w:shd w:val="clear" w:color="auto" w:fill="FFFFFF"/>
        </w:rPr>
        <w:t>Vaping </w:t>
      </w:r>
      <w:r w:rsidRPr="00DD7BD1">
        <w:rPr>
          <w:rFonts w:ascii="Calibri" w:hAnsi="Calibri" w:cs="Calibri"/>
          <w:shd w:val="clear" w:color="auto" w:fill="FFFFFF"/>
        </w:rPr>
        <w:t xml:space="preserve">includes using any electronic smoking device or other device that allows the user to inhale aerosol tobacco, cannabis, or hemp. Employers are required to post a sign that says “NO SMOKING OR VAPING” near every </w:t>
      </w:r>
      <w:r w:rsidRPr="00DD7BD1">
        <w:rPr>
          <w:rFonts w:ascii="Calibri" w:hAnsi="Calibri" w:cs="Calibri"/>
          <w:b/>
          <w:bCs/>
          <w:shd w:val="clear" w:color="auto" w:fill="FFFFFF"/>
        </w:rPr>
        <w:t xml:space="preserve">public </w:t>
      </w:r>
      <w:r w:rsidRPr="00DD7BD1">
        <w:rPr>
          <w:rFonts w:ascii="Calibri" w:hAnsi="Calibri" w:cs="Calibri"/>
          <w:shd w:val="clear" w:color="auto" w:fill="FFFFFF"/>
        </w:rPr>
        <w:t xml:space="preserve">entrance to their place of employment. </w:t>
      </w:r>
      <w:hyperlink r:id="rId813" w:tgtFrame="_blank" w:history="1">
        <w:r w:rsidRPr="00DD7BD1">
          <w:rPr>
            <w:rStyle w:val="Hyperlink"/>
            <w:rFonts w:ascii="Calibri" w:hAnsi="Calibri" w:cs="Calibri"/>
            <w:shd w:val="clear" w:color="auto" w:fill="FFFFFF"/>
          </w:rPr>
          <w:t>MD H 238</w:t>
        </w:r>
      </w:hyperlink>
      <w:r w:rsidRPr="00DD7BD1">
        <w:rPr>
          <w:rFonts w:ascii="Calibri" w:hAnsi="Calibri" w:cs="Calibri"/>
          <w:shd w:val="clear" w:color="auto" w:fill="FFFFFF"/>
        </w:rPr>
        <w:t> </w:t>
      </w:r>
    </w:p>
    <w:p w14:paraId="21B1BB81" w14:textId="77777777" w:rsidR="001C5F42" w:rsidRPr="00DD7BD1" w:rsidRDefault="001C5F42" w:rsidP="001C5F42">
      <w:pPr>
        <w:spacing w:after="0" w:line="240" w:lineRule="auto"/>
        <w:jc w:val="center"/>
        <w:rPr>
          <w:rFonts w:ascii="Calibri" w:hAnsi="Calibri" w:cs="Calibri"/>
          <w:b/>
          <w:bCs/>
          <w:shd w:val="clear" w:color="auto" w:fill="FFFFFF"/>
        </w:rPr>
      </w:pPr>
    </w:p>
    <w:p w14:paraId="4F3093FF" w14:textId="4BFF717E"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Montgomery County Increases Minimum Wage </w:t>
      </w:r>
      <w:r w:rsidRPr="00DD7BD1">
        <w:rPr>
          <w:rFonts w:ascii="Calibri" w:hAnsi="Calibri" w:cs="Calibri"/>
          <w:b/>
          <w:bCs/>
          <w:color w:val="C00000"/>
          <w:sz w:val="28"/>
          <w:szCs w:val="28"/>
          <w:shd w:val="clear" w:color="auto" w:fill="FFFFFF"/>
        </w:rPr>
        <w:t>– July 1, 2024</w:t>
      </w:r>
    </w:p>
    <w:p w14:paraId="15AA7CE0"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2024, the minimum hourly wage in Montgomery County will increase as follows: </w:t>
      </w:r>
    </w:p>
    <w:p w14:paraId="48854BA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1–10 employees: $15</w:t>
      </w:r>
    </w:p>
    <w:p w14:paraId="3CB535CB"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11–50 employees: $15.50</w:t>
      </w:r>
    </w:p>
    <w:p w14:paraId="0EDD6F96"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51 or more employees: $17.15</w:t>
      </w:r>
    </w:p>
    <w:p w14:paraId="600E81D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is tax exempt under § 501(c)(3): $15.50</w:t>
      </w:r>
    </w:p>
    <w:p w14:paraId="2798FA37"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provides </w:t>
      </w:r>
      <w:r w:rsidRPr="00DD7BD1">
        <w:rPr>
          <w:rFonts w:ascii="Calibri" w:hAnsi="Calibri" w:cs="Calibri"/>
          <w:i/>
          <w:iCs/>
          <w:shd w:val="clear" w:color="auto" w:fill="FFFFFF"/>
        </w:rPr>
        <w:t>home health services</w:t>
      </w:r>
      <w:r w:rsidRPr="00DD7BD1">
        <w:rPr>
          <w:rFonts w:ascii="Calibri" w:hAnsi="Calibri" w:cs="Calibri"/>
          <w:shd w:val="clear" w:color="auto" w:fill="FFFFFF"/>
        </w:rPr>
        <w:t> or </w:t>
      </w:r>
      <w:r w:rsidRPr="00DD7BD1">
        <w:rPr>
          <w:rFonts w:ascii="Calibri" w:hAnsi="Calibri" w:cs="Calibri"/>
          <w:i/>
          <w:iCs/>
          <w:shd w:val="clear" w:color="auto" w:fill="FFFFFF"/>
        </w:rPr>
        <w:t>home or community-based services</w:t>
      </w:r>
      <w:r w:rsidRPr="00DD7BD1">
        <w:rPr>
          <w:rFonts w:ascii="Calibri" w:hAnsi="Calibri" w:cs="Calibri"/>
          <w:shd w:val="clear" w:color="auto" w:fill="FFFFFF"/>
        </w:rPr>
        <w:t> (as defined by </w:t>
      </w:r>
      <w:hyperlink r:id="rId814" w:tgtFrame="_blank" w:history="1">
        <w:r w:rsidRPr="00DD7BD1">
          <w:rPr>
            <w:rStyle w:val="Hyperlink"/>
            <w:rFonts w:ascii="Calibri" w:hAnsi="Calibri" w:cs="Calibri"/>
            <w:shd w:val="clear" w:color="auto" w:fill="FFFFFF"/>
          </w:rPr>
          <w:t>federal law</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and receives at least 75% of gross revenues through Medicaid: $15.50</w:t>
      </w:r>
    </w:p>
    <w:p w14:paraId="32C3DE48"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minimum base wage for tipped employees remains $4 per hour.</w:t>
      </w:r>
    </w:p>
    <w:p w14:paraId="1F3342E1" w14:textId="77777777" w:rsidR="001C5F42" w:rsidRPr="00DD7BD1" w:rsidRDefault="001C5F42" w:rsidP="001C5F42">
      <w:p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More information can be found </w:t>
      </w:r>
      <w:hyperlink r:id="rId815" w:anchor="Transition" w:tgtFrame="_blank" w:history="1">
        <w:r w:rsidRPr="00DD7BD1">
          <w:rPr>
            <w:rStyle w:val="Hyperlink"/>
            <w:rFonts w:ascii="Calibri" w:hAnsi="Calibri" w:cs="Calibri"/>
            <w:shd w:val="clear" w:color="auto" w:fill="FFFFFF"/>
          </w:rPr>
          <w:t>here</w:t>
        </w:r>
      </w:hyperlink>
      <w:r w:rsidRPr="00DD7BD1">
        <w:rPr>
          <w:rFonts w:ascii="Calibri" w:hAnsi="Calibri" w:cs="Calibri"/>
          <w:color w:val="2E74B5" w:themeColor="accent5" w:themeShade="BF"/>
          <w:shd w:val="clear" w:color="auto" w:fill="FFFFFF"/>
        </w:rPr>
        <w:t>.</w:t>
      </w:r>
    </w:p>
    <w:p w14:paraId="2FB5093F"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1D6A262F" w14:textId="4BDBCA4A" w:rsidR="00472E17" w:rsidRPr="00DD7BD1" w:rsidRDefault="00472E17" w:rsidP="00472E17">
      <w:pPr>
        <w:pStyle w:val="Heading1"/>
        <w:shd w:val="clear" w:color="auto" w:fill="FFFFFF"/>
        <w:spacing w:before="0" w:beforeAutospacing="0" w:after="0" w:afterAutospacing="0" w:line="264" w:lineRule="atLeast"/>
        <w:jc w:val="center"/>
        <w:rPr>
          <w:rStyle w:val="Strong"/>
          <w:rFonts w:ascii="Calibri" w:hAnsi="Calibri" w:cs="Calibri"/>
          <w:b/>
          <w:bCs/>
          <w:kern w:val="0"/>
          <w:sz w:val="28"/>
          <w:szCs w:val="28"/>
        </w:rPr>
      </w:pPr>
      <w:r w:rsidRPr="00DD7BD1">
        <w:rPr>
          <w:rStyle w:val="Strong"/>
          <w:rFonts w:ascii="Calibri" w:hAnsi="Calibri" w:cs="Calibri"/>
          <w:b/>
          <w:bCs/>
          <w:kern w:val="0"/>
          <w:sz w:val="28"/>
          <w:szCs w:val="28"/>
        </w:rPr>
        <w:t>FAQs Released - State’s Paid Family and Medical Leave Insurance Program</w:t>
      </w:r>
    </w:p>
    <w:p w14:paraId="0C4797F1" w14:textId="77777777" w:rsidR="00472E17" w:rsidRPr="00DD7BD1" w:rsidRDefault="00472E17" w:rsidP="00472E1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Maryland Department of Labor’s Division of Family and Medical Leave Insurance (FAMLI) has released a detailed </w:t>
      </w:r>
      <w:hyperlink r:id="rId816" w:tgtFrame="_blank" w:history="1">
        <w:r w:rsidRPr="00DD7BD1">
          <w:rPr>
            <w:rStyle w:val="Hyperlink"/>
            <w:rFonts w:ascii="Calibri" w:eastAsia="Times New Roman" w:hAnsi="Calibri" w:cs="Calibri"/>
            <w:szCs w:val="20"/>
          </w:rPr>
          <w:t>FAQ document</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addressing 59 questions surrounding the new paid family and medical leave system that is (now) slated to launch in 2026.</w:t>
      </w:r>
    </w:p>
    <w:p w14:paraId="6256FCB1" w14:textId="77777777" w:rsidR="0073426F" w:rsidRPr="00DD7BD1" w:rsidRDefault="0073426F" w:rsidP="00472E17">
      <w:pPr>
        <w:spacing w:after="0" w:line="240" w:lineRule="auto"/>
        <w:jc w:val="both"/>
        <w:rPr>
          <w:rFonts w:ascii="Calibri" w:hAnsi="Calibri" w:cs="Calibri"/>
          <w:spacing w:val="3"/>
          <w:sz w:val="16"/>
          <w:szCs w:val="16"/>
          <w:shd w:val="clear" w:color="auto" w:fill="FFFFFF"/>
        </w:rPr>
      </w:pPr>
    </w:p>
    <w:p w14:paraId="4C72F541" w14:textId="77777777" w:rsidR="0073426F" w:rsidRPr="00DD7BD1" w:rsidRDefault="0073426F" w:rsidP="0073426F">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Maryland Passes </w:t>
      </w:r>
      <w:bookmarkStart w:id="100" w:name="_Hlk167191983"/>
      <w:r w:rsidRPr="00DD7BD1">
        <w:rPr>
          <w:rFonts w:ascii="Calibri" w:hAnsi="Calibri" w:cs="Calibri"/>
          <w:sz w:val="28"/>
          <w:szCs w:val="28"/>
        </w:rPr>
        <w:t>Pay Transparency Law</w:t>
      </w:r>
    </w:p>
    <w:bookmarkEnd w:id="100"/>
    <w:p w14:paraId="71379FB8"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 xml:space="preserve">Maryland Governor Wes Moore signed a pay transparency requirement into law on April 25, 2024, requiring that all employers in Maryland include wage ranges and benefit information in all job postings as of </w:t>
      </w:r>
      <w:r w:rsidRPr="00DD7BD1">
        <w:rPr>
          <w:rFonts w:ascii="Calibri" w:hAnsi="Calibri" w:cs="Calibri"/>
          <w:color w:val="C00000"/>
          <w:sz w:val="22"/>
          <w:szCs w:val="22"/>
        </w:rPr>
        <w:t>October 1, 2024</w:t>
      </w:r>
      <w:r w:rsidRPr="00DD7BD1">
        <w:rPr>
          <w:rFonts w:ascii="Calibri" w:hAnsi="Calibri" w:cs="Calibri"/>
          <w:color w:val="333333"/>
          <w:sz w:val="22"/>
          <w:szCs w:val="22"/>
        </w:rPr>
        <w:t>.</w:t>
      </w:r>
    </w:p>
    <w:p w14:paraId="7DF73F44"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16"/>
          <w:szCs w:val="16"/>
        </w:rPr>
      </w:pPr>
    </w:p>
    <w:p w14:paraId="1143036D" w14:textId="77777777" w:rsidR="0073426F" w:rsidRPr="00DD7BD1" w:rsidRDefault="0073426F" w:rsidP="0073426F">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sz w:val="22"/>
          <w:szCs w:val="22"/>
          <w:shd w:val="clear" w:color="auto" w:fill="FFFFFF"/>
        </w:rPr>
        <w:t xml:space="preserve">In advance of the </w:t>
      </w:r>
      <w:proofErr w:type="gramStart"/>
      <w:r w:rsidRPr="00DD7BD1">
        <w:rPr>
          <w:rFonts w:ascii="Calibri" w:hAnsi="Calibri" w:cs="Calibri"/>
          <w:sz w:val="22"/>
          <w:szCs w:val="22"/>
          <w:shd w:val="clear" w:color="auto" w:fill="FFFFFF"/>
        </w:rPr>
        <w:t>October 1 effective</w:t>
      </w:r>
      <w:proofErr w:type="gramEnd"/>
      <w:r w:rsidRPr="00DD7BD1">
        <w:rPr>
          <w:rFonts w:ascii="Calibri" w:hAnsi="Calibri" w:cs="Calibri"/>
          <w:sz w:val="22"/>
          <w:szCs w:val="22"/>
          <w:shd w:val="clear" w:color="auto" w:fill="FFFFFF"/>
        </w:rPr>
        <w:t xml:space="preser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w:t>
      </w:r>
      <w:r w:rsidRPr="00DD7BD1">
        <w:rPr>
          <w:rFonts w:ascii="Calibri" w:hAnsi="Calibri" w:cs="Calibri"/>
          <w:sz w:val="22"/>
          <w:szCs w:val="22"/>
          <w:shd w:val="clear" w:color="auto" w:fill="FFFFFF"/>
        </w:rPr>
        <w:lastRenderedPageBreak/>
        <w:t>employers to provide wage information to applicants upon request, employers may be able to leverage such information in updating postings, as needed.</w:t>
      </w:r>
    </w:p>
    <w:p w14:paraId="6080D3F4" w14:textId="03112389" w:rsidR="00A83553" w:rsidRPr="00DD7BD1" w:rsidRDefault="0073426F" w:rsidP="00503F70">
      <w:pPr>
        <w:pStyle w:val="NormalWeb"/>
        <w:shd w:val="clear" w:color="auto" w:fill="FFFFFF"/>
        <w:spacing w:before="0" w:beforeAutospacing="0" w:after="150" w:afterAutospacing="0"/>
        <w:rPr>
          <w:rStyle w:val="Strong"/>
          <w:rFonts w:ascii="Calibri" w:hAnsi="Calibri" w:cs="Calibri"/>
          <w:b w:val="0"/>
          <w:bCs w:val="0"/>
          <w:color w:val="333333"/>
          <w:sz w:val="22"/>
          <w:szCs w:val="22"/>
        </w:rPr>
      </w:pPr>
      <w:bookmarkStart w:id="101" w:name="_Hlk167191976"/>
      <w:r w:rsidRPr="00DD7BD1">
        <w:rPr>
          <w:rFonts w:ascii="Calibri" w:hAnsi="Calibri" w:cs="Calibri"/>
          <w:color w:val="000000" w:themeColor="text1"/>
          <w:sz w:val="22"/>
          <w:szCs w:val="22"/>
        </w:rPr>
        <w:t>The law, </w:t>
      </w:r>
      <w:hyperlink r:id="rId817" w:tgtFrame="_blank" w:history="1">
        <w:r w:rsidRPr="00DD7BD1">
          <w:rPr>
            <w:rStyle w:val="Hyperlink"/>
            <w:rFonts w:ascii="Calibri" w:hAnsi="Calibri" w:cs="Calibri"/>
            <w:color w:val="3052DA"/>
            <w:sz w:val="22"/>
            <w:szCs w:val="22"/>
          </w:rPr>
          <w:t>Equal Pay for Equal Work – Wage Range Transparency</w:t>
        </w:r>
      </w:hyperlink>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will go into effect on </w:t>
      </w:r>
      <w:r w:rsidRPr="00DD7BD1">
        <w:rPr>
          <w:rFonts w:ascii="Calibri" w:hAnsi="Calibri" w:cs="Calibri"/>
          <w:color w:val="C00000"/>
          <w:sz w:val="22"/>
          <w:szCs w:val="22"/>
        </w:rPr>
        <w:t>October 1, 2024</w:t>
      </w:r>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101"/>
      <w:r w:rsidRPr="00DD7BD1">
        <w:rPr>
          <w:rFonts w:ascii="Calibri" w:hAnsi="Calibri" w:cs="Calibri"/>
          <w:color w:val="000000" w:themeColor="text1"/>
          <w:sz w:val="22"/>
          <w:szCs w:val="22"/>
        </w:rPr>
        <w:t>The new Maryland requirements are in addition to the state’s existing pay equity legislation, including </w:t>
      </w:r>
      <w:hyperlink r:id="rId818" w:tgtFrame="_blank" w:history="1">
        <w:r w:rsidRPr="00DD7BD1">
          <w:rPr>
            <w:rStyle w:val="Hyperlink"/>
            <w:rFonts w:ascii="Calibri" w:hAnsi="Calibri" w:cs="Calibri"/>
            <w:color w:val="3052DA"/>
            <w:sz w:val="22"/>
            <w:szCs w:val="22"/>
          </w:rPr>
          <w:t>a salary history ban and a pay range upon request requirement</w:t>
        </w:r>
      </w:hyperlink>
      <w:r w:rsidRPr="00DD7BD1">
        <w:rPr>
          <w:rFonts w:ascii="Calibri" w:hAnsi="Calibri" w:cs="Calibri"/>
          <w:color w:val="000000" w:themeColor="text1"/>
          <w:sz w:val="22"/>
          <w:szCs w:val="22"/>
        </w:rPr>
        <w:t>, both passed in 2020.</w:t>
      </w:r>
    </w:p>
    <w:p w14:paraId="06C955F5" w14:textId="104FCD3A"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Coverage Under the Law</w:t>
      </w:r>
    </w:p>
    <w:p w14:paraId="74F35C69"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DD7BD1">
        <w:rPr>
          <w:rFonts w:ascii="Calibri" w:hAnsi="Calibri" w:cs="Calibri"/>
          <w:color w:val="000000" w:themeColor="text1"/>
          <w:sz w:val="22"/>
          <w:szCs w:val="22"/>
        </w:rPr>
        <w:t>would</w:t>
      </w:r>
      <w:proofErr w:type="gramEnd"/>
      <w:r w:rsidRPr="00DD7BD1">
        <w:rPr>
          <w:rFonts w:ascii="Calibri" w:hAnsi="Calibri" w:cs="Calibri"/>
          <w:color w:val="000000" w:themeColor="text1"/>
          <w:sz w:val="22"/>
          <w:szCs w:val="22"/>
        </w:rPr>
        <w:t xml:space="preserve"> also need to include the necessary disclosures in its advertisements.</w:t>
      </w:r>
    </w:p>
    <w:p w14:paraId="52AB8852" w14:textId="77777777" w:rsidR="001C5F42" w:rsidRPr="00DD7BD1" w:rsidRDefault="001C5F42" w:rsidP="0073426F">
      <w:pPr>
        <w:pStyle w:val="NormalWeb"/>
        <w:shd w:val="clear" w:color="auto" w:fill="FFFFFF"/>
        <w:spacing w:before="0" w:beforeAutospacing="0" w:after="0" w:afterAutospacing="0"/>
        <w:rPr>
          <w:rFonts w:ascii="Calibri" w:hAnsi="Calibri" w:cs="Calibri"/>
          <w:color w:val="000000" w:themeColor="text1"/>
          <w:sz w:val="22"/>
          <w:szCs w:val="22"/>
        </w:rPr>
      </w:pPr>
    </w:p>
    <w:p w14:paraId="50F3B435" w14:textId="230ABE50" w:rsidR="001C5F42" w:rsidRPr="00DD7BD1" w:rsidRDefault="001C5F42" w:rsidP="001C5F42">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Massachusetts</w:t>
      </w:r>
    </w:p>
    <w:p w14:paraId="7ED76E0F" w14:textId="55B74FC1" w:rsidR="00AE1E15" w:rsidRDefault="00AE1E15" w:rsidP="00AE1E15">
      <w:pPr>
        <w:rPr>
          <w:b/>
          <w:bCs/>
          <w:caps/>
          <w:color w:val="0070C0"/>
          <w:sz w:val="28"/>
          <w:szCs w:val="28"/>
        </w:rPr>
      </w:pPr>
      <w:bookmarkStart w:id="102" w:name="_Hlk205278028"/>
      <w:bookmarkStart w:id="103" w:name="_Hlk209768819"/>
      <w:r w:rsidRPr="00532C39">
        <w:rPr>
          <w:b/>
          <w:bCs/>
          <w:caps/>
          <w:noProof/>
          <w:color w:val="0E425C"/>
          <w:sz w:val="28"/>
          <w:szCs w:val="28"/>
        </w:rPr>
        <w:t xml:space="preserve">Notice of Federal I-9 Inspections Effective </w:t>
      </w:r>
      <w:r w:rsidRPr="00532C39">
        <w:rPr>
          <w:b/>
          <w:bCs/>
          <w:caps/>
          <w:color w:val="0070C0"/>
          <w:sz w:val="28"/>
          <w:szCs w:val="28"/>
        </w:rPr>
        <w:t>August 5, 2026</w:t>
      </w:r>
    </w:p>
    <w:p w14:paraId="6D9CDA50" w14:textId="210382F5" w:rsidR="00AE1E15" w:rsidRPr="00AE1E15" w:rsidRDefault="00AE1E15" w:rsidP="00AE1E15">
      <w:r w:rsidRPr="00262445">
        <w:t>On August 5</w:t>
      </w:r>
      <w:r w:rsidRPr="00262445">
        <w:rPr>
          <w:vertAlign w:val="superscript"/>
        </w:rPr>
        <w:t>th</w:t>
      </w:r>
      <w:r w:rsidRPr="00262445">
        <w:t xml:space="preserve"> the state enacted an </w:t>
      </w:r>
      <w:hyperlink r:id="rId819" w:history="1">
        <w:r w:rsidRPr="002430FC">
          <w:rPr>
            <w:rStyle w:val="Hyperlink"/>
          </w:rPr>
          <w:t>Act Promoting Rule of Law, Oversight, Trust and Equal Constitutional Treatment</w:t>
        </w:r>
      </w:hyperlink>
      <w:r>
        <w:t xml:space="preserve"> </w:t>
      </w:r>
      <w:r w:rsidRPr="00262445">
        <w:t>(</w:t>
      </w:r>
      <w:r w:rsidRPr="00262445">
        <w:rPr>
          <w:b/>
          <w:bCs/>
        </w:rPr>
        <w:t>PROTECT Act</w:t>
      </w:r>
      <w:r w:rsidRPr="00262445">
        <w:t xml:space="preserve">), which requires employers to provide written notice to employees </w:t>
      </w:r>
      <w:r>
        <w:t xml:space="preserve">no later than 48 hours after receiving notice from </w:t>
      </w:r>
      <w:r w:rsidRPr="00262445">
        <w:t>the U.S. Immigration and Customs Enforcement</w:t>
      </w:r>
      <w:r>
        <w:t>’s</w:t>
      </w:r>
      <w:r w:rsidRPr="00262445">
        <w:t xml:space="preserve"> (ICE) notifi</w:t>
      </w:r>
      <w:r>
        <w:t>cation to an</w:t>
      </w:r>
      <w:r w:rsidRPr="00262445">
        <w:t xml:space="preserve"> employer of an inspection of Form I-9s and other employment records.  </w:t>
      </w:r>
    </w:p>
    <w:p w14:paraId="2942B2F0" w14:textId="77777777" w:rsidR="00AE1E15" w:rsidRDefault="00AE1E15" w:rsidP="00914E5D">
      <w:pPr>
        <w:spacing w:after="0" w:line="240" w:lineRule="auto"/>
        <w:rPr>
          <w:b/>
          <w:bCs/>
          <w:caps/>
          <w:color w:val="0070C0"/>
          <w:sz w:val="28"/>
          <w:szCs w:val="28"/>
        </w:rPr>
      </w:pPr>
    </w:p>
    <w:p w14:paraId="5A48DCC6" w14:textId="1EC3B9B0" w:rsidR="00914E5D" w:rsidRDefault="00914E5D" w:rsidP="00914E5D">
      <w:pPr>
        <w:spacing w:after="0" w:line="240" w:lineRule="auto"/>
        <w:rPr>
          <w:b/>
          <w:bCs/>
          <w:caps/>
          <w:noProof/>
          <w:color w:val="0E425C"/>
          <w:sz w:val="26"/>
          <w:szCs w:val="26"/>
        </w:rPr>
      </w:pPr>
      <w:r w:rsidRPr="00914E5D">
        <w:rPr>
          <w:b/>
          <w:bCs/>
          <w:caps/>
          <w:noProof/>
          <w:color w:val="0E425C"/>
          <w:sz w:val="26"/>
          <w:szCs w:val="26"/>
        </w:rPr>
        <w:t>S</w:t>
      </w:r>
      <w:r w:rsidRPr="00B91659">
        <w:rPr>
          <w:b/>
          <w:bCs/>
          <w:caps/>
          <w:noProof/>
          <w:color w:val="0E425C"/>
          <w:sz w:val="26"/>
          <w:szCs w:val="26"/>
        </w:rPr>
        <w:t>tate PFML Contribution Shift Effective January 1, 2027</w:t>
      </w:r>
    </w:p>
    <w:p w14:paraId="384A8793" w14:textId="77777777" w:rsidR="00914E5D" w:rsidRDefault="00914E5D" w:rsidP="00914E5D">
      <w:pPr>
        <w:spacing w:after="0" w:line="240" w:lineRule="auto"/>
        <w:rPr>
          <w:rFonts w:eastAsia="Times New Roman"/>
          <w:sz w:val="26"/>
          <w:szCs w:val="26"/>
        </w:rPr>
      </w:pPr>
      <w:r>
        <w:rPr>
          <w:rFonts w:eastAsia="Times New Roman"/>
          <w:sz w:val="26"/>
          <w:szCs w:val="26"/>
        </w:rPr>
        <w:t>E</w:t>
      </w:r>
      <w:r w:rsidRPr="00796DCF">
        <w:rPr>
          <w:rFonts w:eastAsia="Times New Roman"/>
          <w:sz w:val="26"/>
          <w:szCs w:val="26"/>
        </w:rPr>
        <w:t>mployers should prepare for an important change to the Commonwealth’s Paid Family and Medical Leave (PFML) contribution structure beginning January 1, 2027. Under recently enacted Chapter 101 of the Acts of 2026, the employer-required share of PFML contributions will shift from medical leave to family leave. </w:t>
      </w:r>
    </w:p>
    <w:p w14:paraId="1E3FDE9B" w14:textId="77777777" w:rsidR="00914E5D" w:rsidRDefault="00914E5D" w:rsidP="00914E5D">
      <w:pPr>
        <w:spacing w:after="0" w:line="240" w:lineRule="auto"/>
        <w:rPr>
          <w:rFonts w:eastAsia="Times New Roman"/>
          <w:sz w:val="26"/>
          <w:szCs w:val="26"/>
        </w:rPr>
      </w:pPr>
      <w:r w:rsidRPr="00796DCF">
        <w:rPr>
          <w:rFonts w:eastAsia="Times New Roman"/>
          <w:sz w:val="26"/>
          <w:szCs w:val="26"/>
        </w:rPr>
        <w:t>While the change does not alter employers’ obligation to remit PFML contributions, it will affect how contributions are allocated between employers and employees for employers with 25 or more covered individuals.</w:t>
      </w:r>
    </w:p>
    <w:p w14:paraId="134BAFBC" w14:textId="77777777" w:rsidR="00914E5D" w:rsidRPr="00796DCF" w:rsidRDefault="00914E5D" w:rsidP="00914E5D">
      <w:pPr>
        <w:spacing w:after="0" w:line="240" w:lineRule="auto"/>
        <w:rPr>
          <w:rFonts w:eastAsia="Times New Roman"/>
          <w:sz w:val="26"/>
          <w:szCs w:val="26"/>
        </w:rPr>
      </w:pPr>
      <w:r w:rsidRPr="00796DCF">
        <w:rPr>
          <w:rFonts w:eastAsia="Times New Roman"/>
          <w:b/>
          <w:bCs/>
          <w:sz w:val="26"/>
          <w:szCs w:val="26"/>
        </w:rPr>
        <w:t>Current PFML Contribution Structure</w:t>
      </w:r>
    </w:p>
    <w:p w14:paraId="59A18774" w14:textId="77777777" w:rsidR="00914E5D" w:rsidRPr="00796DCF" w:rsidRDefault="00914E5D" w:rsidP="00914E5D">
      <w:pPr>
        <w:spacing w:after="0" w:line="240" w:lineRule="auto"/>
        <w:rPr>
          <w:rFonts w:eastAsia="Times New Roman"/>
          <w:sz w:val="26"/>
          <w:szCs w:val="26"/>
        </w:rPr>
      </w:pPr>
      <w:r w:rsidRPr="00796DCF">
        <w:rPr>
          <w:rFonts w:eastAsia="Times New Roman"/>
          <w:sz w:val="26"/>
          <w:szCs w:val="26"/>
        </w:rPr>
        <w:t>For 2025 and 2026, employers with 25 or more covered individuals contribute to PFML through a combination of employee payroll withholdings and employer-paid contributions. Under the current structure:</w:t>
      </w:r>
    </w:p>
    <w:p w14:paraId="24D643E9" w14:textId="77777777" w:rsidR="00914E5D" w:rsidRPr="00796DCF" w:rsidRDefault="00914E5D">
      <w:pPr>
        <w:numPr>
          <w:ilvl w:val="0"/>
          <w:numId w:val="387"/>
        </w:numPr>
        <w:spacing w:after="0" w:line="240" w:lineRule="auto"/>
        <w:rPr>
          <w:rFonts w:eastAsia="Times New Roman"/>
          <w:sz w:val="26"/>
          <w:szCs w:val="26"/>
        </w:rPr>
      </w:pPr>
      <w:r w:rsidRPr="00796DCF">
        <w:rPr>
          <w:rFonts w:eastAsia="Times New Roman"/>
          <w:sz w:val="26"/>
          <w:szCs w:val="26"/>
        </w:rPr>
        <w:t>Employees may be charged up to </w:t>
      </w:r>
      <w:r w:rsidRPr="00796DCF">
        <w:rPr>
          <w:rFonts w:eastAsia="Times New Roman"/>
          <w:b/>
          <w:bCs/>
          <w:sz w:val="26"/>
          <w:szCs w:val="26"/>
        </w:rPr>
        <w:t>100% of the family leave contribution</w:t>
      </w:r>
      <w:r w:rsidRPr="00796DCF">
        <w:rPr>
          <w:rFonts w:eastAsia="Times New Roman"/>
          <w:sz w:val="26"/>
          <w:szCs w:val="26"/>
        </w:rPr>
        <w:t>.</w:t>
      </w:r>
    </w:p>
    <w:p w14:paraId="4AF80228" w14:textId="77777777" w:rsidR="00914E5D" w:rsidRPr="00796DCF" w:rsidRDefault="00914E5D">
      <w:pPr>
        <w:numPr>
          <w:ilvl w:val="0"/>
          <w:numId w:val="387"/>
        </w:numPr>
        <w:spacing w:after="0" w:line="240" w:lineRule="auto"/>
        <w:rPr>
          <w:rFonts w:eastAsia="Times New Roman"/>
          <w:sz w:val="26"/>
          <w:szCs w:val="26"/>
        </w:rPr>
      </w:pPr>
      <w:r w:rsidRPr="00796DCF">
        <w:rPr>
          <w:rFonts w:eastAsia="Times New Roman"/>
          <w:sz w:val="26"/>
          <w:szCs w:val="26"/>
        </w:rPr>
        <w:t>Employees may be charged up to </w:t>
      </w:r>
      <w:r w:rsidRPr="00796DCF">
        <w:rPr>
          <w:rFonts w:eastAsia="Times New Roman"/>
          <w:b/>
          <w:bCs/>
          <w:sz w:val="26"/>
          <w:szCs w:val="26"/>
        </w:rPr>
        <w:t>40% of the medical leave contribution</w:t>
      </w:r>
      <w:r w:rsidRPr="00796DCF">
        <w:rPr>
          <w:rFonts w:eastAsia="Times New Roman"/>
          <w:sz w:val="26"/>
          <w:szCs w:val="26"/>
        </w:rPr>
        <w:t>.</w:t>
      </w:r>
    </w:p>
    <w:p w14:paraId="2777A16F" w14:textId="77777777" w:rsidR="00914E5D" w:rsidRPr="00370049" w:rsidRDefault="00914E5D">
      <w:pPr>
        <w:numPr>
          <w:ilvl w:val="0"/>
          <w:numId w:val="387"/>
        </w:numPr>
        <w:spacing w:after="0" w:line="240" w:lineRule="auto"/>
        <w:rPr>
          <w:rFonts w:eastAsia="Times New Roman"/>
          <w:sz w:val="26"/>
          <w:szCs w:val="26"/>
        </w:rPr>
      </w:pPr>
      <w:r w:rsidRPr="00796DCF">
        <w:rPr>
          <w:rFonts w:eastAsia="Times New Roman"/>
          <w:sz w:val="26"/>
          <w:szCs w:val="26"/>
        </w:rPr>
        <w:t>Employers are responsible for the remaining </w:t>
      </w:r>
      <w:r w:rsidRPr="00796DCF">
        <w:rPr>
          <w:rFonts w:eastAsia="Times New Roman"/>
          <w:b/>
          <w:bCs/>
          <w:sz w:val="26"/>
          <w:szCs w:val="26"/>
        </w:rPr>
        <w:t>60% of the medical leave contribution</w:t>
      </w:r>
      <w:r w:rsidRPr="00796DCF">
        <w:rPr>
          <w:rFonts w:eastAsia="Times New Roman"/>
          <w:sz w:val="26"/>
          <w:szCs w:val="26"/>
        </w:rPr>
        <w:t>.</w:t>
      </w:r>
    </w:p>
    <w:p w14:paraId="3378DE31" w14:textId="77777777" w:rsidR="00914E5D" w:rsidRPr="00796DCF" w:rsidRDefault="00914E5D" w:rsidP="00914E5D">
      <w:pPr>
        <w:spacing w:after="0" w:line="240" w:lineRule="auto"/>
        <w:rPr>
          <w:rFonts w:eastAsia="Times New Roman"/>
          <w:sz w:val="26"/>
          <w:szCs w:val="26"/>
        </w:rPr>
      </w:pPr>
      <w:r w:rsidRPr="00796DCF">
        <w:rPr>
          <w:rFonts w:eastAsia="Times New Roman"/>
          <w:b/>
          <w:bCs/>
          <w:sz w:val="26"/>
          <w:szCs w:val="26"/>
        </w:rPr>
        <w:t>What Changes on January 1, 2027?</w:t>
      </w:r>
    </w:p>
    <w:p w14:paraId="3EF0C07D" w14:textId="77777777" w:rsidR="00914E5D" w:rsidRPr="00796DCF" w:rsidRDefault="00914E5D" w:rsidP="00914E5D">
      <w:pPr>
        <w:spacing w:after="0" w:line="240" w:lineRule="auto"/>
        <w:rPr>
          <w:rFonts w:eastAsia="Times New Roman"/>
          <w:sz w:val="26"/>
          <w:szCs w:val="26"/>
        </w:rPr>
      </w:pPr>
      <w:r w:rsidRPr="00796DCF">
        <w:rPr>
          <w:rFonts w:eastAsia="Times New Roman"/>
          <w:sz w:val="26"/>
          <w:szCs w:val="26"/>
        </w:rPr>
        <w:t>Beginning January 1, 2027, Massachusetts will effectively reverse that allocation.</w:t>
      </w:r>
    </w:p>
    <w:p w14:paraId="35154836" w14:textId="77777777" w:rsidR="00914E5D" w:rsidRPr="00796DCF" w:rsidRDefault="00914E5D" w:rsidP="00914E5D">
      <w:pPr>
        <w:spacing w:after="0" w:line="240" w:lineRule="auto"/>
        <w:rPr>
          <w:rFonts w:eastAsia="Times New Roman"/>
          <w:sz w:val="26"/>
          <w:szCs w:val="26"/>
        </w:rPr>
      </w:pPr>
      <w:r w:rsidRPr="00796DCF">
        <w:rPr>
          <w:rFonts w:eastAsia="Times New Roman"/>
          <w:sz w:val="26"/>
          <w:szCs w:val="26"/>
        </w:rPr>
        <w:t>For employers with 25 or more covered individuals:</w:t>
      </w:r>
    </w:p>
    <w:p w14:paraId="0C80206E" w14:textId="77777777" w:rsidR="00914E5D" w:rsidRPr="00796DCF" w:rsidRDefault="00914E5D">
      <w:pPr>
        <w:numPr>
          <w:ilvl w:val="0"/>
          <w:numId w:val="388"/>
        </w:numPr>
        <w:spacing w:after="0" w:line="240" w:lineRule="auto"/>
        <w:rPr>
          <w:rFonts w:eastAsia="Times New Roman"/>
          <w:sz w:val="26"/>
          <w:szCs w:val="26"/>
        </w:rPr>
      </w:pPr>
      <w:r w:rsidRPr="00796DCF">
        <w:rPr>
          <w:rFonts w:eastAsia="Times New Roman"/>
          <w:sz w:val="26"/>
          <w:szCs w:val="26"/>
        </w:rPr>
        <w:t>Employers will be required to pay </w:t>
      </w:r>
      <w:r w:rsidRPr="00796DCF">
        <w:rPr>
          <w:rFonts w:eastAsia="Times New Roman"/>
          <w:b/>
          <w:bCs/>
          <w:sz w:val="26"/>
          <w:szCs w:val="26"/>
        </w:rPr>
        <w:t>60% of the family leave contribution</w:t>
      </w:r>
      <w:r w:rsidRPr="00796DCF">
        <w:rPr>
          <w:rFonts w:eastAsia="Times New Roman"/>
          <w:sz w:val="26"/>
          <w:szCs w:val="26"/>
        </w:rPr>
        <w:t>.</w:t>
      </w:r>
    </w:p>
    <w:p w14:paraId="2A68C326" w14:textId="77777777" w:rsidR="00914E5D" w:rsidRPr="00796DCF" w:rsidRDefault="00914E5D">
      <w:pPr>
        <w:numPr>
          <w:ilvl w:val="0"/>
          <w:numId w:val="388"/>
        </w:numPr>
        <w:spacing w:after="0" w:line="240" w:lineRule="auto"/>
        <w:rPr>
          <w:rFonts w:eastAsia="Times New Roman"/>
          <w:sz w:val="26"/>
          <w:szCs w:val="26"/>
        </w:rPr>
      </w:pPr>
      <w:r w:rsidRPr="00796DCF">
        <w:rPr>
          <w:rFonts w:eastAsia="Times New Roman"/>
          <w:sz w:val="26"/>
          <w:szCs w:val="26"/>
        </w:rPr>
        <w:lastRenderedPageBreak/>
        <w:t>Employees may be charged up to </w:t>
      </w:r>
      <w:r w:rsidRPr="00796DCF">
        <w:rPr>
          <w:rFonts w:eastAsia="Times New Roman"/>
          <w:b/>
          <w:bCs/>
          <w:sz w:val="26"/>
          <w:szCs w:val="26"/>
        </w:rPr>
        <w:t>40% of the family leave contribution</w:t>
      </w:r>
      <w:r w:rsidRPr="00796DCF">
        <w:rPr>
          <w:rFonts w:eastAsia="Times New Roman"/>
          <w:sz w:val="26"/>
          <w:szCs w:val="26"/>
        </w:rPr>
        <w:t>.</w:t>
      </w:r>
    </w:p>
    <w:p w14:paraId="10136292" w14:textId="77777777" w:rsidR="00914E5D" w:rsidRPr="00796DCF" w:rsidRDefault="00914E5D">
      <w:pPr>
        <w:numPr>
          <w:ilvl w:val="0"/>
          <w:numId w:val="388"/>
        </w:numPr>
        <w:spacing w:after="0" w:line="240" w:lineRule="auto"/>
        <w:rPr>
          <w:rFonts w:eastAsia="Times New Roman"/>
          <w:sz w:val="26"/>
          <w:szCs w:val="26"/>
        </w:rPr>
      </w:pPr>
      <w:r w:rsidRPr="00796DCF">
        <w:rPr>
          <w:rFonts w:eastAsia="Times New Roman"/>
          <w:sz w:val="26"/>
          <w:szCs w:val="26"/>
        </w:rPr>
        <w:t>Employees may be charged up to </w:t>
      </w:r>
      <w:r w:rsidRPr="00796DCF">
        <w:rPr>
          <w:rFonts w:eastAsia="Times New Roman"/>
          <w:b/>
          <w:bCs/>
          <w:sz w:val="26"/>
          <w:szCs w:val="26"/>
        </w:rPr>
        <w:t>100% of the medical leave contribution</w:t>
      </w:r>
      <w:r w:rsidRPr="00796DCF">
        <w:rPr>
          <w:rFonts w:eastAsia="Times New Roman"/>
          <w:sz w:val="26"/>
          <w:szCs w:val="26"/>
        </w:rPr>
        <w:t>.</w:t>
      </w:r>
    </w:p>
    <w:p w14:paraId="52B945BE" w14:textId="77777777" w:rsidR="00914E5D" w:rsidRPr="00796DCF" w:rsidRDefault="00914E5D" w:rsidP="00914E5D">
      <w:pPr>
        <w:spacing w:after="0" w:line="240" w:lineRule="auto"/>
        <w:rPr>
          <w:rFonts w:eastAsia="Times New Roman"/>
          <w:sz w:val="26"/>
          <w:szCs w:val="26"/>
        </w:rPr>
      </w:pPr>
      <w:r w:rsidRPr="00796DCF">
        <w:rPr>
          <w:rFonts w:eastAsia="Times New Roman"/>
          <w:sz w:val="26"/>
          <w:szCs w:val="26"/>
        </w:rPr>
        <w:t>In other words, the employer’s required contribution will move from the medical leave side of PFML to the family leave side. The overall contribution framework remains in place, but the allocation between family and medical leave changes significantly.</w:t>
      </w:r>
    </w:p>
    <w:p w14:paraId="28B56789" w14:textId="77777777" w:rsidR="00914E5D" w:rsidRDefault="00914E5D" w:rsidP="00914E5D">
      <w:pPr>
        <w:spacing w:after="0" w:line="240" w:lineRule="auto"/>
        <w:rPr>
          <w:rFonts w:eastAsia="Times New Roman"/>
          <w:sz w:val="26"/>
          <w:szCs w:val="26"/>
        </w:rPr>
      </w:pPr>
      <w:proofErr w:type="gramStart"/>
      <w:r>
        <w:rPr>
          <w:rFonts w:eastAsia="Times New Roman"/>
          <w:sz w:val="26"/>
          <w:szCs w:val="26"/>
        </w:rPr>
        <w:t>At this time</w:t>
      </w:r>
      <w:proofErr w:type="gramEnd"/>
      <w:r>
        <w:rPr>
          <w:rFonts w:eastAsia="Times New Roman"/>
          <w:sz w:val="26"/>
          <w:szCs w:val="26"/>
        </w:rPr>
        <w:t xml:space="preserve"> the 2027 PFML rate remains unknown.</w:t>
      </w:r>
    </w:p>
    <w:p w14:paraId="7666924C" w14:textId="3F5C4581" w:rsidR="00914E5D" w:rsidRPr="00914E5D" w:rsidRDefault="00914E5D" w:rsidP="00914E5D">
      <w:pPr>
        <w:spacing w:after="0" w:line="240" w:lineRule="auto"/>
        <w:rPr>
          <w:b/>
          <w:bCs/>
          <w:caps/>
          <w:color w:val="0070C0"/>
          <w:sz w:val="28"/>
          <w:szCs w:val="28"/>
        </w:rPr>
      </w:pPr>
      <w:r w:rsidRPr="00796DCF">
        <w:rPr>
          <w:rFonts w:eastAsia="Times New Roman"/>
          <w:b/>
          <w:bCs/>
          <w:sz w:val="26"/>
          <w:szCs w:val="26"/>
          <w:highlight w:val="lightGray"/>
        </w:rPr>
        <w:t>Employer Takeaway:</w:t>
      </w:r>
      <w:r w:rsidRPr="00796DCF">
        <w:rPr>
          <w:rFonts w:eastAsia="Times New Roman"/>
          <w:b/>
          <w:bCs/>
          <w:sz w:val="26"/>
          <w:szCs w:val="26"/>
        </w:rPr>
        <w:t xml:space="preserve"> </w:t>
      </w:r>
      <w:r>
        <w:rPr>
          <w:rFonts w:eastAsia="Times New Roman"/>
          <w:sz w:val="26"/>
          <w:szCs w:val="26"/>
        </w:rPr>
        <w:t>Employers should evaluate operational implications of the new contribution structure</w:t>
      </w:r>
      <w:r w:rsidRPr="00711001">
        <w:rPr>
          <w:sz w:val="26"/>
          <w:szCs w:val="26"/>
        </w:rPr>
        <w:t>,</w:t>
      </w:r>
      <w:r>
        <w:rPr>
          <w:rFonts w:eastAsia="Times New Roman"/>
          <w:sz w:val="26"/>
          <w:szCs w:val="26"/>
        </w:rPr>
        <w:t xml:space="preserve"> review payroll system </w:t>
      </w:r>
      <w:r w:rsidRPr="00711001">
        <w:rPr>
          <w:sz w:val="26"/>
          <w:szCs w:val="26"/>
        </w:rPr>
        <w:t>and</w:t>
      </w:r>
      <w:r>
        <w:rPr>
          <w:rFonts w:eastAsia="Times New Roman"/>
          <w:sz w:val="26"/>
          <w:szCs w:val="26"/>
        </w:rPr>
        <w:t xml:space="preserve"> PFML </w:t>
      </w:r>
      <w:r w:rsidRPr="00711001">
        <w:rPr>
          <w:sz w:val="26"/>
          <w:szCs w:val="26"/>
        </w:rPr>
        <w:t>withholding</w:t>
      </w:r>
      <w:r>
        <w:rPr>
          <w:rFonts w:eastAsia="Times New Roman"/>
          <w:sz w:val="26"/>
          <w:szCs w:val="26"/>
        </w:rPr>
        <w:t xml:space="preserve"> configurations ahead of </w:t>
      </w:r>
      <w:r w:rsidRPr="00711001">
        <w:rPr>
          <w:sz w:val="26"/>
          <w:szCs w:val="26"/>
        </w:rPr>
        <w:t xml:space="preserve">the </w:t>
      </w:r>
      <w:r>
        <w:rPr>
          <w:rFonts w:eastAsia="Times New Roman"/>
          <w:sz w:val="26"/>
          <w:szCs w:val="26"/>
        </w:rPr>
        <w:t>changes</w:t>
      </w:r>
      <w:r w:rsidRPr="00711001">
        <w:rPr>
          <w:sz w:val="26"/>
          <w:szCs w:val="26"/>
        </w:rPr>
        <w:t>, and watch</w:t>
      </w:r>
      <w:r>
        <w:rPr>
          <w:rFonts w:eastAsia="Times New Roman"/>
          <w:sz w:val="26"/>
          <w:szCs w:val="26"/>
        </w:rPr>
        <w:t xml:space="preserve"> for published guidance from DFML </w:t>
      </w:r>
      <w:r w:rsidRPr="00711001">
        <w:rPr>
          <w:sz w:val="26"/>
          <w:szCs w:val="26"/>
        </w:rPr>
        <w:t>before</w:t>
      </w:r>
      <w:r>
        <w:rPr>
          <w:rFonts w:eastAsia="Times New Roman"/>
          <w:sz w:val="26"/>
          <w:szCs w:val="26"/>
        </w:rPr>
        <w:t xml:space="preserve"> the effective date.</w:t>
      </w:r>
    </w:p>
    <w:p w14:paraId="07F10FAE" w14:textId="051449F9"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w:t>
      </w:r>
    </w:p>
    <w:p w14:paraId="14BD9517" w14:textId="56B5E537" w:rsidR="00204F44" w:rsidRPr="00204F44" w:rsidRDefault="00204F44">
      <w:pPr>
        <w:pStyle w:val="ListParagraph"/>
        <w:numPr>
          <w:ilvl w:val="0"/>
          <w:numId w:val="364"/>
        </w:numPr>
        <w:spacing w:after="100" w:line="276" w:lineRule="auto"/>
        <w:rPr>
          <w:caps/>
          <w:noProof/>
          <w:color w:val="0E425C"/>
        </w:rPr>
      </w:pPr>
      <w:r w:rsidRPr="0055141A">
        <w:rPr>
          <w:caps/>
          <w:noProof/>
          <w:color w:val="0E425C"/>
        </w:rPr>
        <w:t xml:space="preserve">MAPFML (Massachusetts Paid Family &amp; Medical Leave) Exempt Private Plan Employer Reporting Due </w:t>
      </w:r>
      <w:r w:rsidRPr="0055141A">
        <w:rPr>
          <w:caps/>
          <w:color w:val="0070C0"/>
        </w:rPr>
        <w:t>August 31, 2026</w:t>
      </w:r>
    </w:p>
    <w:p w14:paraId="7F562ACC" w14:textId="313E7C05" w:rsidR="00F97C8D" w:rsidRPr="00DD7BD1" w:rsidRDefault="00952198" w:rsidP="00F97C8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Reminder: </w:t>
      </w:r>
      <w:r w:rsidR="00F97C8D" w:rsidRPr="00DD7BD1">
        <w:rPr>
          <w:rFonts w:ascii="Calibri" w:hAnsi="Calibri" w:cs="Calibri"/>
          <w:b/>
          <w:bCs/>
          <w:sz w:val="28"/>
          <w:szCs w:val="28"/>
          <w:shd w:val="clear" w:color="auto" w:fill="FFFFFF"/>
          <w:lang w:val="en"/>
        </w:rPr>
        <w:t>State EEO Wage &amp; Workforce Data Reporting</w:t>
      </w:r>
      <w:r w:rsidR="00F97C8D" w:rsidRPr="00DD7BD1">
        <w:rPr>
          <w:rFonts w:ascii="Calibri" w:hAnsi="Calibri" w:cs="Calibri"/>
          <w:b/>
          <w:bCs/>
          <w:color w:val="2E74B5" w:themeColor="accent5" w:themeShade="BF"/>
          <w:sz w:val="28"/>
          <w:szCs w:val="28"/>
          <w:shd w:val="clear" w:color="auto" w:fill="FFFFFF"/>
          <w:lang w:val="en"/>
        </w:rPr>
        <w:t xml:space="preserve"> </w:t>
      </w:r>
      <w:r w:rsidR="00F97C8D" w:rsidRPr="00DD7BD1">
        <w:rPr>
          <w:rFonts w:ascii="Calibri" w:hAnsi="Calibri" w:cs="Calibri"/>
          <w:b/>
          <w:bCs/>
          <w:color w:val="C00000"/>
          <w:sz w:val="28"/>
          <w:szCs w:val="28"/>
          <w:shd w:val="clear" w:color="auto" w:fill="FFFFFF"/>
          <w:lang w:val="en"/>
        </w:rPr>
        <w:t>Due Feb 1, 2026</w:t>
      </w:r>
    </w:p>
    <w:p w14:paraId="5EE5D6F2" w14:textId="2230A0CF"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Covered employers are</w:t>
      </w:r>
      <w:r w:rsidRPr="00DD7BD1">
        <w:rPr>
          <w:rFonts w:ascii="Calibri" w:hAnsi="Calibri" w:cs="Calibri"/>
          <w:color w:val="2E74B5" w:themeColor="accent5" w:themeShade="BF"/>
          <w:shd w:val="clear" w:color="auto" w:fill="FFFFFF"/>
        </w:rPr>
        <w:t> </w:t>
      </w:r>
      <w:hyperlink r:id="rId820" w:tgtFrame="_blank" w:history="1">
        <w:r w:rsidRPr="00DD7BD1">
          <w:rPr>
            <w:rStyle w:val="Hyperlink"/>
            <w:rFonts w:ascii="Calibri" w:hAnsi="Calibri" w:cs="Calibri"/>
            <w:shd w:val="clear" w:color="auto" w:fill="FFFFFF"/>
          </w:rPr>
          <w:t>required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to file their federal EEO-1 Reports with the Secretary of the Commonwealth of Massachusetts by filing deadline is February 2 (for 2026, as February1 falls on a weekend).   </w:t>
      </w:r>
    </w:p>
    <w:p w14:paraId="3273F30F" w14:textId="77777777" w:rsidR="00F97C8D" w:rsidRPr="00DD7BD1" w:rsidRDefault="00F97C8D" w:rsidP="00F97C8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Applicability: </w:t>
      </w:r>
      <w:r w:rsidRPr="00DD7BD1">
        <w:rPr>
          <w:rFonts w:ascii="Calibri" w:hAnsi="Calibri" w:cs="Calibri"/>
          <w:shd w:val="clear" w:color="auto" w:fill="FFFFFF"/>
        </w:rPr>
        <w:t>Employers are subject to this requirement if they</w:t>
      </w:r>
    </w:p>
    <w:p w14:paraId="25404491"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Have 100 or more employees with a primary place of work in the Commonwealth, </w:t>
      </w:r>
      <w:r w:rsidRPr="00DD7BD1">
        <w:rPr>
          <w:rFonts w:ascii="Calibri" w:hAnsi="Calibri" w:cs="Calibri"/>
          <w:i/>
          <w:iCs/>
          <w:shd w:val="clear" w:color="auto" w:fill="FFFFFF"/>
        </w:rPr>
        <w:t>and</w:t>
      </w:r>
    </w:p>
    <w:p w14:paraId="2D933868"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file a federal EEO Report.</w:t>
      </w:r>
    </w:p>
    <w:p w14:paraId="03E7BD6F" w14:textId="77777777" w:rsidR="00F97C8D" w:rsidRPr="00DD7BD1" w:rsidRDefault="00F97C8D" w:rsidP="00F97C8D">
      <w:pPr>
        <w:spacing w:after="0" w:line="240" w:lineRule="auto"/>
        <w:rPr>
          <w:rFonts w:ascii="Calibri" w:hAnsi="Calibri" w:cs="Calibri"/>
          <w:sz w:val="16"/>
          <w:szCs w:val="16"/>
          <w:shd w:val="clear" w:color="auto" w:fill="FFFFFF"/>
        </w:rPr>
      </w:pPr>
    </w:p>
    <w:p w14:paraId="6C5B0205" w14:textId="77777777"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As a reminder, employers with</w:t>
      </w:r>
      <w:r w:rsidRPr="00DD7BD1">
        <w:rPr>
          <w:rFonts w:ascii="Calibri" w:hAnsi="Calibri" w:cs="Calibri"/>
          <w:u w:val="single"/>
          <w:shd w:val="clear" w:color="auto" w:fill="FFFFFF"/>
        </w:rPr>
        <w:t xml:space="preserve"> at least 25 Massachusetts employees</w:t>
      </w:r>
      <w:r w:rsidRPr="00DD7BD1">
        <w:rPr>
          <w:rFonts w:ascii="Calibri" w:hAnsi="Calibri" w:cs="Calibri"/>
          <w:shd w:val="clear" w:color="auto" w:fill="FFFFFF"/>
        </w:rPr>
        <w:t xml:space="preserve"> must </w:t>
      </w:r>
      <w:r w:rsidRPr="00DD7BD1">
        <w:rPr>
          <w:rFonts w:ascii="Calibri" w:hAnsi="Calibri" w:cs="Calibri"/>
          <w:u w:val="single"/>
          <w:shd w:val="clear" w:color="auto" w:fill="FFFFFF"/>
        </w:rPr>
        <w:t xml:space="preserve">also disclose pay ranges in job postings </w:t>
      </w:r>
      <w:r w:rsidRPr="00DD7BD1">
        <w:rPr>
          <w:rFonts w:ascii="Calibri" w:hAnsi="Calibri" w:cs="Calibri"/>
          <w:shd w:val="clear" w:color="auto" w:fill="FFFFFF"/>
        </w:rPr>
        <w:t>and at the time an individual applies for a promotion or transfer, starts a new position, or requests the range for the current position. This requirement went into effect in October 2025.</w:t>
      </w:r>
    </w:p>
    <w:p w14:paraId="7A696A95" w14:textId="77777777" w:rsidR="00F97C8D" w:rsidRPr="00DD7BD1" w:rsidRDefault="00F97C8D" w:rsidP="00F97C8D">
      <w:pPr>
        <w:spacing w:after="0" w:line="240" w:lineRule="auto"/>
        <w:rPr>
          <w:rFonts w:ascii="Calibri" w:hAnsi="Calibri" w:cs="Calibri"/>
          <w:b/>
          <w:bCs/>
          <w:sz w:val="16"/>
          <w:szCs w:val="16"/>
          <w:shd w:val="clear" w:color="auto" w:fill="FFFFFF"/>
        </w:rPr>
      </w:pPr>
    </w:p>
    <w:p w14:paraId="2875886B" w14:textId="58F87964" w:rsidR="00952198" w:rsidRPr="00DD7BD1" w:rsidRDefault="00F97C8D" w:rsidP="00F97C8D">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Resources: </w:t>
      </w:r>
      <w:r w:rsidRPr="00DD7BD1">
        <w:rPr>
          <w:rFonts w:ascii="Calibri" w:hAnsi="Calibri" w:cs="Calibri"/>
          <w:shd w:val="clear" w:color="auto" w:fill="FFFFFF"/>
        </w:rPr>
        <w:t>The Attorney General’s office has provided </w:t>
      </w:r>
      <w:hyperlink r:id="rId821" w:tgtFrame="_blank" w:history="1">
        <w:r w:rsidRPr="00DD7BD1">
          <w:rPr>
            <w:rStyle w:val="Hyperlink"/>
            <w:rFonts w:ascii="Calibri" w:hAnsi="Calibri" w:cs="Calibri"/>
            <w:shd w:val="clear" w:color="auto" w:fill="FFFFFF"/>
          </w:rPr>
          <w:t>guidance</w:t>
        </w:r>
      </w:hyperlink>
      <w:r w:rsidRPr="00DD7BD1">
        <w:rPr>
          <w:rFonts w:ascii="Calibri" w:hAnsi="Calibri" w:cs="Calibri"/>
          <w:shd w:val="clear" w:color="auto" w:fill="FFFFFF"/>
        </w:rPr>
        <w:t> and</w:t>
      </w:r>
      <w:r w:rsidRPr="00DD7BD1">
        <w:rPr>
          <w:rFonts w:ascii="Calibri" w:hAnsi="Calibri" w:cs="Calibri"/>
          <w:color w:val="2E74B5" w:themeColor="accent5" w:themeShade="BF"/>
          <w:shd w:val="clear" w:color="auto" w:fill="FFFFFF"/>
        </w:rPr>
        <w:t> </w:t>
      </w:r>
      <w:hyperlink r:id="rId822"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to help employers interpret this statute, and th</w:t>
      </w:r>
      <w:r w:rsidRPr="00DD7BD1">
        <w:rPr>
          <w:rFonts w:ascii="Calibri" w:hAnsi="Calibri" w:cs="Calibri"/>
          <w:color w:val="2E74B5" w:themeColor="accent5" w:themeShade="BF"/>
          <w:shd w:val="clear" w:color="auto" w:fill="FFFFFF"/>
        </w:rPr>
        <w:t>e </w:t>
      </w:r>
      <w:hyperlink r:id="rId823" w:tgtFrame="_blank" w:history="1">
        <w:r w:rsidRPr="00DD7BD1">
          <w:rPr>
            <w:rStyle w:val="Hyperlink"/>
            <w:rFonts w:ascii="Calibri" w:hAnsi="Calibri" w:cs="Calibri"/>
            <w:shd w:val="clear" w:color="auto" w:fill="FFFFFF"/>
          </w:rPr>
          <w:t>filing portal</w:t>
        </w:r>
      </w:hyperlink>
      <w:r w:rsidRPr="00DD7BD1">
        <w:rPr>
          <w:rFonts w:ascii="Calibri" w:hAnsi="Calibri" w:cs="Calibri"/>
          <w:shd w:val="clear" w:color="auto" w:fill="FFFFFF"/>
        </w:rPr>
        <w:t> is open.</w:t>
      </w:r>
    </w:p>
    <w:p w14:paraId="66E1C458" w14:textId="77777777" w:rsidR="00F97C8D" w:rsidRPr="00DD7BD1" w:rsidRDefault="00F97C8D" w:rsidP="00F97C8D">
      <w:pPr>
        <w:spacing w:after="0" w:line="240" w:lineRule="auto"/>
        <w:rPr>
          <w:rFonts w:ascii="Calibri" w:hAnsi="Calibri" w:cs="Calibri"/>
          <w:shd w:val="clear" w:color="auto" w:fill="FFFFFF"/>
        </w:rPr>
      </w:pPr>
    </w:p>
    <w:p w14:paraId="40B2A816" w14:textId="77777777" w:rsidR="00474EA7" w:rsidRPr="00DD7BD1" w:rsidRDefault="00F76406" w:rsidP="00474EA7">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Issues Rate and PFML Notice</w:t>
      </w:r>
      <w:r w:rsidR="00474EA7" w:rsidRPr="00DD7BD1">
        <w:rPr>
          <w:rFonts w:ascii="Calibri" w:hAnsi="Calibri" w:cs="Calibri"/>
          <w:b/>
          <w:bCs/>
          <w:sz w:val="28"/>
          <w:szCs w:val="28"/>
          <w:shd w:val="clear" w:color="auto" w:fill="FFFFFF"/>
        </w:rPr>
        <w:t xml:space="preserve"> </w:t>
      </w:r>
      <w:r w:rsidR="00474EA7" w:rsidRPr="00DD7BD1">
        <w:rPr>
          <w:rFonts w:ascii="Calibri" w:hAnsi="Calibri" w:cs="Calibri"/>
          <w:b/>
          <w:bCs/>
          <w:color w:val="C00000"/>
          <w:sz w:val="28"/>
          <w:szCs w:val="28"/>
          <w:shd w:val="clear" w:color="auto" w:fill="FFFFFF"/>
        </w:rPr>
        <w:t>Jan 1, 2026</w:t>
      </w:r>
    </w:p>
    <w:p w14:paraId="328B1AC5" w14:textId="20E7352D" w:rsidR="00F76406" w:rsidRPr="00DD7BD1" w:rsidRDefault="00474EA7" w:rsidP="00F76406">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 </w:t>
      </w:r>
      <w:r w:rsidR="00F76406" w:rsidRPr="00DD7BD1">
        <w:rPr>
          <w:rFonts w:ascii="Calibri" w:hAnsi="Calibri" w:cs="Calibri"/>
          <w:b/>
          <w:bCs/>
          <w:sz w:val="28"/>
          <w:szCs w:val="28"/>
          <w:shd w:val="clear" w:color="auto" w:fill="FFFFFF"/>
        </w:rPr>
        <w:t xml:space="preserve">+ Workplace Poster Eff – </w:t>
      </w:r>
      <w:r w:rsidR="00F76406" w:rsidRPr="00DD7BD1">
        <w:rPr>
          <w:rFonts w:ascii="Calibri" w:hAnsi="Calibri" w:cs="Calibri"/>
          <w:b/>
          <w:bCs/>
          <w:color w:val="C00000"/>
          <w:sz w:val="28"/>
          <w:szCs w:val="28"/>
          <w:shd w:val="clear" w:color="auto" w:fill="FFFFFF"/>
        </w:rPr>
        <w:t xml:space="preserve">Dec 2, </w:t>
      </w:r>
      <w:proofErr w:type="gramStart"/>
      <w:r w:rsidR="00F76406" w:rsidRPr="00DD7BD1">
        <w:rPr>
          <w:rFonts w:ascii="Calibri" w:hAnsi="Calibri" w:cs="Calibri"/>
          <w:b/>
          <w:bCs/>
          <w:color w:val="C00000"/>
          <w:sz w:val="28"/>
          <w:szCs w:val="28"/>
          <w:shd w:val="clear" w:color="auto" w:fill="FFFFFF"/>
        </w:rPr>
        <w:t>2025</w:t>
      </w:r>
      <w:proofErr w:type="gramEnd"/>
      <w:r w:rsidR="00F76406" w:rsidRPr="00DD7BD1">
        <w:rPr>
          <w:rFonts w:ascii="Calibri" w:hAnsi="Calibri" w:cs="Calibri"/>
          <w:b/>
          <w:bCs/>
          <w:color w:val="C00000"/>
          <w:sz w:val="28"/>
          <w:szCs w:val="28"/>
          <w:shd w:val="clear" w:color="auto" w:fill="FFFFFF"/>
        </w:rPr>
        <w:t xml:space="preserve"> and </w:t>
      </w:r>
    </w:p>
    <w:p w14:paraId="1D8EB8D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The Massachusetts Department of Family and Medical Leave has</w:t>
      </w:r>
      <w:r w:rsidRPr="00DD7BD1">
        <w:rPr>
          <w:rFonts w:cs="Calibri"/>
          <w:szCs w:val="22"/>
        </w:rPr>
        <w:t xml:space="preserve"> </w:t>
      </w:r>
      <w:hyperlink r:id="rId824" w:history="1">
        <w:r w:rsidRPr="00DD7BD1">
          <w:rPr>
            <w:rStyle w:val="Hyperlink"/>
            <w:rFonts w:cs="Calibri"/>
            <w:szCs w:val="22"/>
          </w:rPr>
          <w:t>issued</w:t>
        </w:r>
      </w:hyperlink>
      <w:r w:rsidRPr="00DD7BD1">
        <w:rPr>
          <w:rFonts w:cs="Calibri"/>
          <w:szCs w:val="22"/>
        </w:rPr>
        <w:t xml:space="preserve"> </w:t>
      </w:r>
      <w:r w:rsidRPr="00DD7BD1">
        <w:rPr>
          <w:rFonts w:cs="Calibri"/>
          <w:color w:val="auto"/>
          <w:szCs w:val="22"/>
        </w:rPr>
        <w:t>updated rate sheets, notices and a workplace poster for employer use in 2026. Failure to comply with the law’s notice requirements can result in employer fines.</w:t>
      </w:r>
    </w:p>
    <w:p w14:paraId="521723DE" w14:textId="77777777" w:rsidR="00F76406" w:rsidRPr="00DD7BD1" w:rsidRDefault="00F76406" w:rsidP="00F76406">
      <w:pPr>
        <w:pStyle w:val="BodyText"/>
        <w:spacing w:after="0" w:line="240" w:lineRule="auto"/>
        <w:rPr>
          <w:rFonts w:cs="Calibri"/>
          <w:color w:val="auto"/>
          <w:sz w:val="16"/>
          <w:szCs w:val="16"/>
        </w:rPr>
      </w:pPr>
    </w:p>
    <w:p w14:paraId="07557EE0" w14:textId="77777777" w:rsidR="00F76406" w:rsidRPr="00DD7BD1" w:rsidRDefault="00F76406" w:rsidP="00F76406">
      <w:pPr>
        <w:pStyle w:val="BodyText"/>
        <w:spacing w:after="0" w:line="240" w:lineRule="auto"/>
        <w:rPr>
          <w:rStyle w:val="BodyTextChar"/>
          <w:rFonts w:eastAsiaTheme="minorHAnsi" w:cs="Calibri"/>
          <w:szCs w:val="22"/>
        </w:rPr>
      </w:pPr>
      <w:r w:rsidRPr="00DD7BD1">
        <w:rPr>
          <w:rFonts w:cs="Calibri"/>
          <w:color w:val="auto"/>
          <w:szCs w:val="22"/>
        </w:rPr>
        <w:t xml:space="preserve">Contribution rates and benefit amounts for PFML are updated annually, and the law requires </w:t>
      </w:r>
      <w:r w:rsidRPr="00DD7BD1">
        <w:rPr>
          <w:rFonts w:cs="Calibri"/>
          <w:b/>
          <w:bCs/>
          <w:color w:val="auto"/>
          <w:szCs w:val="22"/>
          <w:u w:val="single"/>
        </w:rPr>
        <w:t>employers to provide current employees</w:t>
      </w:r>
      <w:r w:rsidRPr="00DD7BD1">
        <w:rPr>
          <w:rFonts w:cs="Calibri"/>
          <w:color w:val="auto"/>
          <w:szCs w:val="22"/>
        </w:rPr>
        <w:t xml:space="preserve"> with </w:t>
      </w:r>
      <w:r w:rsidRPr="00DD7BD1">
        <w:rPr>
          <w:rStyle w:val="BodyTextChar"/>
          <w:rFonts w:eastAsiaTheme="minorHAnsi" w:cs="Calibri"/>
          <w:color w:val="auto"/>
          <w:szCs w:val="22"/>
        </w:rPr>
        <w:t>information on the new contribution rate 30 days before it changes on Jan. 1, 2026, which is</w:t>
      </w:r>
      <w:r w:rsidRPr="00DD7BD1">
        <w:rPr>
          <w:rStyle w:val="BodyTextChar"/>
          <w:rFonts w:eastAsiaTheme="minorHAnsi" w:cs="Calibri"/>
          <w:szCs w:val="22"/>
        </w:rPr>
        <w:t xml:space="preserve"> </w:t>
      </w:r>
      <w:r w:rsidRPr="00DD7BD1">
        <w:rPr>
          <w:rStyle w:val="BodyTextChar"/>
          <w:rFonts w:eastAsiaTheme="minorHAnsi" w:cs="Calibri"/>
          <w:color w:val="C00000"/>
          <w:szCs w:val="22"/>
        </w:rPr>
        <w:t>Dec. 2, 2025</w:t>
      </w:r>
      <w:r w:rsidRPr="00DD7BD1">
        <w:rPr>
          <w:rStyle w:val="BodyTextChar"/>
          <w:rFonts w:eastAsiaTheme="minorHAnsi" w:cs="Calibri"/>
          <w:szCs w:val="22"/>
        </w:rPr>
        <w:t>.</w:t>
      </w:r>
    </w:p>
    <w:p w14:paraId="0A8342AC" w14:textId="77777777" w:rsidR="00F76406" w:rsidRPr="00DD7BD1" w:rsidRDefault="00F76406" w:rsidP="00F76406">
      <w:pPr>
        <w:pStyle w:val="BodyText"/>
        <w:spacing w:after="0" w:line="240" w:lineRule="auto"/>
        <w:rPr>
          <w:rStyle w:val="BodyTextChar"/>
          <w:rFonts w:eastAsiaTheme="minorHAnsi" w:cs="Calibri"/>
          <w:sz w:val="16"/>
          <w:szCs w:val="16"/>
        </w:rPr>
      </w:pPr>
    </w:p>
    <w:p w14:paraId="75F11364" w14:textId="77777777" w:rsidR="00F76406" w:rsidRPr="00DD7BD1" w:rsidRDefault="00F76406" w:rsidP="00F76406">
      <w:pPr>
        <w:spacing w:after="0" w:line="240" w:lineRule="auto"/>
        <w:rPr>
          <w:rStyle w:val="BodyTextChar"/>
          <w:rFonts w:eastAsiaTheme="minorHAnsi" w:cs="Calibri"/>
          <w:color w:val="auto"/>
          <w:szCs w:val="22"/>
        </w:rPr>
      </w:pPr>
      <w:r w:rsidRPr="00DD7BD1">
        <w:rPr>
          <w:rStyle w:val="BodyTextChar"/>
          <w:rFonts w:eastAsiaTheme="minorHAnsi" w:cs="Calibri"/>
          <w:color w:val="auto"/>
          <w:szCs w:val="22"/>
        </w:rPr>
        <w:t xml:space="preserve">The </w:t>
      </w:r>
      <w:hyperlink r:id="rId825" w:anchor="rate-sheets-for-employers-" w:history="1">
        <w:r w:rsidRPr="00DD7BD1">
          <w:rPr>
            <w:rStyle w:val="Hyperlink"/>
            <w:rFonts w:ascii="Calibri" w:hAnsi="Calibri" w:cs="Calibri"/>
            <w:color w:val="auto"/>
          </w:rPr>
          <w:t>notice</w:t>
        </w:r>
      </w:hyperlink>
      <w:r w:rsidRPr="00DD7BD1">
        <w:rPr>
          <w:rStyle w:val="BodyTextChar"/>
          <w:rFonts w:eastAsiaTheme="minorHAnsi" w:cs="Calibri"/>
          <w:color w:val="auto"/>
          <w:szCs w:val="22"/>
        </w:rPr>
        <w:t xml:space="preserve"> of the rate</w:t>
      </w:r>
      <w:r w:rsidRPr="00DD7BD1">
        <w:rPr>
          <w:rStyle w:val="BodyTextChar"/>
          <w:rFonts w:eastAsiaTheme="minorHAnsi" w:cs="Calibri"/>
          <w:color w:val="auto"/>
          <w:szCs w:val="22"/>
          <w:u w:val="single"/>
        </w:rPr>
        <w:t xml:space="preserve"> may be provided electronically and does not require an updated signature.</w:t>
      </w:r>
      <w:r w:rsidRPr="00DD7BD1">
        <w:rPr>
          <w:rStyle w:val="BodyTextChar"/>
          <w:rFonts w:eastAsiaTheme="minorHAnsi" w:cs="Calibri"/>
          <w:color w:val="auto"/>
          <w:szCs w:val="22"/>
        </w:rPr>
        <w:t xml:space="preserve"> Different rate sheets are available for employers with 25 or more covered employees and for smaller employers.</w:t>
      </w:r>
    </w:p>
    <w:p w14:paraId="3C81D020" w14:textId="77777777" w:rsidR="00F76406" w:rsidRPr="00DD7BD1" w:rsidRDefault="00F76406" w:rsidP="00F76406">
      <w:pPr>
        <w:pStyle w:val="SubHeader"/>
        <w:spacing w:line="240" w:lineRule="auto"/>
        <w:rPr>
          <w:rFonts w:cs="Calibri"/>
          <w:sz w:val="16"/>
          <w:szCs w:val="16"/>
        </w:rPr>
      </w:pPr>
    </w:p>
    <w:p w14:paraId="5B1A2B92" w14:textId="77777777"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Employee Notices</w:t>
      </w:r>
    </w:p>
    <w:p w14:paraId="160678FA" w14:textId="77777777" w:rsidR="00F76406" w:rsidRPr="00DD7BD1" w:rsidRDefault="00F76406" w:rsidP="00F76406">
      <w:pPr>
        <w:pStyle w:val="BodyText"/>
        <w:spacing w:after="0" w:line="240" w:lineRule="auto"/>
        <w:rPr>
          <w:rStyle w:val="BodyTextChar"/>
          <w:rFonts w:eastAsiaTheme="minorHAnsi" w:cs="Calibri"/>
          <w:color w:val="auto"/>
          <w:szCs w:val="22"/>
        </w:rPr>
      </w:pPr>
      <w:r w:rsidRPr="00DD7BD1">
        <w:rPr>
          <w:rFonts w:eastAsia="Calibri" w:cs="Calibri"/>
          <w:color w:val="auto"/>
          <w:szCs w:val="22"/>
        </w:rPr>
        <w:t>By statute, employers must provide each new hire with a</w:t>
      </w:r>
      <w:r w:rsidRPr="00DD7BD1">
        <w:rPr>
          <w:rFonts w:eastAsia="Calibri" w:cs="Calibri"/>
          <w:szCs w:val="22"/>
        </w:rPr>
        <w:t xml:space="preserve"> </w:t>
      </w:r>
      <w:hyperlink r:id="rId826" w:anchor="2023" w:history="1">
        <w:r w:rsidRPr="00DD7BD1">
          <w:rPr>
            <w:rStyle w:val="Hyperlink"/>
            <w:rFonts w:eastAsia="Calibri" w:cs="Calibri"/>
            <w:bCs/>
            <w:szCs w:val="22"/>
          </w:rPr>
          <w:t>written notice</w:t>
        </w:r>
      </w:hyperlink>
      <w:r w:rsidRPr="00DD7BD1">
        <w:rPr>
          <w:rFonts w:eastAsia="Calibri" w:cs="Calibri"/>
          <w:szCs w:val="22"/>
        </w:rPr>
        <w:t xml:space="preserve"> </w:t>
      </w:r>
      <w:r w:rsidRPr="00DD7BD1">
        <w:rPr>
          <w:rFonts w:eastAsia="Calibri" w:cs="Calibri"/>
          <w:color w:val="auto"/>
          <w:szCs w:val="22"/>
        </w:rPr>
        <w:t xml:space="preserve">about PFML </w:t>
      </w:r>
      <w:r w:rsidRPr="00DD7BD1">
        <w:rPr>
          <w:rFonts w:eastAsia="Calibri" w:cs="Calibri"/>
          <w:b/>
          <w:color w:val="auto"/>
          <w:szCs w:val="22"/>
        </w:rPr>
        <w:t>within 30 days of  “the beginning date of the employee's employment</w:t>
      </w:r>
      <w:r w:rsidRPr="00DD7BD1">
        <w:rPr>
          <w:rFonts w:eastAsia="Calibri" w:cs="Calibri"/>
          <w:color w:val="auto"/>
          <w:szCs w:val="22"/>
        </w:rPr>
        <w:t xml:space="preserve">.” The employer must obtain the employee’s </w:t>
      </w:r>
      <w:r w:rsidRPr="00DD7BD1">
        <w:rPr>
          <w:rFonts w:eastAsia="Calibri" w:cs="Calibri"/>
          <w:b/>
          <w:color w:val="auto"/>
          <w:szCs w:val="22"/>
        </w:rPr>
        <w:t>written acknowledgment of receipt</w:t>
      </w:r>
      <w:r w:rsidRPr="00DD7BD1">
        <w:rPr>
          <w:rFonts w:eastAsia="Calibri" w:cs="Calibri"/>
          <w:color w:val="auto"/>
          <w:szCs w:val="22"/>
        </w:rPr>
        <w:t xml:space="preserve"> or have the employee sign a statement that they </w:t>
      </w:r>
      <w:proofErr w:type="gramStart"/>
      <w:r w:rsidRPr="00DD7BD1">
        <w:rPr>
          <w:rFonts w:eastAsia="Calibri" w:cs="Calibri"/>
          <w:color w:val="auto"/>
          <w:szCs w:val="22"/>
        </w:rPr>
        <w:t>refused</w:t>
      </w:r>
      <w:proofErr w:type="gramEnd"/>
      <w:r w:rsidRPr="00DD7BD1">
        <w:rPr>
          <w:rFonts w:eastAsia="Calibri" w:cs="Calibri"/>
          <w:color w:val="auto"/>
          <w:szCs w:val="22"/>
        </w:rPr>
        <w:t xml:space="preserve"> to sign the acknowledgment. </w:t>
      </w:r>
      <w:r w:rsidRPr="00DD7BD1">
        <w:rPr>
          <w:rStyle w:val="BodyTextChar"/>
          <w:rFonts w:eastAsiaTheme="minorHAnsi" w:cs="Calibri"/>
          <w:color w:val="auto"/>
          <w:szCs w:val="22"/>
        </w:rPr>
        <w:t xml:space="preserve">The notice must be available in English and each language that is the primary language of five or more individuals in the employer’s workforce, if these translations are available from the department. </w:t>
      </w:r>
    </w:p>
    <w:p w14:paraId="12DC6DB5" w14:textId="77777777" w:rsidR="00F76406" w:rsidRPr="00DD7BD1" w:rsidRDefault="00F76406" w:rsidP="00F76406">
      <w:pPr>
        <w:pStyle w:val="BodyText"/>
        <w:spacing w:after="0" w:line="240" w:lineRule="auto"/>
        <w:rPr>
          <w:rStyle w:val="BodyTextChar"/>
          <w:rFonts w:eastAsiaTheme="minorHAnsi" w:cs="Calibri"/>
          <w:color w:val="auto"/>
          <w:sz w:val="16"/>
          <w:szCs w:val="16"/>
        </w:rPr>
      </w:pPr>
    </w:p>
    <w:p w14:paraId="115BC8BE" w14:textId="77777777" w:rsidR="00F76406" w:rsidRPr="00DD7BD1" w:rsidRDefault="00F76406" w:rsidP="00F76406">
      <w:pPr>
        <w:pStyle w:val="BodyText"/>
        <w:spacing w:after="0" w:line="240" w:lineRule="auto"/>
        <w:rPr>
          <w:rStyle w:val="BodyTextChar"/>
          <w:rFonts w:eastAsiaTheme="minorHAnsi" w:cs="Calibri"/>
          <w:b/>
          <w:bCs/>
          <w:color w:val="auto"/>
          <w:szCs w:val="22"/>
        </w:rPr>
      </w:pPr>
      <w:r w:rsidRPr="00DD7BD1">
        <w:rPr>
          <w:rStyle w:val="BodyTextChar"/>
          <w:rFonts w:eastAsiaTheme="minorHAnsi" w:cs="Calibri"/>
          <w:color w:val="auto"/>
          <w:szCs w:val="22"/>
        </w:rPr>
        <w:t xml:space="preserve">The department publishes separate notices for employers with 25 or more covered individuals, fewer than 25 covered individuals, 25 or more self-employed individuals, and </w:t>
      </w:r>
      <w:r w:rsidRPr="00DD7BD1">
        <w:rPr>
          <w:rStyle w:val="Strong"/>
          <w:rFonts w:eastAsiaTheme="majorEastAsia" w:cs="Calibri"/>
          <w:color w:val="auto"/>
          <w:szCs w:val="22"/>
        </w:rPr>
        <w:t>fewer than 25 self-employed individuals.</w:t>
      </w:r>
    </w:p>
    <w:p w14:paraId="44215A4C" w14:textId="77777777" w:rsidR="00F76406" w:rsidRPr="00DD7BD1" w:rsidRDefault="00F76406" w:rsidP="00F76406">
      <w:pPr>
        <w:pStyle w:val="SubHeader"/>
        <w:spacing w:line="240" w:lineRule="auto"/>
        <w:rPr>
          <w:rFonts w:cs="Calibri"/>
          <w:color w:val="auto"/>
          <w:sz w:val="16"/>
          <w:szCs w:val="16"/>
        </w:rPr>
      </w:pPr>
    </w:p>
    <w:p w14:paraId="0930E42A" w14:textId="2D698508"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Workplace Poster</w:t>
      </w:r>
    </w:p>
    <w:p w14:paraId="33ADC92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lastRenderedPageBreak/>
        <w:t>Employers must also display a</w:t>
      </w:r>
      <w:r w:rsidRPr="00DD7BD1">
        <w:rPr>
          <w:rFonts w:cs="Calibri"/>
          <w:szCs w:val="22"/>
        </w:rPr>
        <w:t xml:space="preserve"> </w:t>
      </w:r>
      <w:hyperlink r:id="rId827" w:history="1">
        <w:r w:rsidRPr="00DD7BD1">
          <w:rPr>
            <w:rStyle w:val="Hyperlink"/>
            <w:rFonts w:cs="Calibri"/>
            <w:szCs w:val="22"/>
          </w:rPr>
          <w:t>poster</w:t>
        </w:r>
      </w:hyperlink>
      <w:r w:rsidRPr="00DD7BD1">
        <w:rPr>
          <w:rFonts w:cs="Calibri"/>
          <w:szCs w:val="22"/>
        </w:rPr>
        <w:t xml:space="preserve"> </w:t>
      </w:r>
      <w:r w:rsidRPr="00DD7BD1">
        <w:rPr>
          <w:rFonts w:cs="Calibri"/>
          <w:color w:val="auto"/>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39C0D8CB" w14:textId="77777777" w:rsidR="00F76406" w:rsidRPr="00DD7BD1" w:rsidRDefault="00F76406" w:rsidP="003B5859">
      <w:pPr>
        <w:spacing w:after="0" w:line="240" w:lineRule="auto"/>
        <w:ind w:right="-450"/>
        <w:rPr>
          <w:rFonts w:ascii="Calibri" w:hAnsi="Calibri" w:cs="Calibri"/>
          <w:b/>
          <w:spacing w:val="-2"/>
        </w:rPr>
      </w:pPr>
    </w:p>
    <w:p w14:paraId="522AAE8A" w14:textId="77777777" w:rsidR="005C4077" w:rsidRPr="00DD7BD1" w:rsidRDefault="005C4077" w:rsidP="005C4077">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 xml:space="preserve">Upcoming Annual Wage Data Reporting Obligations </w:t>
      </w:r>
      <w:r w:rsidRPr="00DD7BD1">
        <w:rPr>
          <w:rFonts w:cs="Calibri"/>
          <w:b/>
          <w:bCs/>
          <w:color w:val="C00000"/>
          <w:sz w:val="28"/>
          <w:szCs w:val="28"/>
          <w:shd w:val="clear" w:color="auto" w:fill="FFFFFF"/>
        </w:rPr>
        <w:t>– Eff Feb 1, 2026</w:t>
      </w:r>
    </w:p>
    <w:p w14:paraId="4A76CD8E" w14:textId="77777777" w:rsidR="005C4077" w:rsidRPr="00DD7BD1" w:rsidRDefault="005C4077" w:rsidP="007B1970">
      <w:pPr>
        <w:pStyle w:val="BodyText"/>
        <w:spacing w:after="0" w:line="240" w:lineRule="auto"/>
        <w:jc w:val="left"/>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zCs w:val="22"/>
        </w:rPr>
        <w:t xml:space="preserve">has also required, since Feb. 1, 2025, that employers with 100 or more employees submit an annual </w:t>
      </w:r>
      <w:hyperlink r:id="rId828">
        <w:r w:rsidRPr="00DD7BD1">
          <w:rPr>
            <w:rFonts w:cs="Calibri"/>
            <w:color w:val="auto"/>
            <w:szCs w:val="22"/>
          </w:rPr>
          <w:t>aggregate wage data report,</w:t>
        </w:r>
      </w:hyperlink>
      <w:r w:rsidRPr="00DD7BD1">
        <w:rPr>
          <w:rFonts w:cs="Calibri"/>
          <w:color w:val="auto"/>
          <w:szCs w:val="22"/>
        </w:rPr>
        <w:t xml:space="preserve"> including workforce demographic and pay data categorized by race, ethnicity, sex and job category. These are not new reports but rather copies of the same required data as the U.S. Equal Employment Opportunity Commission (EEOC) Employer Information Report, commonly known as an EEO-1 report. Employers who file EEO-3 or EEO-5 reports must submit these reports every other year beginning on Feb. 1, 2025. Employers who file EEO-4 reports must submit these reports every other year beginning on Feb. 1, 2026. As with the Act's employee threshold for pay disclosures, the 100-employee threshold for pay reporting includes all full-time, part-time, seasonal, temporary and remote employees with a primary place of work in Massachusetts.</w:t>
      </w:r>
    </w:p>
    <w:p w14:paraId="5CD46D98" w14:textId="77777777" w:rsidR="007B1970" w:rsidRPr="00DD7BD1" w:rsidRDefault="007B1970" w:rsidP="007B1970">
      <w:pPr>
        <w:pStyle w:val="BodyText"/>
        <w:spacing w:after="0" w:line="240" w:lineRule="auto"/>
        <w:jc w:val="left"/>
        <w:rPr>
          <w:rFonts w:cs="Calibri"/>
          <w:color w:val="auto"/>
          <w:szCs w:val="22"/>
        </w:rPr>
      </w:pPr>
    </w:p>
    <w:p w14:paraId="3C942E93" w14:textId="77777777" w:rsidR="007B1970" w:rsidRPr="00DD7BD1" w:rsidRDefault="007B1970" w:rsidP="007B1970">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Health Insurance Responsibility Disclosure (HIRD) Reporting –</w:t>
      </w:r>
      <w:r w:rsidRPr="00DD7BD1">
        <w:rPr>
          <w:rFonts w:cs="Calibri"/>
          <w:color w:val="auto"/>
          <w:szCs w:val="22"/>
        </w:rPr>
        <w:t xml:space="preserve"> </w:t>
      </w:r>
      <w:r w:rsidRPr="00DD7BD1">
        <w:rPr>
          <w:rFonts w:cs="Calibri"/>
          <w:b/>
          <w:bCs/>
          <w:color w:val="C00000"/>
          <w:sz w:val="28"/>
          <w:szCs w:val="28"/>
          <w:shd w:val="clear" w:color="auto" w:fill="FFFFFF"/>
        </w:rPr>
        <w:t>Due Dec 15</w:t>
      </w:r>
    </w:p>
    <w:tbl>
      <w:tblPr>
        <w:tblW w:w="5081" w:type="pct"/>
        <w:tblCellMar>
          <w:left w:w="0" w:type="dxa"/>
          <w:right w:w="0" w:type="dxa"/>
        </w:tblCellMar>
        <w:tblLook w:val="04A0" w:firstRow="1" w:lastRow="0" w:firstColumn="1" w:lastColumn="0" w:noHBand="0" w:noVBand="1"/>
        <w:tblCaption w:val=""/>
      </w:tblPr>
      <w:tblGrid>
        <w:gridCol w:w="11522"/>
        <w:gridCol w:w="185"/>
      </w:tblGrid>
      <w:tr w:rsidR="007B1970" w:rsidRPr="00DD7BD1" w14:paraId="69D83553" w14:textId="77777777" w:rsidTr="00160731">
        <w:trPr>
          <w:gridAfter w:val="1"/>
          <w:wAfter w:w="79" w:type="pct"/>
        </w:trPr>
        <w:tc>
          <w:tcPr>
            <w:tcW w:w="0" w:type="auto"/>
            <w:tcBorders>
              <w:top w:val="nil"/>
              <w:left w:val="nil"/>
              <w:bottom w:val="nil"/>
              <w:right w:val="nil"/>
            </w:tcBorders>
            <w:tcMar>
              <w:top w:w="90" w:type="dxa"/>
              <w:left w:w="240" w:type="dxa"/>
              <w:bottom w:w="90" w:type="dxa"/>
              <w:right w:w="240" w:type="dxa"/>
            </w:tcMar>
            <w:vAlign w:val="center"/>
            <w:hideMark/>
          </w:tcPr>
          <w:p w14:paraId="1BCB85C9" w14:textId="77777777" w:rsidR="007B1970" w:rsidRPr="00DD7BD1" w:rsidRDefault="007B1970" w:rsidP="007B1970">
            <w:pPr>
              <w:pStyle w:val="BodyText"/>
              <w:spacing w:after="0" w:line="240" w:lineRule="auto"/>
              <w:rPr>
                <w:rFonts w:cs="Calibri"/>
                <w:szCs w:val="22"/>
                <w:shd w:val="clear" w:color="auto" w:fill="FFFFFF"/>
              </w:rPr>
            </w:pPr>
          </w:p>
        </w:tc>
      </w:tr>
      <w:tr w:rsidR="007B1970" w:rsidRPr="00DD7BD1" w14:paraId="214AABEE"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42F0090E"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2682B208"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ETC sent out separate compliance reminders back on October 31</w:t>
                  </w:r>
                  <w:r w:rsidRPr="00DD7BD1">
                    <w:rPr>
                      <w:rFonts w:cs="Calibri"/>
                      <w:color w:val="auto"/>
                      <w:szCs w:val="22"/>
                      <w:shd w:val="clear" w:color="auto" w:fill="FFFFFF"/>
                      <w:vertAlign w:val="superscript"/>
                    </w:rPr>
                    <w:t>st</w:t>
                  </w:r>
                  <w:r w:rsidRPr="00DD7BD1">
                    <w:rPr>
                      <w:rFonts w:cs="Calibri"/>
                      <w:color w:val="auto"/>
                      <w:szCs w:val="22"/>
                      <w:shd w:val="clear" w:color="auto" w:fill="FFFFFF"/>
                    </w:rPr>
                    <w:t>; however, as a reminder:</w:t>
                  </w:r>
                </w:p>
                <w:p w14:paraId="7EF4A090"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b/>
                      <w:bCs/>
                      <w:color w:val="auto"/>
                      <w:szCs w:val="22"/>
                      <w:shd w:val="clear" w:color="auto" w:fill="FFFFFF"/>
                    </w:rPr>
                    <w:t>The Health Insurance Responsibility Disclosure (HIRD)</w:t>
                  </w:r>
                  <w:r w:rsidRPr="00DD7BD1">
                    <w:rPr>
                      <w:rFonts w:cs="Calibri"/>
                      <w:color w:val="auto"/>
                      <w:szCs w:val="22"/>
                      <w:shd w:val="clear" w:color="auto" w:fill="FFFFFF"/>
                    </w:rPr>
                    <w:t xml:space="preserve"> form submission is a </w:t>
                  </w:r>
                  <w:r w:rsidRPr="00DD7BD1">
                    <w:rPr>
                      <w:rFonts w:cs="Calibri"/>
                      <w:b/>
                      <w:bCs/>
                      <w:color w:val="auto"/>
                      <w:szCs w:val="22"/>
                      <w:shd w:val="clear" w:color="auto" w:fill="FFFFFF"/>
                    </w:rPr>
                    <w:t>state reporting requirement</w:t>
                  </w:r>
                  <w:r w:rsidRPr="00DD7BD1">
                    <w:rPr>
                      <w:rFonts w:cs="Calibri"/>
                      <w:color w:val="auto"/>
                      <w:szCs w:val="22"/>
                      <w:shd w:val="clear" w:color="auto" w:fill="FFFFFF"/>
                    </w:rPr>
                    <w:t> in Massachusetts. The HIRD form collects employer-level information about your employer-sponsored insurance (ESI) offerings. The HIRD reporting is administered by MassHealth and the Department of Revenue (DOR) through the </w:t>
                  </w:r>
                  <w:proofErr w:type="spellStart"/>
                  <w:r w:rsidRPr="00DD7BD1">
                    <w:rPr>
                      <w:rFonts w:cs="Calibri"/>
                      <w:b/>
                      <w:bCs/>
                      <w:color w:val="auto"/>
                      <w:szCs w:val="22"/>
                      <w:shd w:val="clear" w:color="auto" w:fill="FFFFFF"/>
                    </w:rPr>
                    <w:t>MassTaxConnect</w:t>
                  </w:r>
                  <w:proofErr w:type="spellEnd"/>
                  <w:r w:rsidRPr="00DD7BD1">
                    <w:rPr>
                      <w:rFonts w:cs="Calibri"/>
                      <w:b/>
                      <w:bCs/>
                      <w:color w:val="auto"/>
                      <w:szCs w:val="22"/>
                      <w:shd w:val="clear" w:color="auto" w:fill="FFFFFF"/>
                    </w:rPr>
                    <w:t xml:space="preserve"> (MTC) web portal.</w:t>
                  </w:r>
                  <w:r w:rsidRPr="00DD7BD1">
                    <w:rPr>
                      <w:rFonts w:cs="Calibri"/>
                      <w:color w:val="auto"/>
                      <w:szCs w:val="22"/>
                      <w:shd w:val="clear" w:color="auto" w:fill="FFFFFF"/>
                    </w:rPr>
                    <w:t> </w:t>
                  </w:r>
                </w:p>
                <w:p w14:paraId="09C0B558" w14:textId="4577F375" w:rsidR="007B1970" w:rsidRPr="00DD7BD1" w:rsidRDefault="007B1970" w:rsidP="007B1970">
                  <w:pPr>
                    <w:pStyle w:val="BodyText"/>
                    <w:spacing w:after="0" w:line="240" w:lineRule="auto"/>
                    <w:ind w:left="-180"/>
                    <w:jc w:val="left"/>
                    <w:rPr>
                      <w:rFonts w:cs="Calibri"/>
                      <w:color w:val="auto"/>
                      <w:sz w:val="16"/>
                      <w:szCs w:val="16"/>
                      <w:shd w:val="clear" w:color="auto" w:fill="FFFFFF"/>
                    </w:rPr>
                  </w:pPr>
                </w:p>
                <w:p w14:paraId="40F99C5A"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The HIRD form assists MassHealth in identifying its members with access to qualifying ESI who may be eligible for the MassHealth Premium Assistance Program and must be completed by December 15 of the reporting year.</w:t>
                  </w:r>
                </w:p>
              </w:tc>
            </w:tr>
          </w:tbl>
          <w:p w14:paraId="0D982832"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r w:rsidR="007B1970" w:rsidRPr="00DD7BD1" w14:paraId="088CE511"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0594B0A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8B291EB"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State law requires </w:t>
                  </w:r>
                  <w:r w:rsidRPr="00DD7BD1">
                    <w:rPr>
                      <w:rFonts w:cs="Calibri"/>
                      <w:b/>
                      <w:bCs/>
                      <w:color w:val="auto"/>
                      <w:szCs w:val="22"/>
                      <w:shd w:val="clear" w:color="auto" w:fill="FFFFFF"/>
                    </w:rPr>
                    <w:t>every employer with 6 or more employees in the state of Massachusetts</w:t>
                  </w:r>
                  <w:r w:rsidRPr="00DD7BD1">
                    <w:rPr>
                      <w:rFonts w:cs="Calibri"/>
                      <w:color w:val="auto"/>
                      <w:szCs w:val="22"/>
                      <w:shd w:val="clear" w:color="auto" w:fill="FFFFFF"/>
                    </w:rPr>
                    <w:t> to </w:t>
                  </w:r>
                  <w:r w:rsidRPr="00DD7BD1">
                    <w:rPr>
                      <w:rFonts w:cs="Calibri"/>
                      <w:b/>
                      <w:bCs/>
                      <w:color w:val="auto"/>
                      <w:szCs w:val="22"/>
                      <w:shd w:val="clear" w:color="auto" w:fill="FFFFFF"/>
                    </w:rPr>
                    <w:t>annually submit a HIRD form</w:t>
                  </w:r>
                  <w:r w:rsidRPr="00DD7BD1">
                    <w:rPr>
                      <w:rFonts w:cs="Calibri"/>
                      <w:color w:val="auto"/>
                      <w:szCs w:val="22"/>
                      <w:shd w:val="clear" w:color="auto" w:fill="FFFFFF"/>
                    </w:rPr>
                    <w:t xml:space="preserve">. If you are an in-state or out-of-state employer who </w:t>
                  </w:r>
                  <w:proofErr w:type="gramStart"/>
                  <w:r w:rsidRPr="00DD7BD1">
                    <w:rPr>
                      <w:rFonts w:cs="Calibri"/>
                      <w:color w:val="auto"/>
                      <w:szCs w:val="22"/>
                      <w:shd w:val="clear" w:color="auto" w:fill="FFFFFF"/>
                    </w:rPr>
                    <w:t>had</w:t>
                  </w:r>
                  <w:proofErr w:type="gramEnd"/>
                  <w:r w:rsidRPr="00DD7BD1">
                    <w:rPr>
                      <w:rFonts w:cs="Calibri"/>
                      <w:color w:val="auto"/>
                      <w:szCs w:val="22"/>
                      <w:shd w:val="clear" w:color="auto" w:fill="FFFFFF"/>
                    </w:rPr>
                    <w:t xml:space="preserve"> six or more employees within Massachusetts during the past 12 months, you are required to complete the HIRD form. </w:t>
                  </w:r>
                </w:p>
              </w:tc>
            </w:tr>
          </w:tbl>
          <w:p w14:paraId="3449A6B3"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bl>
    <w:p w14:paraId="2690D82D" w14:textId="77777777" w:rsidR="007B1970" w:rsidRPr="00DD7BD1" w:rsidRDefault="007B1970" w:rsidP="007B1970">
      <w:pPr>
        <w:spacing w:after="0" w:line="240" w:lineRule="auto"/>
        <w:ind w:right="-450"/>
        <w:rPr>
          <w:rFonts w:ascii="Calibri" w:hAnsi="Calibri" w:cs="Calibri"/>
          <w:b/>
          <w:spacing w:val="-2"/>
          <w:sz w:val="28"/>
        </w:rPr>
      </w:pPr>
    </w:p>
    <w:p w14:paraId="4AE12FCF" w14:textId="1DC1EB79" w:rsidR="009962E5" w:rsidRPr="00DD7BD1" w:rsidRDefault="003A22A9" w:rsidP="007B1970">
      <w:pPr>
        <w:spacing w:after="0" w:line="240" w:lineRule="auto"/>
        <w:ind w:right="-450"/>
        <w:jc w:val="center"/>
        <w:rPr>
          <w:rFonts w:ascii="Calibri" w:hAnsi="Calibri" w:cs="Calibri"/>
          <w:b/>
          <w:sz w:val="28"/>
        </w:rPr>
      </w:pPr>
      <w:r w:rsidRPr="00DD7BD1">
        <w:rPr>
          <w:rFonts w:ascii="Calibri" w:hAnsi="Calibri" w:cs="Calibri"/>
          <w:b/>
          <w:spacing w:val="-2"/>
          <w:sz w:val="28"/>
        </w:rPr>
        <w:t>State’s</w:t>
      </w:r>
      <w:r w:rsidRPr="00DD7BD1">
        <w:rPr>
          <w:rFonts w:ascii="Calibri" w:hAnsi="Calibri" w:cs="Calibri"/>
          <w:b/>
          <w:spacing w:val="-17"/>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Transparency</w:t>
      </w:r>
      <w:r w:rsidRPr="00DD7BD1">
        <w:rPr>
          <w:rFonts w:ascii="Calibri" w:hAnsi="Calibri" w:cs="Calibri"/>
          <w:b/>
          <w:spacing w:val="-18"/>
          <w:sz w:val="28"/>
        </w:rPr>
        <w:t xml:space="preserve"> </w:t>
      </w:r>
      <w:r w:rsidRPr="00DD7BD1">
        <w:rPr>
          <w:rFonts w:ascii="Calibri" w:hAnsi="Calibri" w:cs="Calibri"/>
          <w:b/>
          <w:spacing w:val="-2"/>
          <w:sz w:val="28"/>
        </w:rPr>
        <w:t>Regulations:</w:t>
      </w:r>
      <w:r w:rsidRPr="00DD7BD1">
        <w:rPr>
          <w:rFonts w:ascii="Calibri" w:hAnsi="Calibri" w:cs="Calibri"/>
          <w:b/>
          <w:spacing w:val="-13"/>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Ranges</w:t>
      </w:r>
      <w:r w:rsidRPr="00DD7BD1">
        <w:rPr>
          <w:rFonts w:ascii="Calibri" w:hAnsi="Calibri" w:cs="Calibri"/>
          <w:b/>
          <w:spacing w:val="-16"/>
          <w:sz w:val="28"/>
        </w:rPr>
        <w:t xml:space="preserve"> </w:t>
      </w:r>
      <w:r w:rsidRPr="00DD7BD1">
        <w:rPr>
          <w:rFonts w:ascii="Calibri" w:hAnsi="Calibri" w:cs="Calibri"/>
          <w:b/>
          <w:spacing w:val="-2"/>
          <w:sz w:val="28"/>
        </w:rPr>
        <w:t>in</w:t>
      </w:r>
      <w:r w:rsidRPr="00DD7BD1">
        <w:rPr>
          <w:rFonts w:ascii="Calibri" w:hAnsi="Calibri" w:cs="Calibri"/>
          <w:b/>
          <w:spacing w:val="-16"/>
          <w:sz w:val="28"/>
        </w:rPr>
        <w:t xml:space="preserve"> </w:t>
      </w:r>
      <w:r w:rsidRPr="00DD7BD1">
        <w:rPr>
          <w:rFonts w:ascii="Calibri" w:hAnsi="Calibri" w:cs="Calibri"/>
          <w:b/>
          <w:spacing w:val="-2"/>
          <w:sz w:val="28"/>
        </w:rPr>
        <w:t>Job</w:t>
      </w:r>
      <w:r w:rsidRPr="00DD7BD1">
        <w:rPr>
          <w:rFonts w:ascii="Calibri" w:hAnsi="Calibri" w:cs="Calibri"/>
          <w:b/>
          <w:spacing w:val="-16"/>
          <w:sz w:val="28"/>
        </w:rPr>
        <w:t xml:space="preserve"> </w:t>
      </w:r>
      <w:r w:rsidRPr="00DD7BD1">
        <w:rPr>
          <w:rFonts w:ascii="Calibri" w:hAnsi="Calibri" w:cs="Calibri"/>
          <w:b/>
          <w:spacing w:val="-2"/>
          <w:sz w:val="28"/>
        </w:rPr>
        <w:t>Postings</w:t>
      </w:r>
      <w:r w:rsidRPr="00DD7BD1">
        <w:rPr>
          <w:rFonts w:ascii="Calibri" w:hAnsi="Calibri" w:cs="Calibri"/>
          <w:b/>
          <w:spacing w:val="-18"/>
          <w:sz w:val="28"/>
        </w:rPr>
        <w:t xml:space="preserve"> </w:t>
      </w:r>
      <w:r w:rsidRPr="00DD7BD1">
        <w:rPr>
          <w:rFonts w:ascii="Calibri" w:hAnsi="Calibri" w:cs="Calibri"/>
          <w:b/>
          <w:spacing w:val="-2"/>
          <w:sz w:val="28"/>
        </w:rPr>
        <w:t>and</w:t>
      </w:r>
      <w:r w:rsidRPr="00DD7BD1">
        <w:rPr>
          <w:rFonts w:ascii="Calibri" w:hAnsi="Calibri" w:cs="Calibri"/>
          <w:b/>
          <w:spacing w:val="-17"/>
          <w:sz w:val="28"/>
        </w:rPr>
        <w:t xml:space="preserve"> </w:t>
      </w:r>
      <w:r w:rsidRPr="00DD7BD1">
        <w:rPr>
          <w:rFonts w:ascii="Calibri" w:hAnsi="Calibri" w:cs="Calibri"/>
          <w:b/>
          <w:spacing w:val="-2"/>
          <w:sz w:val="28"/>
        </w:rPr>
        <w:t xml:space="preserve">Upon </w:t>
      </w:r>
      <w:r w:rsidRPr="00DD7BD1">
        <w:rPr>
          <w:rFonts w:ascii="Calibri" w:hAnsi="Calibri" w:cs="Calibri"/>
          <w:b/>
          <w:sz w:val="28"/>
        </w:rPr>
        <w:t>Request –</w:t>
      </w:r>
    </w:p>
    <w:p w14:paraId="10B23FEE" w14:textId="7074C61D" w:rsidR="003A22A9" w:rsidRPr="00DD7BD1" w:rsidRDefault="003A22A9" w:rsidP="003A22A9">
      <w:pPr>
        <w:spacing w:after="0" w:line="240" w:lineRule="auto"/>
        <w:ind w:right="-450"/>
        <w:jc w:val="center"/>
        <w:rPr>
          <w:rFonts w:ascii="Calibri" w:hAnsi="Calibri" w:cs="Calibri"/>
          <w:b/>
          <w:sz w:val="28"/>
        </w:rPr>
      </w:pPr>
      <w:r w:rsidRPr="00DD7BD1">
        <w:rPr>
          <w:rFonts w:ascii="Calibri" w:hAnsi="Calibri" w:cs="Calibri"/>
          <w:b/>
          <w:color w:val="C00000"/>
          <w:sz w:val="28"/>
        </w:rPr>
        <w:t>Eff Oct 29, 2025</w:t>
      </w:r>
    </w:p>
    <w:p w14:paraId="214B5AA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Starting</w:t>
      </w:r>
      <w:r w:rsidRPr="00DD7BD1">
        <w:rPr>
          <w:rFonts w:cs="Calibri"/>
          <w:color w:val="000000" w:themeColor="text1"/>
          <w:spacing w:val="-17"/>
          <w:w w:val="110"/>
          <w:szCs w:val="22"/>
        </w:rPr>
        <w:t xml:space="preserve"> </w:t>
      </w:r>
      <w:r w:rsidRPr="00DD7BD1">
        <w:rPr>
          <w:rFonts w:cs="Calibri"/>
          <w:color w:val="000000" w:themeColor="text1"/>
          <w:w w:val="110"/>
          <w:szCs w:val="22"/>
        </w:rPr>
        <w:t>October</w:t>
      </w:r>
      <w:r w:rsidRPr="00DD7BD1">
        <w:rPr>
          <w:rFonts w:cs="Calibri"/>
          <w:color w:val="000000" w:themeColor="text1"/>
          <w:spacing w:val="-17"/>
          <w:w w:val="110"/>
          <w:szCs w:val="22"/>
        </w:rPr>
        <w:t xml:space="preserve"> </w:t>
      </w:r>
      <w:r w:rsidRPr="00DD7BD1">
        <w:rPr>
          <w:rFonts w:cs="Calibri"/>
          <w:color w:val="000000" w:themeColor="text1"/>
          <w:w w:val="110"/>
          <w:szCs w:val="22"/>
        </w:rPr>
        <w:t>29,</w:t>
      </w:r>
      <w:r w:rsidRPr="00DD7BD1">
        <w:rPr>
          <w:rFonts w:cs="Calibri"/>
          <w:color w:val="000000" w:themeColor="text1"/>
          <w:spacing w:val="-17"/>
          <w:w w:val="110"/>
          <w:szCs w:val="22"/>
        </w:rPr>
        <w:t xml:space="preserve"> </w:t>
      </w:r>
      <w:r w:rsidRPr="00DD7BD1">
        <w:rPr>
          <w:rFonts w:cs="Calibri"/>
          <w:color w:val="000000" w:themeColor="text1"/>
          <w:w w:val="110"/>
          <w:szCs w:val="22"/>
        </w:rPr>
        <w:t>2025,</w:t>
      </w:r>
      <w:r w:rsidRPr="00DD7BD1">
        <w:rPr>
          <w:rFonts w:cs="Calibri"/>
          <w:color w:val="000000" w:themeColor="text1"/>
          <w:spacing w:val="-17"/>
          <w:w w:val="110"/>
          <w:szCs w:val="22"/>
        </w:rPr>
        <w:t xml:space="preserve"> </w:t>
      </w:r>
      <w:r w:rsidRPr="00DD7BD1">
        <w:rPr>
          <w:rFonts w:cs="Calibri"/>
          <w:color w:val="000000" w:themeColor="text1"/>
          <w:w w:val="110"/>
          <w:szCs w:val="22"/>
        </w:rPr>
        <w:t>employers</w:t>
      </w:r>
      <w:r w:rsidRPr="00DD7BD1">
        <w:rPr>
          <w:rFonts w:cs="Calibri"/>
          <w:color w:val="000000" w:themeColor="text1"/>
          <w:spacing w:val="-17"/>
          <w:w w:val="110"/>
          <w:szCs w:val="22"/>
        </w:rPr>
        <w:t xml:space="preserve"> </w:t>
      </w:r>
      <w:r w:rsidRPr="00DD7BD1">
        <w:rPr>
          <w:rFonts w:cs="Calibri"/>
          <w:color w:val="000000" w:themeColor="text1"/>
          <w:w w:val="110"/>
          <w:szCs w:val="22"/>
        </w:rPr>
        <w:t>with</w:t>
      </w:r>
      <w:r w:rsidRPr="00DD7BD1">
        <w:rPr>
          <w:rFonts w:cs="Calibri"/>
          <w:color w:val="000000" w:themeColor="text1"/>
          <w:spacing w:val="-16"/>
          <w:w w:val="110"/>
          <w:szCs w:val="22"/>
        </w:rPr>
        <w:t xml:space="preserve"> </w:t>
      </w:r>
      <w:r w:rsidRPr="00DD7BD1">
        <w:rPr>
          <w:rFonts w:cs="Calibri"/>
          <w:color w:val="000000" w:themeColor="text1"/>
          <w:w w:val="110"/>
          <w:szCs w:val="22"/>
        </w:rPr>
        <w:t>25</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7"/>
          <w:w w:val="110"/>
          <w:szCs w:val="22"/>
        </w:rPr>
        <w:t xml:space="preserve"> </w:t>
      </w:r>
      <w:r w:rsidRPr="00DD7BD1">
        <w:rPr>
          <w:rFonts w:cs="Calibri"/>
          <w:color w:val="000000" w:themeColor="text1"/>
          <w:w w:val="110"/>
          <w:szCs w:val="22"/>
        </w:rPr>
        <w:t>more</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in</w:t>
      </w:r>
      <w:r w:rsidRPr="00DD7BD1">
        <w:rPr>
          <w:rFonts w:cs="Calibri"/>
          <w:color w:val="000000" w:themeColor="text1"/>
          <w:spacing w:val="-16"/>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state</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have</w:t>
      </w:r>
      <w:r w:rsidRPr="00DD7BD1">
        <w:rPr>
          <w:rFonts w:cs="Calibri"/>
          <w:color w:val="000000" w:themeColor="text1"/>
          <w:spacing w:val="-17"/>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pay</w:t>
      </w:r>
      <w:r w:rsidRPr="00DD7BD1">
        <w:rPr>
          <w:rFonts w:cs="Calibri"/>
          <w:color w:val="000000" w:themeColor="text1"/>
          <w:spacing w:val="-17"/>
          <w:w w:val="110"/>
          <w:szCs w:val="22"/>
        </w:rPr>
        <w:t xml:space="preserve"> </w:t>
      </w:r>
      <w:r w:rsidRPr="00DD7BD1">
        <w:rPr>
          <w:rFonts w:cs="Calibri"/>
          <w:color w:val="000000" w:themeColor="text1"/>
          <w:w w:val="110"/>
          <w:szCs w:val="22"/>
        </w:rPr>
        <w:t>transparency obligations, outlined below.</w:t>
      </w:r>
    </w:p>
    <w:p w14:paraId="62E0FC80" w14:textId="77777777" w:rsidR="003A22A9" w:rsidRPr="00DD7BD1" w:rsidRDefault="003A22A9" w:rsidP="003A22A9">
      <w:pPr>
        <w:pStyle w:val="Heading4"/>
        <w:spacing w:before="0"/>
        <w:ind w:right="-180"/>
        <w:rPr>
          <w:rFonts w:ascii="Calibri" w:hAnsi="Calibri" w:cs="Calibri"/>
          <w:b/>
          <w:bCs/>
          <w:i w:val="0"/>
          <w:iCs w:val="0"/>
          <w:color w:val="000000" w:themeColor="text1"/>
          <w:sz w:val="16"/>
          <w:szCs w:val="16"/>
        </w:rPr>
      </w:pPr>
    </w:p>
    <w:p w14:paraId="6C4399CE"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rPr>
        <w:t>Pay</w:t>
      </w:r>
      <w:r w:rsidRPr="00DD7BD1">
        <w:rPr>
          <w:rFonts w:ascii="Calibri" w:hAnsi="Calibri" w:cs="Calibri"/>
          <w:b/>
          <w:bCs/>
          <w:i w:val="0"/>
          <w:iCs w:val="0"/>
          <w:color w:val="000000" w:themeColor="text1"/>
          <w:spacing w:val="-1"/>
        </w:rPr>
        <w:t xml:space="preserve"> </w:t>
      </w:r>
      <w:r w:rsidRPr="00DD7BD1">
        <w:rPr>
          <w:rFonts w:ascii="Calibri" w:hAnsi="Calibri" w:cs="Calibri"/>
          <w:b/>
          <w:bCs/>
          <w:i w:val="0"/>
          <w:iCs w:val="0"/>
          <w:color w:val="000000" w:themeColor="text1"/>
        </w:rPr>
        <w:t>Ranges</w:t>
      </w:r>
      <w:r w:rsidRPr="00DD7BD1">
        <w:rPr>
          <w:rFonts w:ascii="Calibri" w:hAnsi="Calibri" w:cs="Calibri"/>
          <w:b/>
          <w:bCs/>
          <w:i w:val="0"/>
          <w:iCs w:val="0"/>
          <w:color w:val="000000" w:themeColor="text1"/>
          <w:spacing w:val="2"/>
        </w:rPr>
        <w:t xml:space="preserve"> </w:t>
      </w:r>
      <w:r w:rsidRPr="00DD7BD1">
        <w:rPr>
          <w:rFonts w:ascii="Calibri" w:hAnsi="Calibri" w:cs="Calibri"/>
          <w:b/>
          <w:bCs/>
          <w:i w:val="0"/>
          <w:iCs w:val="0"/>
          <w:color w:val="000000" w:themeColor="text1"/>
        </w:rPr>
        <w:t xml:space="preserve">in Job </w:t>
      </w:r>
      <w:r w:rsidRPr="00DD7BD1">
        <w:rPr>
          <w:rFonts w:ascii="Calibri" w:hAnsi="Calibri" w:cs="Calibri"/>
          <w:b/>
          <w:bCs/>
          <w:i w:val="0"/>
          <w:iCs w:val="0"/>
          <w:color w:val="000000" w:themeColor="text1"/>
          <w:spacing w:val="-5"/>
        </w:rPr>
        <w:t>Ads</w:t>
      </w:r>
    </w:p>
    <w:p w14:paraId="787075D5"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Employers</w:t>
      </w:r>
      <w:r w:rsidRPr="00DD7BD1">
        <w:rPr>
          <w:rFonts w:cs="Calibri"/>
          <w:color w:val="000000" w:themeColor="text1"/>
          <w:spacing w:val="-4"/>
          <w:w w:val="110"/>
          <w:szCs w:val="22"/>
        </w:rPr>
        <w:t xml:space="preserve"> </w:t>
      </w:r>
      <w:r w:rsidRPr="00DD7BD1">
        <w:rPr>
          <w:rFonts w:cs="Calibri"/>
          <w:color w:val="000000" w:themeColor="text1"/>
          <w:w w:val="110"/>
          <w:szCs w:val="22"/>
        </w:rPr>
        <w:t>will</w:t>
      </w:r>
      <w:r w:rsidRPr="00DD7BD1">
        <w:rPr>
          <w:rFonts w:cs="Calibri"/>
          <w:color w:val="000000" w:themeColor="text1"/>
          <w:spacing w:val="-6"/>
          <w:w w:val="110"/>
          <w:szCs w:val="22"/>
        </w:rPr>
        <w:t xml:space="preserve"> </w:t>
      </w:r>
      <w:r w:rsidRPr="00DD7BD1">
        <w:rPr>
          <w:rFonts w:cs="Calibri"/>
          <w:color w:val="000000" w:themeColor="text1"/>
          <w:w w:val="110"/>
          <w:szCs w:val="22"/>
        </w:rPr>
        <w:t>need</w:t>
      </w:r>
      <w:r w:rsidRPr="00DD7BD1">
        <w:rPr>
          <w:rFonts w:cs="Calibri"/>
          <w:color w:val="000000" w:themeColor="text1"/>
          <w:spacing w:val="-8"/>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include</w:t>
      </w:r>
      <w:r w:rsidRPr="00DD7BD1">
        <w:rPr>
          <w:rFonts w:cs="Calibri"/>
          <w:color w:val="000000" w:themeColor="text1"/>
          <w:spacing w:val="-4"/>
          <w:w w:val="110"/>
          <w:szCs w:val="22"/>
        </w:rPr>
        <w:t xml:space="preserve"> </w:t>
      </w:r>
      <w:r w:rsidRPr="00DD7BD1">
        <w:rPr>
          <w:rFonts w:cs="Calibri"/>
          <w:color w:val="000000" w:themeColor="text1"/>
          <w:w w:val="110"/>
          <w:szCs w:val="22"/>
        </w:rPr>
        <w:t>a</w:t>
      </w:r>
      <w:r w:rsidRPr="00DD7BD1">
        <w:rPr>
          <w:rFonts w:cs="Calibri"/>
          <w:color w:val="000000" w:themeColor="text1"/>
          <w:spacing w:val="-8"/>
          <w:w w:val="110"/>
          <w:szCs w:val="22"/>
        </w:rPr>
        <w:t xml:space="preserve"> </w:t>
      </w:r>
      <w:r w:rsidRPr="00DD7BD1">
        <w:rPr>
          <w:rFonts w:cs="Calibri"/>
          <w:color w:val="000000" w:themeColor="text1"/>
          <w:w w:val="110"/>
          <w:szCs w:val="22"/>
        </w:rPr>
        <w:t>pay</w:t>
      </w:r>
      <w:r w:rsidRPr="00DD7BD1">
        <w:rPr>
          <w:rFonts w:cs="Calibri"/>
          <w:color w:val="000000" w:themeColor="text1"/>
          <w:spacing w:val="-4"/>
          <w:w w:val="110"/>
          <w:szCs w:val="22"/>
        </w:rPr>
        <w:t xml:space="preserve"> </w:t>
      </w:r>
      <w:r w:rsidRPr="00DD7BD1">
        <w:rPr>
          <w:rFonts w:cs="Calibri"/>
          <w:color w:val="000000" w:themeColor="text1"/>
          <w:w w:val="110"/>
          <w:szCs w:val="22"/>
        </w:rPr>
        <w:t>range</w:t>
      </w:r>
      <w:r w:rsidRPr="00DD7BD1">
        <w:rPr>
          <w:rFonts w:cs="Calibri"/>
          <w:color w:val="000000" w:themeColor="text1"/>
          <w:spacing w:val="-8"/>
          <w:w w:val="110"/>
          <w:szCs w:val="22"/>
        </w:rPr>
        <w:t xml:space="preserve"> </w:t>
      </w:r>
      <w:r w:rsidRPr="00DD7BD1">
        <w:rPr>
          <w:rFonts w:cs="Calibri"/>
          <w:color w:val="000000" w:themeColor="text1"/>
          <w:w w:val="110"/>
          <w:szCs w:val="22"/>
        </w:rPr>
        <w:t>in</w:t>
      </w:r>
      <w:r w:rsidRPr="00DD7BD1">
        <w:rPr>
          <w:rFonts w:cs="Calibri"/>
          <w:color w:val="000000" w:themeColor="text1"/>
          <w:spacing w:val="-5"/>
          <w:w w:val="110"/>
          <w:szCs w:val="22"/>
        </w:rPr>
        <w:t xml:space="preserve"> </w:t>
      </w:r>
      <w:r w:rsidRPr="00DD7BD1">
        <w:rPr>
          <w:rFonts w:cs="Calibri"/>
          <w:color w:val="000000" w:themeColor="text1"/>
          <w:w w:val="110"/>
          <w:szCs w:val="22"/>
        </w:rPr>
        <w:t>all</w:t>
      </w:r>
      <w:r w:rsidRPr="00DD7BD1">
        <w:rPr>
          <w:rFonts w:cs="Calibri"/>
          <w:color w:val="000000" w:themeColor="text1"/>
          <w:spacing w:val="-6"/>
          <w:w w:val="110"/>
          <w:szCs w:val="22"/>
        </w:rPr>
        <w:t xml:space="preserve"> </w:t>
      </w:r>
      <w:r w:rsidRPr="00DD7BD1">
        <w:rPr>
          <w:rFonts w:cs="Calibri"/>
          <w:color w:val="000000" w:themeColor="text1"/>
          <w:w w:val="110"/>
          <w:szCs w:val="22"/>
        </w:rPr>
        <w:t>job</w:t>
      </w:r>
      <w:r w:rsidRPr="00DD7BD1">
        <w:rPr>
          <w:rFonts w:cs="Calibri"/>
          <w:color w:val="000000" w:themeColor="text1"/>
          <w:spacing w:val="-8"/>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The</w:t>
      </w:r>
      <w:r w:rsidRPr="00DD7BD1">
        <w:rPr>
          <w:rFonts w:cs="Calibri"/>
          <w:color w:val="000000" w:themeColor="text1"/>
          <w:spacing w:val="-4"/>
          <w:w w:val="110"/>
          <w:szCs w:val="22"/>
        </w:rPr>
        <w:t xml:space="preserve"> </w:t>
      </w:r>
      <w:r w:rsidRPr="00DD7BD1">
        <w:rPr>
          <w:rFonts w:cs="Calibri"/>
          <w:color w:val="000000" w:themeColor="text1"/>
          <w:w w:val="110"/>
          <w:szCs w:val="22"/>
        </w:rPr>
        <w:t>law</w:t>
      </w:r>
      <w:r w:rsidRPr="00DD7BD1">
        <w:rPr>
          <w:rFonts w:cs="Calibri"/>
          <w:color w:val="000000" w:themeColor="text1"/>
          <w:spacing w:val="-8"/>
          <w:w w:val="110"/>
          <w:szCs w:val="22"/>
        </w:rPr>
        <w:t xml:space="preserve"> </w:t>
      </w:r>
      <w:r w:rsidRPr="00DD7BD1">
        <w:rPr>
          <w:rFonts w:cs="Calibri"/>
          <w:color w:val="000000" w:themeColor="text1"/>
          <w:w w:val="110"/>
          <w:szCs w:val="22"/>
        </w:rPr>
        <w:t>applies</w:t>
      </w:r>
      <w:r w:rsidRPr="00DD7BD1">
        <w:rPr>
          <w:rFonts w:cs="Calibri"/>
          <w:color w:val="000000" w:themeColor="text1"/>
          <w:spacing w:val="-3"/>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internal</w:t>
      </w:r>
      <w:r w:rsidRPr="00DD7BD1">
        <w:rPr>
          <w:rFonts w:cs="Calibri"/>
          <w:color w:val="000000" w:themeColor="text1"/>
          <w:spacing w:val="-5"/>
          <w:w w:val="110"/>
          <w:szCs w:val="22"/>
        </w:rPr>
        <w:t xml:space="preserve"> </w:t>
      </w:r>
      <w:r w:rsidRPr="00DD7BD1">
        <w:rPr>
          <w:rFonts w:cs="Calibri"/>
          <w:color w:val="000000" w:themeColor="text1"/>
          <w:w w:val="110"/>
          <w:szCs w:val="22"/>
        </w:rPr>
        <w:t>and</w:t>
      </w:r>
      <w:r w:rsidRPr="00DD7BD1">
        <w:rPr>
          <w:rFonts w:cs="Calibri"/>
          <w:color w:val="000000" w:themeColor="text1"/>
          <w:spacing w:val="-8"/>
          <w:w w:val="110"/>
          <w:szCs w:val="22"/>
        </w:rPr>
        <w:t xml:space="preserve"> </w:t>
      </w:r>
      <w:r w:rsidRPr="00DD7BD1">
        <w:rPr>
          <w:rFonts w:cs="Calibri"/>
          <w:color w:val="000000" w:themeColor="text1"/>
          <w:w w:val="110"/>
          <w:szCs w:val="22"/>
        </w:rPr>
        <w:t>external</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as well</w:t>
      </w:r>
      <w:r w:rsidRPr="00DD7BD1">
        <w:rPr>
          <w:rFonts w:cs="Calibri"/>
          <w:color w:val="000000" w:themeColor="text1"/>
          <w:spacing w:val="-5"/>
          <w:w w:val="110"/>
          <w:szCs w:val="22"/>
        </w:rPr>
        <w:t xml:space="preserve"> </w:t>
      </w:r>
      <w:r w:rsidRPr="00DD7BD1">
        <w:rPr>
          <w:rFonts w:cs="Calibri"/>
          <w:color w:val="000000" w:themeColor="text1"/>
          <w:w w:val="110"/>
          <w:szCs w:val="22"/>
        </w:rPr>
        <w:t>as</w:t>
      </w:r>
      <w:r w:rsidRPr="00DD7BD1">
        <w:rPr>
          <w:rFonts w:cs="Calibri"/>
          <w:color w:val="000000" w:themeColor="text1"/>
          <w:spacing w:val="-2"/>
          <w:w w:val="110"/>
          <w:szCs w:val="22"/>
        </w:rPr>
        <w:t xml:space="preserve"> </w:t>
      </w:r>
      <w:r w:rsidRPr="00DD7BD1">
        <w:rPr>
          <w:rFonts w:cs="Calibri"/>
          <w:color w:val="000000" w:themeColor="text1"/>
          <w:w w:val="110"/>
          <w:szCs w:val="22"/>
        </w:rPr>
        <w:t>to</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from</w:t>
      </w:r>
      <w:r w:rsidRPr="00DD7BD1">
        <w:rPr>
          <w:rFonts w:cs="Calibri"/>
          <w:color w:val="000000" w:themeColor="text1"/>
          <w:spacing w:val="-5"/>
          <w:w w:val="110"/>
          <w:szCs w:val="22"/>
        </w:rPr>
        <w:t xml:space="preserve"> </w:t>
      </w:r>
      <w:r w:rsidRPr="00DD7BD1">
        <w:rPr>
          <w:rFonts w:cs="Calibri"/>
          <w:color w:val="000000" w:themeColor="text1"/>
          <w:w w:val="110"/>
          <w:szCs w:val="22"/>
        </w:rPr>
        <w:t>third</w:t>
      </w:r>
      <w:r w:rsidRPr="00DD7BD1">
        <w:rPr>
          <w:rFonts w:cs="Calibri"/>
          <w:color w:val="000000" w:themeColor="text1"/>
          <w:spacing w:val="-2"/>
          <w:w w:val="110"/>
          <w:szCs w:val="22"/>
        </w:rPr>
        <w:t xml:space="preserve"> </w:t>
      </w:r>
      <w:r w:rsidRPr="00DD7BD1">
        <w:rPr>
          <w:rFonts w:cs="Calibri"/>
          <w:color w:val="000000" w:themeColor="text1"/>
          <w:w w:val="110"/>
          <w:szCs w:val="22"/>
        </w:rPr>
        <w:t>parties</w:t>
      </w:r>
      <w:r w:rsidRPr="00DD7BD1">
        <w:rPr>
          <w:rFonts w:cs="Calibri"/>
          <w:color w:val="000000" w:themeColor="text1"/>
          <w:spacing w:val="-2"/>
          <w:w w:val="110"/>
          <w:szCs w:val="22"/>
        </w:rPr>
        <w:t xml:space="preserve"> </w:t>
      </w:r>
      <w:r w:rsidRPr="00DD7BD1">
        <w:rPr>
          <w:rFonts w:cs="Calibri"/>
          <w:color w:val="000000" w:themeColor="text1"/>
          <w:w w:val="110"/>
          <w:szCs w:val="22"/>
        </w:rPr>
        <w:t>recruiting</w:t>
      </w:r>
      <w:r w:rsidRPr="00DD7BD1">
        <w:rPr>
          <w:rFonts w:cs="Calibri"/>
          <w:color w:val="000000" w:themeColor="text1"/>
          <w:spacing w:val="-5"/>
          <w:w w:val="110"/>
          <w:szCs w:val="22"/>
        </w:rPr>
        <w:t xml:space="preserve"> </w:t>
      </w:r>
      <w:r w:rsidRPr="00DD7BD1">
        <w:rPr>
          <w:rFonts w:cs="Calibri"/>
          <w:color w:val="000000" w:themeColor="text1"/>
          <w:w w:val="110"/>
          <w:szCs w:val="22"/>
        </w:rPr>
        <w:t>on</w:t>
      </w:r>
      <w:r w:rsidRPr="00DD7BD1">
        <w:rPr>
          <w:rFonts w:cs="Calibri"/>
          <w:color w:val="000000" w:themeColor="text1"/>
          <w:spacing w:val="-6"/>
          <w:w w:val="110"/>
          <w:szCs w:val="22"/>
        </w:rPr>
        <w:t xml:space="preserve"> </w:t>
      </w:r>
      <w:r w:rsidRPr="00DD7BD1">
        <w:rPr>
          <w:rFonts w:cs="Calibri"/>
          <w:color w:val="000000" w:themeColor="text1"/>
          <w:w w:val="110"/>
          <w:szCs w:val="22"/>
        </w:rPr>
        <w:t>an</w:t>
      </w:r>
      <w:r w:rsidRPr="00DD7BD1">
        <w:rPr>
          <w:rFonts w:cs="Calibri"/>
          <w:color w:val="000000" w:themeColor="text1"/>
          <w:spacing w:val="-2"/>
          <w:w w:val="110"/>
          <w:szCs w:val="22"/>
        </w:rPr>
        <w:t xml:space="preserve"> </w:t>
      </w:r>
      <w:r w:rsidRPr="00DD7BD1">
        <w:rPr>
          <w:rFonts w:cs="Calibri"/>
          <w:color w:val="000000" w:themeColor="text1"/>
          <w:w w:val="110"/>
          <w:szCs w:val="22"/>
        </w:rPr>
        <w:t>employer’s</w:t>
      </w:r>
      <w:r w:rsidRPr="00DD7BD1">
        <w:rPr>
          <w:rFonts w:cs="Calibri"/>
          <w:color w:val="000000" w:themeColor="text1"/>
          <w:spacing w:val="-5"/>
          <w:w w:val="110"/>
          <w:szCs w:val="22"/>
        </w:rPr>
        <w:t xml:space="preserve"> </w:t>
      </w:r>
      <w:r w:rsidRPr="00DD7BD1">
        <w:rPr>
          <w:rFonts w:cs="Calibri"/>
          <w:color w:val="000000" w:themeColor="text1"/>
          <w:w w:val="110"/>
          <w:szCs w:val="22"/>
        </w:rPr>
        <w:t>behalf.</w:t>
      </w:r>
      <w:r w:rsidRPr="00DD7BD1">
        <w:rPr>
          <w:rFonts w:cs="Calibri"/>
          <w:color w:val="000000" w:themeColor="text1"/>
          <w:spacing w:val="-3"/>
          <w:w w:val="110"/>
          <w:szCs w:val="22"/>
        </w:rPr>
        <w:t xml:space="preserve"> </w:t>
      </w:r>
      <w:r w:rsidRPr="00DD7BD1">
        <w:rPr>
          <w:rFonts w:cs="Calibri"/>
          <w:color w:val="000000" w:themeColor="text1"/>
          <w:w w:val="110"/>
          <w:szCs w:val="22"/>
        </w:rPr>
        <w:t>The</w:t>
      </w:r>
      <w:r w:rsidRPr="00DD7BD1">
        <w:rPr>
          <w:rFonts w:cs="Calibri"/>
          <w:color w:val="000000" w:themeColor="text1"/>
          <w:spacing w:val="-2"/>
          <w:w w:val="110"/>
          <w:szCs w:val="22"/>
        </w:rPr>
        <w:t xml:space="preserve"> </w:t>
      </w:r>
      <w:r w:rsidRPr="00DD7BD1">
        <w:rPr>
          <w:rFonts w:cs="Calibri"/>
          <w:color w:val="000000" w:themeColor="text1"/>
          <w:w w:val="110"/>
          <w:szCs w:val="22"/>
        </w:rPr>
        <w:t>pay</w:t>
      </w:r>
      <w:r w:rsidRPr="00DD7BD1">
        <w:rPr>
          <w:rFonts w:cs="Calibri"/>
          <w:color w:val="000000" w:themeColor="text1"/>
          <w:spacing w:val="-2"/>
          <w:w w:val="110"/>
          <w:szCs w:val="22"/>
        </w:rPr>
        <w:t xml:space="preserve"> </w:t>
      </w:r>
      <w:r w:rsidRPr="00DD7BD1">
        <w:rPr>
          <w:rFonts w:cs="Calibri"/>
          <w:color w:val="000000" w:themeColor="text1"/>
          <w:w w:val="110"/>
          <w:szCs w:val="22"/>
        </w:rPr>
        <w:t>range</w:t>
      </w:r>
      <w:r w:rsidRPr="00DD7BD1">
        <w:rPr>
          <w:rFonts w:cs="Calibri"/>
          <w:color w:val="000000" w:themeColor="text1"/>
          <w:spacing w:val="-2"/>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should</w:t>
      </w:r>
      <w:r w:rsidRPr="00DD7BD1">
        <w:rPr>
          <w:rFonts w:cs="Calibri"/>
          <w:color w:val="000000" w:themeColor="text1"/>
          <w:spacing w:val="-2"/>
          <w:w w:val="110"/>
          <w:szCs w:val="22"/>
        </w:rPr>
        <w:t xml:space="preserve"> </w:t>
      </w:r>
      <w:r w:rsidRPr="00DD7BD1">
        <w:rPr>
          <w:rFonts w:cs="Calibri"/>
          <w:color w:val="000000" w:themeColor="text1"/>
          <w:w w:val="110"/>
          <w:szCs w:val="22"/>
        </w:rPr>
        <w:t>be</w:t>
      </w:r>
      <w:r w:rsidRPr="00DD7BD1">
        <w:rPr>
          <w:rFonts w:cs="Calibri"/>
          <w:color w:val="000000" w:themeColor="text1"/>
          <w:spacing w:val="-2"/>
          <w:w w:val="110"/>
          <w:szCs w:val="22"/>
        </w:rPr>
        <w:t xml:space="preserve"> </w:t>
      </w:r>
      <w:r w:rsidRPr="00DD7BD1">
        <w:rPr>
          <w:rFonts w:cs="Calibri"/>
          <w:color w:val="000000" w:themeColor="text1"/>
          <w:w w:val="110"/>
          <w:szCs w:val="22"/>
        </w:rPr>
        <w:t>the amount</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6"/>
          <w:w w:val="110"/>
          <w:szCs w:val="22"/>
        </w:rPr>
        <w:t xml:space="preserve"> </w:t>
      </w:r>
      <w:r w:rsidRPr="00DD7BD1">
        <w:rPr>
          <w:rFonts w:cs="Calibri"/>
          <w:color w:val="000000" w:themeColor="text1"/>
          <w:w w:val="110"/>
          <w:szCs w:val="22"/>
        </w:rPr>
        <w:t>employer</w:t>
      </w:r>
      <w:r w:rsidRPr="00DD7BD1">
        <w:rPr>
          <w:rFonts w:cs="Calibri"/>
          <w:color w:val="000000" w:themeColor="text1"/>
          <w:spacing w:val="-14"/>
          <w:w w:val="110"/>
          <w:szCs w:val="22"/>
        </w:rPr>
        <w:t xml:space="preserve"> </w:t>
      </w:r>
      <w:r w:rsidRPr="00DD7BD1">
        <w:rPr>
          <w:rFonts w:cs="Calibri"/>
          <w:color w:val="000000" w:themeColor="text1"/>
          <w:w w:val="110"/>
          <w:szCs w:val="22"/>
        </w:rPr>
        <w:t>reasonably</w:t>
      </w:r>
      <w:r w:rsidRPr="00DD7BD1">
        <w:rPr>
          <w:rFonts w:cs="Calibri"/>
          <w:color w:val="000000" w:themeColor="text1"/>
          <w:spacing w:val="-13"/>
          <w:w w:val="110"/>
          <w:szCs w:val="22"/>
        </w:rPr>
        <w:t xml:space="preserve"> </w:t>
      </w:r>
      <w:r w:rsidRPr="00DD7BD1">
        <w:rPr>
          <w:rFonts w:cs="Calibri"/>
          <w:color w:val="000000" w:themeColor="text1"/>
          <w:w w:val="110"/>
          <w:szCs w:val="22"/>
        </w:rPr>
        <w:t>intends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position</w:t>
      </w:r>
      <w:r w:rsidRPr="00DD7BD1">
        <w:rPr>
          <w:rFonts w:cs="Calibri"/>
          <w:color w:val="000000" w:themeColor="text1"/>
          <w:spacing w:val="-13"/>
          <w:w w:val="110"/>
          <w:szCs w:val="22"/>
        </w:rPr>
        <w:t xml:space="preserve"> </w:t>
      </w:r>
      <w:r w:rsidRPr="00DD7BD1">
        <w:rPr>
          <w:rFonts w:cs="Calibri"/>
          <w:color w:val="000000" w:themeColor="text1"/>
          <w:w w:val="110"/>
          <w:szCs w:val="22"/>
        </w:rPr>
        <w:t>when</w:t>
      </w:r>
      <w:r w:rsidRPr="00DD7BD1">
        <w:rPr>
          <w:rFonts w:cs="Calibri"/>
          <w:color w:val="000000" w:themeColor="text1"/>
          <w:spacing w:val="-15"/>
          <w:w w:val="110"/>
          <w:szCs w:val="22"/>
        </w:rPr>
        <w:t xml:space="preserve"> </w:t>
      </w:r>
      <w:r w:rsidRPr="00DD7BD1">
        <w:rPr>
          <w:rFonts w:cs="Calibri"/>
          <w:color w:val="000000" w:themeColor="text1"/>
          <w:w w:val="110"/>
          <w:szCs w:val="22"/>
        </w:rPr>
        <w:t>filled—</w:t>
      </w:r>
      <w:r w:rsidRPr="00DD7BD1">
        <w:rPr>
          <w:rFonts w:cs="Calibri"/>
          <w:i/>
          <w:color w:val="000000" w:themeColor="text1"/>
          <w:w w:val="110"/>
          <w:szCs w:val="22"/>
        </w:rPr>
        <w:t>not</w:t>
      </w:r>
      <w:r w:rsidRPr="00DD7BD1">
        <w:rPr>
          <w:rFonts w:cs="Calibri"/>
          <w: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3"/>
          <w:w w:val="110"/>
          <w:szCs w:val="22"/>
        </w:rPr>
        <w:t xml:space="preserve"> </w:t>
      </w:r>
      <w:r w:rsidRPr="00DD7BD1">
        <w:rPr>
          <w:rFonts w:cs="Calibri"/>
          <w:color w:val="000000" w:themeColor="text1"/>
          <w:w w:val="110"/>
          <w:szCs w:val="22"/>
        </w:rPr>
        <w:t>entire</w:t>
      </w:r>
      <w:r w:rsidRPr="00DD7BD1">
        <w:rPr>
          <w:rFonts w:cs="Calibri"/>
          <w:color w:val="000000" w:themeColor="text1"/>
          <w:spacing w:val="-15"/>
          <w:w w:val="110"/>
          <w:szCs w:val="22"/>
        </w:rPr>
        <w:t xml:space="preserve"> </w:t>
      </w:r>
      <w:r w:rsidRPr="00DD7BD1">
        <w:rPr>
          <w:rFonts w:cs="Calibri"/>
          <w:color w:val="000000" w:themeColor="text1"/>
          <w:w w:val="110"/>
          <w:szCs w:val="22"/>
        </w:rPr>
        <w:t>potential</w:t>
      </w:r>
      <w:r w:rsidRPr="00DD7BD1">
        <w:rPr>
          <w:rFonts w:cs="Calibri"/>
          <w:color w:val="000000" w:themeColor="text1"/>
          <w:spacing w:val="-17"/>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3"/>
          <w:w w:val="110"/>
          <w:szCs w:val="22"/>
        </w:rPr>
        <w:t xml:space="preserve"> </w:t>
      </w:r>
      <w:r w:rsidRPr="00DD7BD1">
        <w:rPr>
          <w:rFonts w:cs="Calibri"/>
          <w:color w:val="000000" w:themeColor="text1"/>
          <w:w w:val="110"/>
          <w:szCs w:val="22"/>
        </w:rPr>
        <w:t>for the</w:t>
      </w:r>
      <w:r w:rsidRPr="00DD7BD1">
        <w:rPr>
          <w:rFonts w:cs="Calibri"/>
          <w:color w:val="000000" w:themeColor="text1"/>
          <w:spacing w:val="-11"/>
          <w:w w:val="110"/>
          <w:szCs w:val="22"/>
        </w:rPr>
        <w:t xml:space="preserve"> </w:t>
      </w:r>
      <w:r w:rsidRPr="00DD7BD1">
        <w:rPr>
          <w:rFonts w:cs="Calibri"/>
          <w:color w:val="000000" w:themeColor="text1"/>
          <w:w w:val="110"/>
          <w:szCs w:val="22"/>
        </w:rPr>
        <w:t>position</w:t>
      </w:r>
      <w:r w:rsidRPr="00DD7BD1">
        <w:rPr>
          <w:rFonts w:cs="Calibri"/>
          <w:color w:val="000000" w:themeColor="text1"/>
          <w:spacing w:val="-9"/>
          <w:w w:val="110"/>
          <w:szCs w:val="22"/>
        </w:rPr>
        <w:t xml:space="preserve"> </w:t>
      </w:r>
      <w:r w:rsidRPr="00DD7BD1">
        <w:rPr>
          <w:rFonts w:cs="Calibri"/>
          <w:color w:val="000000" w:themeColor="text1"/>
          <w:w w:val="110"/>
          <w:szCs w:val="22"/>
        </w:rPr>
        <w:t>from</w:t>
      </w:r>
      <w:r w:rsidRPr="00DD7BD1">
        <w:rPr>
          <w:rFonts w:cs="Calibri"/>
          <w:color w:val="000000" w:themeColor="text1"/>
          <w:spacing w:val="-11"/>
          <w:w w:val="110"/>
          <w:szCs w:val="22"/>
        </w:rPr>
        <w:t xml:space="preserve"> </w:t>
      </w:r>
      <w:r w:rsidRPr="00DD7BD1">
        <w:rPr>
          <w:rFonts w:cs="Calibri"/>
          <w:color w:val="000000" w:themeColor="text1"/>
          <w:w w:val="110"/>
          <w:szCs w:val="22"/>
        </w:rPr>
        <w:t>entry</w:t>
      </w:r>
      <w:r w:rsidRPr="00DD7BD1">
        <w:rPr>
          <w:rFonts w:cs="Calibri"/>
          <w:color w:val="000000" w:themeColor="text1"/>
          <w:spacing w:val="-9"/>
          <w:w w:val="110"/>
          <w:szCs w:val="22"/>
        </w:rPr>
        <w:t xml:space="preserve"> </w:t>
      </w:r>
      <w:r w:rsidRPr="00DD7BD1">
        <w:rPr>
          <w:rFonts w:cs="Calibri"/>
          <w:color w:val="000000" w:themeColor="text1"/>
          <w:w w:val="110"/>
          <w:szCs w:val="22"/>
        </w:rPr>
        <w:t>level</w:t>
      </w:r>
      <w:r w:rsidRPr="00DD7BD1">
        <w:rPr>
          <w:rFonts w:cs="Calibri"/>
          <w:color w:val="000000" w:themeColor="text1"/>
          <w:spacing w:val="-10"/>
          <w:w w:val="110"/>
          <w:szCs w:val="22"/>
        </w:rPr>
        <w:t xml:space="preserve"> </w:t>
      </w:r>
      <w:r w:rsidRPr="00DD7BD1">
        <w:rPr>
          <w:rFonts w:cs="Calibri"/>
          <w:color w:val="000000" w:themeColor="text1"/>
          <w:w w:val="110"/>
          <w:szCs w:val="22"/>
        </w:rPr>
        <w:t>through</w:t>
      </w:r>
      <w:r w:rsidRPr="00DD7BD1">
        <w:rPr>
          <w:rFonts w:cs="Calibri"/>
          <w:color w:val="000000" w:themeColor="text1"/>
          <w:spacing w:val="-9"/>
          <w:w w:val="110"/>
          <w:szCs w:val="22"/>
        </w:rPr>
        <w:t xml:space="preserve"> </w:t>
      </w:r>
      <w:r w:rsidRPr="00DD7BD1">
        <w:rPr>
          <w:rFonts w:cs="Calibri"/>
          <w:color w:val="000000" w:themeColor="text1"/>
          <w:w w:val="110"/>
          <w:szCs w:val="22"/>
        </w:rPr>
        <w:t>retirement.</w:t>
      </w:r>
      <w:r w:rsidRPr="00DD7BD1">
        <w:rPr>
          <w:rFonts w:cs="Calibri"/>
          <w:color w:val="000000" w:themeColor="text1"/>
          <w:spacing w:val="-10"/>
          <w:w w:val="110"/>
          <w:szCs w:val="22"/>
        </w:rPr>
        <w:t xml:space="preserve"> </w:t>
      </w:r>
      <w:r w:rsidRPr="00DD7BD1">
        <w:rPr>
          <w:rFonts w:cs="Calibri"/>
          <w:color w:val="000000" w:themeColor="text1"/>
          <w:w w:val="110"/>
          <w:szCs w:val="22"/>
        </w:rPr>
        <w:t>Generally,</w:t>
      </w:r>
      <w:r w:rsidRPr="00DD7BD1">
        <w:rPr>
          <w:rFonts w:cs="Calibri"/>
          <w:color w:val="000000" w:themeColor="text1"/>
          <w:spacing w:val="-10"/>
          <w:w w:val="110"/>
          <w:szCs w:val="22"/>
        </w:rPr>
        <w:t xml:space="preserve"> </w:t>
      </w:r>
      <w:r w:rsidRPr="00DD7BD1">
        <w:rPr>
          <w:rFonts w:cs="Calibri"/>
          <w:color w:val="000000" w:themeColor="text1"/>
          <w:w w:val="110"/>
          <w:szCs w:val="22"/>
        </w:rPr>
        <w:t>the</w:t>
      </w:r>
      <w:r w:rsidRPr="00DD7BD1">
        <w:rPr>
          <w:rFonts w:cs="Calibri"/>
          <w:color w:val="000000" w:themeColor="text1"/>
          <w:spacing w:val="-12"/>
          <w:w w:val="110"/>
          <w:szCs w:val="22"/>
        </w:rPr>
        <w:t xml:space="preserve"> </w:t>
      </w:r>
      <w:r w:rsidRPr="00DD7BD1">
        <w:rPr>
          <w:rFonts w:cs="Calibri"/>
          <w:color w:val="000000" w:themeColor="text1"/>
          <w:w w:val="110"/>
          <w:szCs w:val="22"/>
        </w:rPr>
        <w:t>applicable</w:t>
      </w:r>
      <w:r w:rsidRPr="00DD7BD1">
        <w:rPr>
          <w:rFonts w:cs="Calibri"/>
          <w:color w:val="000000" w:themeColor="text1"/>
          <w:spacing w:val="-12"/>
          <w:w w:val="110"/>
          <w:szCs w:val="22"/>
        </w:rPr>
        <w:t xml:space="preserve"> </w:t>
      </w:r>
      <w:r w:rsidRPr="00DD7BD1">
        <w:rPr>
          <w:rFonts w:cs="Calibri"/>
          <w:color w:val="000000" w:themeColor="text1"/>
          <w:w w:val="110"/>
          <w:szCs w:val="22"/>
        </w:rPr>
        <w:t>pay</w:t>
      </w:r>
      <w:r w:rsidRPr="00DD7BD1">
        <w:rPr>
          <w:rFonts w:cs="Calibri"/>
          <w:color w:val="000000" w:themeColor="text1"/>
          <w:spacing w:val="-9"/>
          <w:w w:val="110"/>
          <w:szCs w:val="22"/>
        </w:rPr>
        <w:t xml:space="preserve"> </w:t>
      </w:r>
      <w:r w:rsidRPr="00DD7BD1">
        <w:rPr>
          <w:rFonts w:cs="Calibri"/>
          <w:color w:val="000000" w:themeColor="text1"/>
          <w:w w:val="110"/>
          <w:szCs w:val="22"/>
        </w:rPr>
        <w:t>range</w:t>
      </w:r>
      <w:r w:rsidRPr="00DD7BD1">
        <w:rPr>
          <w:rFonts w:cs="Calibri"/>
          <w:color w:val="000000" w:themeColor="text1"/>
          <w:spacing w:val="-12"/>
          <w:w w:val="110"/>
          <w:szCs w:val="22"/>
        </w:rPr>
        <w:t xml:space="preserve"> </w:t>
      </w:r>
      <w:r w:rsidRPr="00DD7BD1">
        <w:rPr>
          <w:rFonts w:cs="Calibri"/>
          <w:color w:val="000000" w:themeColor="text1"/>
          <w:w w:val="110"/>
          <w:szCs w:val="22"/>
        </w:rPr>
        <w:t>will</w:t>
      </w:r>
      <w:r w:rsidRPr="00DD7BD1">
        <w:rPr>
          <w:rFonts w:cs="Calibri"/>
          <w:color w:val="000000" w:themeColor="text1"/>
          <w:spacing w:val="-11"/>
          <w:w w:val="110"/>
          <w:szCs w:val="22"/>
        </w:rPr>
        <w:t xml:space="preserve"> </w:t>
      </w:r>
      <w:r w:rsidRPr="00DD7BD1">
        <w:rPr>
          <w:rFonts w:cs="Calibri"/>
          <w:color w:val="000000" w:themeColor="text1"/>
          <w:w w:val="110"/>
          <w:szCs w:val="22"/>
        </w:rPr>
        <w:t>be</w:t>
      </w:r>
      <w:r w:rsidRPr="00DD7BD1">
        <w:rPr>
          <w:rFonts w:cs="Calibri"/>
          <w:color w:val="000000" w:themeColor="text1"/>
          <w:spacing w:val="-9"/>
          <w:w w:val="110"/>
          <w:szCs w:val="22"/>
        </w:rPr>
        <w:t xml:space="preserve"> </w:t>
      </w:r>
      <w:r w:rsidRPr="00DD7BD1">
        <w:rPr>
          <w:rFonts w:cs="Calibri"/>
          <w:color w:val="000000" w:themeColor="text1"/>
          <w:w w:val="110"/>
          <w:szCs w:val="22"/>
        </w:rPr>
        <w:t>the</w:t>
      </w:r>
      <w:r w:rsidRPr="00DD7BD1">
        <w:rPr>
          <w:rFonts w:cs="Calibri"/>
          <w:color w:val="000000" w:themeColor="text1"/>
          <w:spacing w:val="-11"/>
          <w:w w:val="110"/>
          <w:szCs w:val="22"/>
        </w:rPr>
        <w:t xml:space="preserve"> </w:t>
      </w:r>
      <w:r w:rsidRPr="00DD7BD1">
        <w:rPr>
          <w:rFonts w:cs="Calibri"/>
          <w:color w:val="000000" w:themeColor="text1"/>
          <w:w w:val="110"/>
          <w:szCs w:val="22"/>
        </w:rPr>
        <w:t>amount</w:t>
      </w:r>
      <w:r w:rsidRPr="00DD7BD1">
        <w:rPr>
          <w:rFonts w:cs="Calibri"/>
          <w:color w:val="000000" w:themeColor="text1"/>
          <w:spacing w:val="-11"/>
          <w:w w:val="110"/>
          <w:szCs w:val="22"/>
        </w:rPr>
        <w:t xml:space="preserve"> </w:t>
      </w:r>
      <w:r w:rsidRPr="00DD7BD1">
        <w:rPr>
          <w:rFonts w:cs="Calibri"/>
          <w:color w:val="000000" w:themeColor="text1"/>
          <w:w w:val="110"/>
          <w:szCs w:val="22"/>
        </w:rPr>
        <w:t>budgeted for the position.</w:t>
      </w:r>
    </w:p>
    <w:p w14:paraId="0D657247" w14:textId="77777777" w:rsidR="003A22A9" w:rsidRPr="00DD7BD1" w:rsidRDefault="003A22A9" w:rsidP="003A22A9">
      <w:pPr>
        <w:pStyle w:val="Heading4"/>
        <w:spacing w:before="0"/>
        <w:ind w:right="-180"/>
        <w:rPr>
          <w:rFonts w:ascii="Calibri" w:hAnsi="Calibri" w:cs="Calibri"/>
          <w:i w:val="0"/>
          <w:iCs w:val="0"/>
          <w:color w:val="000000" w:themeColor="text1"/>
          <w:spacing w:val="-8"/>
          <w:sz w:val="16"/>
          <w:szCs w:val="16"/>
        </w:rPr>
      </w:pPr>
    </w:p>
    <w:p w14:paraId="07DDD80D"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8"/>
        </w:rPr>
        <w:t>Promotions</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and</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Transfers</w:t>
      </w:r>
    </w:p>
    <w:p w14:paraId="64B61E6C"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Employees</w:t>
      </w:r>
      <w:r w:rsidRPr="00DD7BD1">
        <w:rPr>
          <w:rFonts w:cs="Calibri"/>
          <w:color w:val="000000" w:themeColor="text1"/>
          <w:spacing w:val="-13"/>
          <w:w w:val="110"/>
          <w:szCs w:val="22"/>
        </w:rPr>
        <w:t xml:space="preserve"> </w:t>
      </w:r>
      <w:r w:rsidRPr="00DD7BD1">
        <w:rPr>
          <w:rFonts w:cs="Calibri"/>
          <w:color w:val="000000" w:themeColor="text1"/>
          <w:w w:val="110"/>
          <w:szCs w:val="22"/>
        </w:rPr>
        <w:t>who</w:t>
      </w:r>
      <w:r w:rsidRPr="00DD7BD1">
        <w:rPr>
          <w:rFonts w:cs="Calibri"/>
          <w:color w:val="000000" w:themeColor="text1"/>
          <w:spacing w:val="-15"/>
          <w:w w:val="110"/>
          <w:szCs w:val="22"/>
        </w:rPr>
        <w:t xml:space="preserve"> </w:t>
      </w:r>
      <w:r w:rsidRPr="00DD7BD1">
        <w:rPr>
          <w:rFonts w:cs="Calibri"/>
          <w:color w:val="000000" w:themeColor="text1"/>
          <w:w w:val="110"/>
          <w:szCs w:val="22"/>
        </w:rPr>
        <w:t>are</w:t>
      </w:r>
      <w:r w:rsidRPr="00DD7BD1">
        <w:rPr>
          <w:rFonts w:cs="Calibri"/>
          <w:color w:val="000000" w:themeColor="text1"/>
          <w:spacing w:val="-16"/>
          <w:w w:val="110"/>
          <w:szCs w:val="22"/>
        </w:rPr>
        <w:t xml:space="preserve"> </w:t>
      </w:r>
      <w:r w:rsidRPr="00DD7BD1">
        <w:rPr>
          <w:rFonts w:cs="Calibri"/>
          <w:color w:val="000000" w:themeColor="text1"/>
          <w:w w:val="110"/>
          <w:szCs w:val="22"/>
        </w:rPr>
        <w:t>offered</w:t>
      </w:r>
      <w:r w:rsidRPr="00DD7BD1">
        <w:rPr>
          <w:rFonts w:cs="Calibri"/>
          <w:color w:val="000000" w:themeColor="text1"/>
          <w:spacing w:val="-13"/>
          <w:w w:val="110"/>
          <w:szCs w:val="22"/>
        </w:rPr>
        <w:t xml:space="preserve"> </w:t>
      </w:r>
      <w:r w:rsidRPr="00DD7BD1">
        <w:rPr>
          <w:rFonts w:cs="Calibri"/>
          <w:color w:val="000000" w:themeColor="text1"/>
          <w:w w:val="110"/>
          <w:szCs w:val="22"/>
        </w:rPr>
        <w:t>promotions</w:t>
      </w:r>
      <w:r w:rsidRPr="00DD7BD1">
        <w:rPr>
          <w:rFonts w:cs="Calibri"/>
          <w:color w:val="000000" w:themeColor="text1"/>
          <w:spacing w:val="-15"/>
          <w:w w:val="110"/>
          <w:szCs w:val="22"/>
        </w:rPr>
        <w:t xml:space="preserve"> </w:t>
      </w:r>
      <w:r w:rsidRPr="00DD7BD1">
        <w:rPr>
          <w:rFonts w:cs="Calibri"/>
          <w:color w:val="000000" w:themeColor="text1"/>
          <w:w w:val="110"/>
          <w:szCs w:val="22"/>
        </w:rPr>
        <w:t>or</w:t>
      </w:r>
      <w:r w:rsidRPr="00DD7BD1">
        <w:rPr>
          <w:rFonts w:cs="Calibri"/>
          <w:color w:val="000000" w:themeColor="text1"/>
          <w:spacing w:val="-14"/>
          <w:w w:val="110"/>
          <w:szCs w:val="22"/>
        </w:rPr>
        <w:t xml:space="preserve"> </w:t>
      </w:r>
      <w:r w:rsidRPr="00DD7BD1">
        <w:rPr>
          <w:rFonts w:cs="Calibri"/>
          <w:color w:val="000000" w:themeColor="text1"/>
          <w:w w:val="110"/>
          <w:szCs w:val="22"/>
        </w:rPr>
        <w:t>transfers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3"/>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positions</w:t>
      </w:r>
      <w:r w:rsidRPr="00DD7BD1">
        <w:rPr>
          <w:rFonts w:cs="Calibri"/>
          <w:color w:val="000000" w:themeColor="text1"/>
          <w:spacing w:val="-13"/>
          <w:w w:val="110"/>
          <w:szCs w:val="22"/>
        </w:rPr>
        <w:t xml:space="preserve"> </w:t>
      </w:r>
      <w:r w:rsidRPr="00DD7BD1">
        <w:rPr>
          <w:rFonts w:cs="Calibri"/>
          <w:color w:val="000000" w:themeColor="text1"/>
          <w:w w:val="110"/>
          <w:szCs w:val="22"/>
        </w:rPr>
        <w:t>with</w:t>
      </w:r>
      <w:r w:rsidRPr="00DD7BD1">
        <w:rPr>
          <w:rFonts w:cs="Calibri"/>
          <w:color w:val="000000" w:themeColor="text1"/>
          <w:spacing w:val="-15"/>
          <w:w w:val="110"/>
          <w:szCs w:val="22"/>
        </w:rPr>
        <w:t xml:space="preserve"> </w:t>
      </w:r>
      <w:r w:rsidRPr="00DD7BD1">
        <w:rPr>
          <w:rFonts w:cs="Calibri"/>
          <w:color w:val="000000" w:themeColor="text1"/>
          <w:w w:val="110"/>
          <w:szCs w:val="22"/>
        </w:rPr>
        <w:t>different</w:t>
      </w:r>
      <w:r w:rsidRPr="00DD7BD1">
        <w:rPr>
          <w:rFonts w:cs="Calibri"/>
          <w:color w:val="000000" w:themeColor="text1"/>
          <w:spacing w:val="-16"/>
          <w:w w:val="110"/>
          <w:szCs w:val="22"/>
        </w:rPr>
        <w:t xml:space="preserve"> </w:t>
      </w:r>
      <w:r w:rsidRPr="00DD7BD1">
        <w:rPr>
          <w:rFonts w:cs="Calibri"/>
          <w:color w:val="000000" w:themeColor="text1"/>
          <w:w w:val="110"/>
          <w:szCs w:val="22"/>
        </w:rPr>
        <w:t>job</w:t>
      </w:r>
      <w:r w:rsidRPr="00DD7BD1">
        <w:rPr>
          <w:rFonts w:cs="Calibri"/>
          <w:color w:val="000000" w:themeColor="text1"/>
          <w:spacing w:val="-14"/>
          <w:w w:val="110"/>
          <w:szCs w:val="22"/>
        </w:rPr>
        <w:t xml:space="preserve"> </w:t>
      </w:r>
      <w:r w:rsidRPr="00DD7BD1">
        <w:rPr>
          <w:rFonts w:cs="Calibri"/>
          <w:color w:val="000000" w:themeColor="text1"/>
          <w:w w:val="110"/>
          <w:szCs w:val="22"/>
        </w:rPr>
        <w:t>responsibilities</w:t>
      </w:r>
      <w:r w:rsidRPr="00DD7BD1">
        <w:rPr>
          <w:rFonts w:cs="Calibri"/>
          <w:color w:val="000000" w:themeColor="text1"/>
          <w:spacing w:val="-12"/>
          <w:w w:val="110"/>
          <w:szCs w:val="22"/>
        </w:rPr>
        <w:t xml:space="preserve"> </w:t>
      </w:r>
      <w:r w:rsidRPr="00DD7BD1">
        <w:rPr>
          <w:rFonts w:cs="Calibri"/>
          <w:color w:val="000000" w:themeColor="text1"/>
          <w:w w:val="110"/>
          <w:szCs w:val="22"/>
        </w:rPr>
        <w:t>also</w:t>
      </w:r>
      <w:r w:rsidRPr="00DD7BD1">
        <w:rPr>
          <w:rFonts w:cs="Calibri"/>
          <w:color w:val="000000" w:themeColor="text1"/>
          <w:spacing w:val="-15"/>
          <w:w w:val="110"/>
          <w:szCs w:val="22"/>
        </w:rPr>
        <w:t xml:space="preserve"> </w:t>
      </w:r>
      <w:r w:rsidRPr="00DD7BD1">
        <w:rPr>
          <w:rFonts w:cs="Calibri"/>
          <w:color w:val="000000" w:themeColor="text1"/>
          <w:w w:val="110"/>
          <w:szCs w:val="22"/>
        </w:rPr>
        <w:t>need to</w:t>
      </w:r>
      <w:r w:rsidRPr="00DD7BD1">
        <w:rPr>
          <w:rFonts w:cs="Calibri"/>
          <w:color w:val="000000" w:themeColor="text1"/>
          <w:spacing w:val="-8"/>
          <w:w w:val="110"/>
          <w:szCs w:val="22"/>
        </w:rPr>
        <w:t xml:space="preserve"> </w:t>
      </w:r>
      <w:r w:rsidRPr="00DD7BD1">
        <w:rPr>
          <w:rFonts w:cs="Calibri"/>
          <w:color w:val="000000" w:themeColor="text1"/>
          <w:w w:val="110"/>
          <w:szCs w:val="22"/>
        </w:rPr>
        <w:t>be</w:t>
      </w:r>
      <w:r w:rsidRPr="00DD7BD1">
        <w:rPr>
          <w:rFonts w:cs="Calibri"/>
          <w:color w:val="000000" w:themeColor="text1"/>
          <w:spacing w:val="-8"/>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with</w:t>
      </w:r>
      <w:r w:rsidRPr="00DD7BD1">
        <w:rPr>
          <w:rFonts w:cs="Calibri"/>
          <w:color w:val="000000" w:themeColor="text1"/>
          <w:spacing w:val="-6"/>
          <w:w w:val="110"/>
          <w:szCs w:val="22"/>
        </w:rPr>
        <w:t xml:space="preserve"> </w:t>
      </w:r>
      <w:r w:rsidRPr="00DD7BD1">
        <w:rPr>
          <w:rFonts w:cs="Calibri"/>
          <w:color w:val="000000" w:themeColor="text1"/>
          <w:w w:val="110"/>
          <w:szCs w:val="22"/>
        </w:rPr>
        <w:t>the</w:t>
      </w:r>
      <w:r w:rsidRPr="00DD7BD1">
        <w:rPr>
          <w:rFonts w:cs="Calibri"/>
          <w:color w:val="000000" w:themeColor="text1"/>
          <w:spacing w:val="-9"/>
          <w:w w:val="110"/>
          <w:szCs w:val="22"/>
        </w:rPr>
        <w:t xml:space="preserve"> </w:t>
      </w:r>
      <w:r w:rsidRPr="00DD7BD1">
        <w:rPr>
          <w:rFonts w:cs="Calibri"/>
          <w:color w:val="000000" w:themeColor="text1"/>
          <w:w w:val="110"/>
          <w:szCs w:val="22"/>
        </w:rPr>
        <w:t>pay</w:t>
      </w:r>
      <w:r w:rsidRPr="00DD7BD1">
        <w:rPr>
          <w:rFonts w:cs="Calibri"/>
          <w:color w:val="000000" w:themeColor="text1"/>
          <w:spacing w:val="-6"/>
          <w:w w:val="110"/>
          <w:szCs w:val="22"/>
        </w:rPr>
        <w:t xml:space="preserve"> </w:t>
      </w:r>
      <w:r w:rsidRPr="00DD7BD1">
        <w:rPr>
          <w:rFonts w:cs="Calibri"/>
          <w:color w:val="000000" w:themeColor="text1"/>
          <w:w w:val="110"/>
          <w:szCs w:val="22"/>
        </w:rPr>
        <w:t>range</w:t>
      </w:r>
      <w:r w:rsidRPr="00DD7BD1">
        <w:rPr>
          <w:rFonts w:cs="Calibri"/>
          <w:color w:val="000000" w:themeColor="text1"/>
          <w:spacing w:val="-9"/>
          <w:w w:val="110"/>
          <w:szCs w:val="22"/>
        </w:rPr>
        <w:t xml:space="preserve"> </w:t>
      </w:r>
      <w:r w:rsidRPr="00DD7BD1">
        <w:rPr>
          <w:rFonts w:cs="Calibri"/>
          <w:color w:val="000000" w:themeColor="text1"/>
          <w:w w:val="110"/>
          <w:szCs w:val="22"/>
        </w:rPr>
        <w:t>for</w:t>
      </w:r>
      <w:r w:rsidRPr="00DD7BD1">
        <w:rPr>
          <w:rFonts w:cs="Calibri"/>
          <w:color w:val="000000" w:themeColor="text1"/>
          <w:spacing w:val="-11"/>
          <w:w w:val="110"/>
          <w:szCs w:val="22"/>
        </w:rPr>
        <w:t xml:space="preserve"> </w:t>
      </w:r>
      <w:r w:rsidRPr="00DD7BD1">
        <w:rPr>
          <w:rFonts w:cs="Calibri"/>
          <w:color w:val="000000" w:themeColor="text1"/>
          <w:w w:val="110"/>
          <w:szCs w:val="22"/>
        </w:rPr>
        <w:t>the</w:t>
      </w:r>
      <w:r w:rsidRPr="00DD7BD1">
        <w:rPr>
          <w:rFonts w:cs="Calibri"/>
          <w:color w:val="000000" w:themeColor="text1"/>
          <w:spacing w:val="-6"/>
          <w:w w:val="110"/>
          <w:szCs w:val="22"/>
        </w:rPr>
        <w:t xml:space="preserve"> </w:t>
      </w:r>
      <w:r w:rsidRPr="00DD7BD1">
        <w:rPr>
          <w:rFonts w:cs="Calibri"/>
          <w:color w:val="000000" w:themeColor="text1"/>
          <w:w w:val="110"/>
          <w:szCs w:val="22"/>
        </w:rPr>
        <w:t>new</w:t>
      </w:r>
      <w:r w:rsidRPr="00DD7BD1">
        <w:rPr>
          <w:rFonts w:cs="Calibri"/>
          <w:color w:val="000000" w:themeColor="text1"/>
          <w:spacing w:val="-6"/>
          <w:w w:val="110"/>
          <w:szCs w:val="22"/>
        </w:rPr>
        <w:t xml:space="preserve"> </w:t>
      </w:r>
      <w:r w:rsidRPr="00DD7BD1">
        <w:rPr>
          <w:rFonts w:cs="Calibri"/>
          <w:color w:val="000000" w:themeColor="text1"/>
          <w:w w:val="110"/>
          <w:szCs w:val="22"/>
        </w:rPr>
        <w:t>role.</w:t>
      </w:r>
    </w:p>
    <w:p w14:paraId="39B9FBD0" w14:textId="77777777" w:rsidR="003A22A9" w:rsidRPr="00DD7BD1" w:rsidRDefault="003A22A9" w:rsidP="003A22A9">
      <w:pPr>
        <w:pStyle w:val="Heading4"/>
        <w:spacing w:before="0"/>
        <w:ind w:right="-180"/>
        <w:rPr>
          <w:rFonts w:ascii="Calibri" w:hAnsi="Calibri" w:cs="Calibri"/>
          <w:i w:val="0"/>
          <w:iCs w:val="0"/>
          <w:color w:val="000000" w:themeColor="text1"/>
          <w:spacing w:val="-2"/>
          <w:w w:val="90"/>
          <w:sz w:val="16"/>
          <w:szCs w:val="16"/>
        </w:rPr>
      </w:pPr>
    </w:p>
    <w:p w14:paraId="2EFE2797"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2"/>
          <w:w w:val="90"/>
        </w:rPr>
        <w:t>Current</w:t>
      </w:r>
      <w:r w:rsidRPr="00DD7BD1">
        <w:rPr>
          <w:rFonts w:ascii="Calibri" w:hAnsi="Calibri" w:cs="Calibri"/>
          <w:b/>
          <w:bCs/>
          <w:i w:val="0"/>
          <w:iCs w:val="0"/>
          <w:color w:val="000000" w:themeColor="text1"/>
          <w:spacing w:val="-4"/>
        </w:rPr>
        <w:t xml:space="preserve"> </w:t>
      </w:r>
      <w:r w:rsidRPr="00DD7BD1">
        <w:rPr>
          <w:rFonts w:ascii="Calibri" w:hAnsi="Calibri" w:cs="Calibri"/>
          <w:b/>
          <w:bCs/>
          <w:i w:val="0"/>
          <w:iCs w:val="0"/>
          <w:color w:val="000000" w:themeColor="text1"/>
          <w:spacing w:val="-2"/>
        </w:rPr>
        <w:t>Employees</w:t>
      </w:r>
    </w:p>
    <w:p w14:paraId="67419B3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Current</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entitled</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know</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7"/>
          <w:w w:val="110"/>
          <w:szCs w:val="22"/>
        </w:rPr>
        <w:t xml:space="preserve"> </w:t>
      </w:r>
      <w:r w:rsidRPr="00DD7BD1">
        <w:rPr>
          <w:rFonts w:cs="Calibri"/>
          <w:color w:val="000000" w:themeColor="text1"/>
          <w:w w:val="110"/>
          <w:szCs w:val="22"/>
        </w:rPr>
        <w:t>for</w:t>
      </w:r>
      <w:r w:rsidRPr="00DD7BD1">
        <w:rPr>
          <w:rFonts w:cs="Calibri"/>
          <w:color w:val="000000" w:themeColor="text1"/>
          <w:spacing w:val="-17"/>
          <w:w w:val="110"/>
          <w:szCs w:val="22"/>
        </w:rPr>
        <w:t xml:space="preserve"> </w:t>
      </w:r>
      <w:r w:rsidRPr="00DD7BD1">
        <w:rPr>
          <w:rFonts w:cs="Calibri"/>
          <w:color w:val="000000" w:themeColor="text1"/>
          <w:w w:val="110"/>
          <w:szCs w:val="22"/>
        </w:rPr>
        <w:t>their</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5"/>
          <w:w w:val="110"/>
          <w:szCs w:val="22"/>
        </w:rPr>
        <w:t xml:space="preserve"> </w:t>
      </w:r>
      <w:r w:rsidRPr="00DD7BD1">
        <w:rPr>
          <w:rFonts w:cs="Calibri"/>
          <w:color w:val="000000" w:themeColor="text1"/>
          <w:w w:val="110"/>
          <w:szCs w:val="22"/>
        </w:rPr>
        <w:t>a</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5"/>
          <w:w w:val="110"/>
          <w:szCs w:val="22"/>
        </w:rPr>
        <w:t xml:space="preserve"> </w:t>
      </w:r>
      <w:r w:rsidRPr="00DD7BD1">
        <w:rPr>
          <w:rFonts w:cs="Calibri"/>
          <w:color w:val="000000" w:themeColor="text1"/>
          <w:w w:val="110"/>
          <w:szCs w:val="22"/>
        </w:rPr>
        <w:t>they</w:t>
      </w:r>
      <w:r w:rsidRPr="00DD7BD1">
        <w:rPr>
          <w:rFonts w:cs="Calibri"/>
          <w:color w:val="000000" w:themeColor="text1"/>
          <w:spacing w:val="-15"/>
          <w:w w:val="110"/>
          <w:szCs w:val="22"/>
        </w:rPr>
        <w:t xml:space="preserve"> </w:t>
      </w:r>
      <w:r w:rsidRPr="00DD7BD1">
        <w:rPr>
          <w:rFonts w:cs="Calibri"/>
          <w:color w:val="000000" w:themeColor="text1"/>
          <w:w w:val="110"/>
          <w:szCs w:val="22"/>
        </w:rPr>
        <w:t>apply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upon request.</w:t>
      </w:r>
      <w:r w:rsidRPr="00DD7BD1">
        <w:rPr>
          <w:rFonts w:cs="Calibri"/>
          <w:color w:val="000000" w:themeColor="text1"/>
          <w:spacing w:val="-14"/>
          <w:w w:val="110"/>
          <w:szCs w:val="22"/>
        </w:rPr>
        <w:t xml:space="preserve"> </w:t>
      </w:r>
      <w:r w:rsidRPr="00DD7BD1">
        <w:rPr>
          <w:rFonts w:cs="Calibri"/>
          <w:color w:val="000000" w:themeColor="text1"/>
          <w:w w:val="110"/>
          <w:szCs w:val="22"/>
        </w:rPr>
        <w:t>As</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2"/>
          <w:w w:val="110"/>
          <w:szCs w:val="22"/>
        </w:rPr>
        <w:t xml:space="preserve"> </w:t>
      </w:r>
      <w:r w:rsidRPr="00DD7BD1">
        <w:rPr>
          <w:rFonts w:cs="Calibri"/>
          <w:color w:val="000000" w:themeColor="text1"/>
          <w:w w:val="110"/>
          <w:szCs w:val="22"/>
        </w:rPr>
        <w:t>result,</w:t>
      </w:r>
      <w:r w:rsidRPr="00DD7BD1">
        <w:rPr>
          <w:rFonts w:cs="Calibri"/>
          <w:color w:val="000000" w:themeColor="text1"/>
          <w:spacing w:val="-13"/>
          <w:w w:val="110"/>
          <w:szCs w:val="22"/>
        </w:rPr>
        <w:t xml:space="preserve"> </w:t>
      </w:r>
      <w:r w:rsidRPr="00DD7BD1">
        <w:rPr>
          <w:rFonts w:cs="Calibri"/>
          <w:color w:val="000000" w:themeColor="text1"/>
          <w:w w:val="110"/>
          <w:szCs w:val="22"/>
        </w:rPr>
        <w:t>employers</w:t>
      </w:r>
      <w:r w:rsidRPr="00DD7BD1">
        <w:rPr>
          <w:rFonts w:cs="Calibri"/>
          <w:color w:val="000000" w:themeColor="text1"/>
          <w:spacing w:val="-14"/>
          <w:w w:val="110"/>
          <w:szCs w:val="22"/>
        </w:rPr>
        <w:t xml:space="preserve"> </w:t>
      </w:r>
      <w:r w:rsidRPr="00DD7BD1">
        <w:rPr>
          <w:rFonts w:cs="Calibri"/>
          <w:color w:val="000000" w:themeColor="text1"/>
          <w:w w:val="110"/>
          <w:szCs w:val="22"/>
        </w:rPr>
        <w:t>should</w:t>
      </w:r>
      <w:r w:rsidRPr="00DD7BD1">
        <w:rPr>
          <w:rFonts w:cs="Calibri"/>
          <w:color w:val="000000" w:themeColor="text1"/>
          <w:spacing w:val="-12"/>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5"/>
          <w:w w:val="110"/>
          <w:szCs w:val="22"/>
        </w:rPr>
        <w:t xml:space="preserve"> </w:t>
      </w:r>
      <w:r w:rsidRPr="00DD7BD1">
        <w:rPr>
          <w:rFonts w:cs="Calibri"/>
          <w:color w:val="000000" w:themeColor="text1"/>
          <w:w w:val="110"/>
          <w:szCs w:val="22"/>
        </w:rPr>
        <w:t>plan</w:t>
      </w:r>
      <w:r w:rsidRPr="00DD7BD1">
        <w:rPr>
          <w:rFonts w:cs="Calibri"/>
          <w:color w:val="000000" w:themeColor="text1"/>
          <w:spacing w:val="-12"/>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providing</w:t>
      </w:r>
      <w:r w:rsidRPr="00DD7BD1">
        <w:rPr>
          <w:rFonts w:cs="Calibri"/>
          <w:color w:val="000000" w:themeColor="text1"/>
          <w:spacing w:val="-12"/>
          <w:w w:val="110"/>
          <w:szCs w:val="22"/>
        </w:rPr>
        <w:t xml:space="preserve"> </w:t>
      </w:r>
      <w:r w:rsidRPr="00DD7BD1">
        <w:rPr>
          <w:rFonts w:cs="Calibri"/>
          <w:color w:val="000000" w:themeColor="text1"/>
          <w:w w:val="110"/>
          <w:szCs w:val="22"/>
        </w:rPr>
        <w:t>this</w:t>
      </w:r>
      <w:r w:rsidRPr="00DD7BD1">
        <w:rPr>
          <w:rFonts w:cs="Calibri"/>
          <w:color w:val="000000" w:themeColor="text1"/>
          <w:spacing w:val="-12"/>
          <w:w w:val="110"/>
          <w:szCs w:val="22"/>
        </w:rPr>
        <w:t xml:space="preserve"> </w:t>
      </w:r>
      <w:r w:rsidRPr="00DD7BD1">
        <w:rPr>
          <w:rFonts w:cs="Calibri"/>
          <w:color w:val="000000" w:themeColor="text1"/>
          <w:w w:val="110"/>
          <w:szCs w:val="22"/>
        </w:rPr>
        <w:t>information.</w:t>
      </w:r>
      <w:r w:rsidRPr="00DD7BD1">
        <w:rPr>
          <w:rFonts w:cs="Calibri"/>
          <w:color w:val="000000" w:themeColor="text1"/>
          <w:spacing w:val="-13"/>
          <w:w w:val="110"/>
          <w:szCs w:val="22"/>
        </w:rPr>
        <w:t xml:space="preserve"> </w:t>
      </w:r>
      <w:r w:rsidRPr="00DD7BD1">
        <w:rPr>
          <w:rFonts w:cs="Calibri"/>
          <w:color w:val="000000" w:themeColor="text1"/>
          <w:w w:val="110"/>
          <w:szCs w:val="22"/>
        </w:rPr>
        <w:t>For</w:t>
      </w:r>
      <w:r w:rsidRPr="00DD7BD1">
        <w:rPr>
          <w:rFonts w:cs="Calibri"/>
          <w:color w:val="000000" w:themeColor="text1"/>
          <w:spacing w:val="-13"/>
          <w:w w:val="110"/>
          <w:szCs w:val="22"/>
        </w:rPr>
        <w:t xml:space="preserve"> </w:t>
      </w:r>
      <w:r w:rsidRPr="00DD7BD1">
        <w:rPr>
          <w:rFonts w:cs="Calibri"/>
          <w:color w:val="000000" w:themeColor="text1"/>
          <w:w w:val="110"/>
          <w:szCs w:val="22"/>
        </w:rPr>
        <w:t>those</w:t>
      </w:r>
      <w:r w:rsidRPr="00DD7BD1">
        <w:rPr>
          <w:rFonts w:cs="Calibri"/>
          <w:color w:val="000000" w:themeColor="text1"/>
          <w:spacing w:val="-12"/>
          <w:w w:val="110"/>
          <w:szCs w:val="22"/>
        </w:rPr>
        <w:t xml:space="preserve"> </w:t>
      </w:r>
      <w:r w:rsidRPr="00DD7BD1">
        <w:rPr>
          <w:rFonts w:cs="Calibri"/>
          <w:color w:val="000000" w:themeColor="text1"/>
          <w:w w:val="110"/>
          <w:szCs w:val="22"/>
        </w:rPr>
        <w:t>that</w:t>
      </w:r>
      <w:r w:rsidRPr="00DD7BD1">
        <w:rPr>
          <w:rFonts w:cs="Calibri"/>
          <w:color w:val="000000" w:themeColor="text1"/>
          <w:spacing w:val="-15"/>
          <w:w w:val="110"/>
          <w:szCs w:val="22"/>
        </w:rPr>
        <w:t xml:space="preserve"> </w:t>
      </w:r>
      <w:r w:rsidRPr="00DD7BD1">
        <w:rPr>
          <w:rFonts w:cs="Calibri"/>
          <w:color w:val="000000" w:themeColor="text1"/>
          <w:w w:val="110"/>
          <w:szCs w:val="22"/>
        </w:rPr>
        <w:t>don’t</w:t>
      </w:r>
      <w:r w:rsidRPr="00DD7BD1">
        <w:rPr>
          <w:rFonts w:cs="Calibri"/>
          <w:color w:val="000000" w:themeColor="text1"/>
          <w:spacing w:val="-16"/>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3"/>
          <w:w w:val="110"/>
          <w:szCs w:val="22"/>
        </w:rPr>
        <w:t xml:space="preserve"> </w:t>
      </w:r>
      <w:r w:rsidRPr="00DD7BD1">
        <w:rPr>
          <w:rFonts w:cs="Calibri"/>
          <w:color w:val="000000" w:themeColor="text1"/>
          <w:w w:val="110"/>
          <w:szCs w:val="22"/>
        </w:rPr>
        <w:t>well- established compensation structure, the plan will likely involve directing these requests to Human Resources.</w:t>
      </w:r>
      <w:r w:rsidRPr="00DD7BD1">
        <w:rPr>
          <w:rFonts w:cs="Calibri"/>
          <w:color w:val="000000" w:themeColor="text1"/>
          <w:szCs w:val="22"/>
        </w:rPr>
        <w:t xml:space="preserve"> </w:t>
      </w:r>
      <w:r w:rsidRPr="00DD7BD1">
        <w:rPr>
          <w:rFonts w:cs="Calibri"/>
          <w:color w:val="000000" w:themeColor="text1"/>
          <w:w w:val="110"/>
          <w:szCs w:val="22"/>
        </w:rPr>
        <w:t>Ideally,</w:t>
      </w:r>
      <w:r w:rsidRPr="00DD7BD1">
        <w:rPr>
          <w:rFonts w:cs="Calibri"/>
          <w:color w:val="000000" w:themeColor="text1"/>
          <w:spacing w:val="-15"/>
          <w:w w:val="110"/>
          <w:szCs w:val="22"/>
        </w:rPr>
        <w:t xml:space="preserve"> </w:t>
      </w:r>
      <w:r w:rsidRPr="00DD7BD1">
        <w:rPr>
          <w:rFonts w:cs="Calibri"/>
          <w:color w:val="000000" w:themeColor="text1"/>
          <w:w w:val="110"/>
          <w:szCs w:val="22"/>
        </w:rPr>
        <w:t>the</w:t>
      </w:r>
      <w:r w:rsidRPr="00DD7BD1">
        <w:rPr>
          <w:rFonts w:cs="Calibri"/>
          <w:color w:val="000000" w:themeColor="text1"/>
          <w:spacing w:val="-14"/>
          <w:w w:val="110"/>
          <w:szCs w:val="22"/>
        </w:rPr>
        <w:t xml:space="preserve"> </w:t>
      </w:r>
      <w:r w:rsidRPr="00DD7BD1">
        <w:rPr>
          <w:rFonts w:cs="Calibri"/>
          <w:color w:val="000000" w:themeColor="text1"/>
          <w:w w:val="110"/>
          <w:szCs w:val="22"/>
        </w:rPr>
        <w:t>ranges</w:t>
      </w:r>
      <w:r w:rsidRPr="00DD7BD1">
        <w:rPr>
          <w:rFonts w:cs="Calibri"/>
          <w:color w:val="000000" w:themeColor="text1"/>
          <w:spacing w:val="-15"/>
          <w:w w:val="110"/>
          <w:szCs w:val="22"/>
        </w:rPr>
        <w:t xml:space="preserve"> </w:t>
      </w:r>
      <w:r w:rsidRPr="00DD7BD1">
        <w:rPr>
          <w:rFonts w:cs="Calibri"/>
          <w:color w:val="000000" w:themeColor="text1"/>
          <w:w w:val="110"/>
          <w:szCs w:val="22"/>
        </w:rPr>
        <w:t>provided</w:t>
      </w:r>
      <w:r w:rsidRPr="00DD7BD1">
        <w:rPr>
          <w:rFonts w:cs="Calibri"/>
          <w:color w:val="000000" w:themeColor="text1"/>
          <w:spacing w:val="-14"/>
          <w:w w:val="110"/>
          <w:szCs w:val="22"/>
        </w:rPr>
        <w:t xml:space="preserve"> </w:t>
      </w:r>
      <w:r w:rsidRPr="00DD7BD1">
        <w:rPr>
          <w:rFonts w:cs="Calibri"/>
          <w:color w:val="000000" w:themeColor="text1"/>
          <w:w w:val="110"/>
          <w:szCs w:val="22"/>
        </w:rPr>
        <w:t>will</w:t>
      </w:r>
      <w:r w:rsidRPr="00DD7BD1">
        <w:rPr>
          <w:rFonts w:cs="Calibri"/>
          <w:color w:val="000000" w:themeColor="text1"/>
          <w:spacing w:val="-16"/>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reasonable,</w:t>
      </w:r>
      <w:r w:rsidRPr="00DD7BD1">
        <w:rPr>
          <w:rFonts w:cs="Calibri"/>
          <w:color w:val="000000" w:themeColor="text1"/>
          <w:spacing w:val="-14"/>
          <w:w w:val="110"/>
          <w:szCs w:val="22"/>
        </w:rPr>
        <w:t xml:space="preserve"> </w:t>
      </w:r>
      <w:r w:rsidRPr="00DD7BD1">
        <w:rPr>
          <w:rFonts w:cs="Calibri"/>
          <w:color w:val="000000" w:themeColor="text1"/>
          <w:w w:val="110"/>
          <w:szCs w:val="22"/>
        </w:rPr>
        <w:t>documented,</w:t>
      </w:r>
      <w:r w:rsidRPr="00DD7BD1">
        <w:rPr>
          <w:rFonts w:cs="Calibri"/>
          <w:color w:val="000000" w:themeColor="text1"/>
          <w:spacing w:val="-15"/>
          <w:w w:val="110"/>
          <w:szCs w:val="22"/>
        </w:rPr>
        <w:t xml:space="preserve"> </w:t>
      </w:r>
      <w:r w:rsidRPr="00DD7BD1">
        <w:rPr>
          <w:rFonts w:cs="Calibri"/>
          <w:color w:val="000000" w:themeColor="text1"/>
          <w:w w:val="110"/>
          <w:szCs w:val="22"/>
        </w:rPr>
        <w:t>and</w:t>
      </w:r>
      <w:r w:rsidRPr="00DD7BD1">
        <w:rPr>
          <w:rFonts w:cs="Calibri"/>
          <w:color w:val="000000" w:themeColor="text1"/>
          <w:spacing w:val="-14"/>
          <w:w w:val="110"/>
          <w:szCs w:val="22"/>
        </w:rPr>
        <w:t xml:space="preserve"> </w:t>
      </w:r>
      <w:r w:rsidRPr="00DD7BD1">
        <w:rPr>
          <w:rFonts w:cs="Calibri"/>
          <w:color w:val="000000" w:themeColor="text1"/>
          <w:w w:val="110"/>
          <w:szCs w:val="22"/>
        </w:rPr>
        <w:t>won’t</w:t>
      </w:r>
      <w:r w:rsidRPr="00DD7BD1">
        <w:rPr>
          <w:rFonts w:cs="Calibri"/>
          <w:color w:val="000000" w:themeColor="text1"/>
          <w:spacing w:val="-15"/>
          <w:w w:val="110"/>
          <w:szCs w:val="22"/>
        </w:rPr>
        <w:t xml:space="preserve"> </w:t>
      </w:r>
      <w:r w:rsidRPr="00DD7BD1">
        <w:rPr>
          <w:rFonts w:cs="Calibri"/>
          <w:color w:val="000000" w:themeColor="text1"/>
          <w:w w:val="110"/>
          <w:szCs w:val="22"/>
        </w:rPr>
        <w:t>raise</w:t>
      </w:r>
      <w:r w:rsidRPr="00DD7BD1">
        <w:rPr>
          <w:rFonts w:cs="Calibri"/>
          <w:color w:val="000000" w:themeColor="text1"/>
          <w:spacing w:val="-14"/>
          <w:w w:val="110"/>
          <w:szCs w:val="22"/>
        </w:rPr>
        <w:t xml:space="preserve"> </w:t>
      </w:r>
      <w:r w:rsidRPr="00DD7BD1">
        <w:rPr>
          <w:rFonts w:cs="Calibri"/>
          <w:color w:val="000000" w:themeColor="text1"/>
          <w:w w:val="110"/>
          <w:szCs w:val="22"/>
        </w:rPr>
        <w:t>any</w:t>
      </w:r>
      <w:r w:rsidRPr="00DD7BD1">
        <w:rPr>
          <w:rFonts w:cs="Calibri"/>
          <w:color w:val="000000" w:themeColor="text1"/>
          <w:spacing w:val="-14"/>
          <w:w w:val="110"/>
          <w:szCs w:val="22"/>
        </w:rPr>
        <w:t xml:space="preserve"> </w:t>
      </w:r>
      <w:r w:rsidRPr="00DD7BD1">
        <w:rPr>
          <w:rFonts w:cs="Calibri"/>
          <w:color w:val="000000" w:themeColor="text1"/>
          <w:w w:val="110"/>
          <w:szCs w:val="22"/>
        </w:rPr>
        <w:t>red</w:t>
      </w:r>
      <w:r w:rsidRPr="00DD7BD1">
        <w:rPr>
          <w:rFonts w:cs="Calibri"/>
          <w:color w:val="000000" w:themeColor="text1"/>
          <w:spacing w:val="-13"/>
          <w:w w:val="110"/>
          <w:szCs w:val="22"/>
        </w:rPr>
        <w:t xml:space="preserve"> </w:t>
      </w:r>
      <w:r w:rsidRPr="00DD7BD1">
        <w:rPr>
          <w:rFonts w:cs="Calibri"/>
          <w:color w:val="000000" w:themeColor="text1"/>
          <w:w w:val="110"/>
          <w:szCs w:val="22"/>
        </w:rPr>
        <w:t>flags</w:t>
      </w:r>
      <w:r w:rsidRPr="00DD7BD1">
        <w:rPr>
          <w:rFonts w:cs="Calibri"/>
          <w:color w:val="000000" w:themeColor="text1"/>
          <w:spacing w:val="-14"/>
          <w:w w:val="110"/>
          <w:szCs w:val="22"/>
        </w:rPr>
        <w:t xml:space="preserve"> </w:t>
      </w:r>
      <w:r w:rsidRPr="00DD7BD1">
        <w:rPr>
          <w:rFonts w:cs="Calibri"/>
          <w:color w:val="000000" w:themeColor="text1"/>
          <w:w w:val="110"/>
          <w:szCs w:val="22"/>
        </w:rPr>
        <w:t>with</w:t>
      </w:r>
      <w:r w:rsidRPr="00DD7BD1">
        <w:rPr>
          <w:rFonts w:cs="Calibri"/>
          <w:color w:val="000000" w:themeColor="text1"/>
          <w:spacing w:val="-14"/>
          <w:w w:val="110"/>
          <w:szCs w:val="22"/>
        </w:rPr>
        <w:t xml:space="preserve"> </w:t>
      </w:r>
      <w:r w:rsidRPr="00DD7BD1">
        <w:rPr>
          <w:rFonts w:cs="Calibri"/>
          <w:color w:val="000000" w:themeColor="text1"/>
          <w:w w:val="110"/>
          <w:szCs w:val="22"/>
        </w:rPr>
        <w:t>respect</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6"/>
          <w:w w:val="110"/>
          <w:szCs w:val="22"/>
        </w:rPr>
        <w:t xml:space="preserve"> </w:t>
      </w:r>
      <w:r w:rsidRPr="00DD7BD1">
        <w:rPr>
          <w:rFonts w:cs="Calibri"/>
          <w:color w:val="000000" w:themeColor="text1"/>
          <w:spacing w:val="-5"/>
          <w:w w:val="110"/>
          <w:szCs w:val="22"/>
        </w:rPr>
        <w:t>pay</w:t>
      </w:r>
      <w:r w:rsidRPr="00DD7BD1">
        <w:rPr>
          <w:rFonts w:cs="Calibri"/>
          <w:color w:val="000000" w:themeColor="text1"/>
          <w:szCs w:val="22"/>
        </w:rPr>
        <w:t xml:space="preserve"> </w:t>
      </w:r>
      <w:r w:rsidRPr="00DD7BD1">
        <w:rPr>
          <w:rFonts w:cs="Calibri"/>
          <w:color w:val="000000" w:themeColor="text1"/>
          <w:spacing w:val="-2"/>
          <w:w w:val="110"/>
          <w:szCs w:val="22"/>
        </w:rPr>
        <w:t>equity.</w:t>
      </w:r>
    </w:p>
    <w:p w14:paraId="5AEC0171" w14:textId="77777777" w:rsidR="003A22A9" w:rsidRPr="00DD7BD1" w:rsidRDefault="003A22A9" w:rsidP="003A22A9">
      <w:pPr>
        <w:pStyle w:val="BodyText"/>
        <w:spacing w:after="0" w:line="240" w:lineRule="auto"/>
        <w:ind w:right="-180"/>
        <w:rPr>
          <w:rFonts w:cs="Calibri"/>
          <w:w w:val="110"/>
          <w:sz w:val="16"/>
          <w:szCs w:val="16"/>
        </w:rPr>
      </w:pPr>
    </w:p>
    <w:p w14:paraId="2B0026F1" w14:textId="77777777" w:rsidR="003A22A9" w:rsidRPr="00DD7BD1" w:rsidRDefault="003A22A9" w:rsidP="003A22A9">
      <w:pPr>
        <w:pStyle w:val="BodyText"/>
        <w:spacing w:after="0" w:line="240" w:lineRule="auto"/>
        <w:ind w:right="-180"/>
        <w:rPr>
          <w:rFonts w:cs="Calibri"/>
          <w:szCs w:val="22"/>
        </w:rPr>
      </w:pPr>
      <w:r w:rsidRPr="00DD7BD1">
        <w:rPr>
          <w:rFonts w:cs="Calibri"/>
          <w:color w:val="000000" w:themeColor="text1"/>
          <w:w w:val="110"/>
          <w:szCs w:val="22"/>
        </w:rPr>
        <w:lastRenderedPageBreak/>
        <w:t>The</w:t>
      </w:r>
      <w:r w:rsidRPr="00DD7BD1">
        <w:rPr>
          <w:rFonts w:cs="Calibri"/>
          <w:spacing w:val="-17"/>
          <w:w w:val="110"/>
          <w:szCs w:val="22"/>
        </w:rPr>
        <w:t xml:space="preserve"> </w:t>
      </w:r>
      <w:hyperlink r:id="rId829">
        <w:r w:rsidRPr="00DD7BD1">
          <w:rPr>
            <w:rFonts w:cs="Calibri"/>
            <w:color w:val="0000FF"/>
            <w:w w:val="110"/>
            <w:szCs w:val="22"/>
            <w:u w:val="single" w:color="0000FF"/>
          </w:rPr>
          <w:t>guidance</w:t>
        </w:r>
      </w:hyperlink>
      <w:r w:rsidRPr="00DD7BD1">
        <w:rPr>
          <w:rFonts w:cs="Calibri"/>
          <w:color w:val="0000FF"/>
          <w:spacing w:val="-17"/>
          <w:w w:val="110"/>
          <w:szCs w:val="22"/>
        </w:rPr>
        <w:t xml:space="preserve"> </w:t>
      </w:r>
      <w:r w:rsidRPr="00DD7BD1">
        <w:rPr>
          <w:rFonts w:cs="Calibri"/>
          <w:color w:val="000000" w:themeColor="text1"/>
          <w:w w:val="110"/>
          <w:szCs w:val="22"/>
        </w:rPr>
        <w:t>from</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Massachusetts</w:t>
      </w:r>
      <w:r w:rsidRPr="00DD7BD1">
        <w:rPr>
          <w:rFonts w:cs="Calibri"/>
          <w:color w:val="000000" w:themeColor="text1"/>
          <w:spacing w:val="-17"/>
          <w:w w:val="110"/>
          <w:szCs w:val="22"/>
        </w:rPr>
        <w:t xml:space="preserve"> </w:t>
      </w:r>
      <w:r w:rsidRPr="00DD7BD1">
        <w:rPr>
          <w:rFonts w:cs="Calibri"/>
          <w:color w:val="000000" w:themeColor="text1"/>
          <w:w w:val="110"/>
          <w:szCs w:val="22"/>
        </w:rPr>
        <w:t>Attorney</w:t>
      </w:r>
      <w:r w:rsidRPr="00DD7BD1">
        <w:rPr>
          <w:rFonts w:cs="Calibri"/>
          <w:color w:val="000000" w:themeColor="text1"/>
          <w:spacing w:val="-16"/>
          <w:w w:val="110"/>
          <w:szCs w:val="22"/>
        </w:rPr>
        <w:t xml:space="preserve"> </w:t>
      </w:r>
      <w:r w:rsidRPr="00DD7BD1">
        <w:rPr>
          <w:rFonts w:cs="Calibri"/>
          <w:color w:val="000000" w:themeColor="text1"/>
          <w:w w:val="110"/>
          <w:szCs w:val="22"/>
        </w:rPr>
        <w:t>General's</w:t>
      </w:r>
      <w:r w:rsidRPr="00DD7BD1">
        <w:rPr>
          <w:rFonts w:cs="Calibri"/>
          <w:color w:val="000000" w:themeColor="text1"/>
          <w:spacing w:val="-16"/>
          <w:w w:val="110"/>
          <w:szCs w:val="22"/>
        </w:rPr>
        <w:t xml:space="preserve"> </w:t>
      </w:r>
      <w:r w:rsidRPr="00DD7BD1">
        <w:rPr>
          <w:rFonts w:cs="Calibri"/>
          <w:color w:val="000000" w:themeColor="text1"/>
          <w:w w:val="110"/>
          <w:szCs w:val="22"/>
        </w:rPr>
        <w:t>(AG)</w:t>
      </w:r>
      <w:r w:rsidRPr="00DD7BD1">
        <w:rPr>
          <w:rFonts w:cs="Calibri"/>
          <w:color w:val="000000" w:themeColor="text1"/>
          <w:spacing w:val="-17"/>
          <w:w w:val="110"/>
          <w:szCs w:val="22"/>
        </w:rPr>
        <w:t xml:space="preserve"> </w:t>
      </w:r>
      <w:r w:rsidRPr="00DD7BD1">
        <w:rPr>
          <w:rFonts w:cs="Calibri"/>
          <w:color w:val="000000" w:themeColor="text1"/>
          <w:w w:val="110"/>
          <w:szCs w:val="22"/>
        </w:rPr>
        <w:t>Office</w:t>
      </w:r>
      <w:r w:rsidRPr="00DD7BD1">
        <w:rPr>
          <w:rFonts w:cs="Calibri"/>
          <w:color w:val="000000" w:themeColor="text1"/>
          <w:spacing w:val="-16"/>
          <w:w w:val="110"/>
          <w:szCs w:val="22"/>
        </w:rPr>
        <w:t xml:space="preserve"> </w:t>
      </w:r>
      <w:r w:rsidRPr="00DD7BD1">
        <w:rPr>
          <w:rFonts w:cs="Calibri"/>
          <w:color w:val="000000" w:themeColor="text1"/>
          <w:w w:val="110"/>
          <w:szCs w:val="22"/>
        </w:rPr>
        <w:t>provides</w:t>
      </w:r>
      <w:r w:rsidRPr="00DD7BD1">
        <w:rPr>
          <w:rFonts w:cs="Calibri"/>
          <w:color w:val="000000" w:themeColor="text1"/>
          <w:spacing w:val="-17"/>
          <w:w w:val="110"/>
          <w:szCs w:val="22"/>
        </w:rPr>
        <w:t xml:space="preserve"> </w:t>
      </w:r>
      <w:r w:rsidRPr="00DD7BD1">
        <w:rPr>
          <w:rFonts w:cs="Calibri"/>
          <w:color w:val="000000" w:themeColor="text1"/>
          <w:w w:val="110"/>
          <w:szCs w:val="22"/>
        </w:rPr>
        <w:t>further</w:t>
      </w:r>
      <w:r w:rsidRPr="00DD7BD1">
        <w:rPr>
          <w:rFonts w:cs="Calibri"/>
          <w:color w:val="000000" w:themeColor="text1"/>
          <w:spacing w:val="-16"/>
          <w:w w:val="110"/>
          <w:szCs w:val="22"/>
        </w:rPr>
        <w:t xml:space="preserve"> </w:t>
      </w:r>
      <w:r w:rsidRPr="00DD7BD1">
        <w:rPr>
          <w:rFonts w:cs="Calibri"/>
          <w:color w:val="000000" w:themeColor="text1"/>
          <w:w w:val="110"/>
          <w:szCs w:val="22"/>
        </w:rPr>
        <w:t>clarification</w:t>
      </w:r>
      <w:r w:rsidRPr="00DD7BD1">
        <w:rPr>
          <w:rFonts w:cs="Calibri"/>
          <w:color w:val="000000" w:themeColor="text1"/>
          <w:spacing w:val="-17"/>
          <w:w w:val="110"/>
          <w:szCs w:val="22"/>
        </w:rPr>
        <w:t xml:space="preserve"> </w:t>
      </w:r>
      <w:r w:rsidRPr="00DD7BD1">
        <w:rPr>
          <w:rFonts w:cs="Calibri"/>
          <w:color w:val="000000" w:themeColor="text1"/>
          <w:w w:val="110"/>
          <w:szCs w:val="22"/>
        </w:rPr>
        <w:t>on</w:t>
      </w:r>
      <w:r w:rsidRPr="00DD7BD1">
        <w:rPr>
          <w:rFonts w:cs="Calibri"/>
          <w:color w:val="000000" w:themeColor="text1"/>
          <w:spacing w:val="-15"/>
          <w:w w:val="110"/>
          <w:szCs w:val="22"/>
        </w:rPr>
        <w:t xml:space="preserve"> </w:t>
      </w:r>
      <w:r w:rsidRPr="00DD7BD1">
        <w:rPr>
          <w:rFonts w:cs="Calibri"/>
          <w:color w:val="000000" w:themeColor="text1"/>
          <w:w w:val="110"/>
          <w:szCs w:val="22"/>
        </w:rPr>
        <w:t>several</w:t>
      </w:r>
      <w:r w:rsidRPr="00DD7BD1">
        <w:rPr>
          <w:rFonts w:cs="Calibri"/>
          <w:color w:val="000000" w:themeColor="text1"/>
          <w:spacing w:val="-17"/>
          <w:w w:val="110"/>
          <w:szCs w:val="22"/>
        </w:rPr>
        <w:t xml:space="preserve"> </w:t>
      </w:r>
      <w:r w:rsidRPr="00DD7BD1">
        <w:rPr>
          <w:rFonts w:cs="Calibri"/>
          <w:color w:val="000000" w:themeColor="text1"/>
          <w:w w:val="110"/>
          <w:szCs w:val="22"/>
        </w:rPr>
        <w:t>key aspects of the Act, including the following</w:t>
      </w:r>
    </w:p>
    <w:p w14:paraId="3FE2ABB1"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determine</w:t>
      </w:r>
      <w:r w:rsidRPr="00DD7BD1">
        <w:rPr>
          <w:rFonts w:ascii="Calibri" w:hAnsi="Calibri" w:cs="Calibri"/>
          <w:spacing w:val="-15"/>
          <w:w w:val="110"/>
        </w:rPr>
        <w:t xml:space="preserve"> </w:t>
      </w:r>
      <w:r w:rsidRPr="00DD7BD1">
        <w:rPr>
          <w:rFonts w:ascii="Calibri" w:hAnsi="Calibri" w:cs="Calibri"/>
          <w:w w:val="110"/>
        </w:rPr>
        <w:t>if</w:t>
      </w:r>
      <w:r w:rsidRPr="00DD7BD1">
        <w:rPr>
          <w:rFonts w:ascii="Calibri" w:hAnsi="Calibri" w:cs="Calibri"/>
          <w:spacing w:val="-15"/>
          <w:w w:val="110"/>
        </w:rPr>
        <w:t xml:space="preserve"> </w:t>
      </w:r>
      <w:r w:rsidRPr="00DD7BD1">
        <w:rPr>
          <w:rFonts w:ascii="Calibri" w:hAnsi="Calibri" w:cs="Calibri"/>
          <w:w w:val="110"/>
        </w:rPr>
        <w:t>they</w:t>
      </w:r>
      <w:r w:rsidRPr="00DD7BD1">
        <w:rPr>
          <w:rFonts w:ascii="Calibri" w:hAnsi="Calibri" w:cs="Calibri"/>
          <w:spacing w:val="-16"/>
          <w:w w:val="110"/>
        </w:rPr>
        <w:t xml:space="preserve"> </w:t>
      </w:r>
      <w:r w:rsidRPr="00DD7BD1">
        <w:rPr>
          <w:rFonts w:ascii="Calibri" w:hAnsi="Calibri" w:cs="Calibri"/>
          <w:w w:val="110"/>
        </w:rPr>
        <w:t>reach</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25-employee</w:t>
      </w:r>
      <w:r w:rsidRPr="00DD7BD1">
        <w:rPr>
          <w:rFonts w:ascii="Calibri" w:hAnsi="Calibri" w:cs="Calibri"/>
          <w:spacing w:val="-15"/>
          <w:w w:val="110"/>
        </w:rPr>
        <w:t xml:space="preserve"> </w:t>
      </w:r>
      <w:r w:rsidRPr="00DD7BD1">
        <w:rPr>
          <w:rFonts w:ascii="Calibri" w:hAnsi="Calibri" w:cs="Calibri"/>
          <w:w w:val="110"/>
        </w:rPr>
        <w:t>threshold</w:t>
      </w:r>
      <w:r w:rsidRPr="00DD7BD1">
        <w:rPr>
          <w:rFonts w:ascii="Calibri" w:hAnsi="Calibri" w:cs="Calibri"/>
          <w:spacing w:val="-16"/>
          <w:w w:val="110"/>
        </w:rPr>
        <w:t xml:space="preserve"> </w:t>
      </w:r>
      <w:r w:rsidRPr="00DD7BD1">
        <w:rPr>
          <w:rFonts w:ascii="Calibri" w:hAnsi="Calibri" w:cs="Calibri"/>
          <w:w w:val="110"/>
        </w:rPr>
        <w:t>for</w:t>
      </w:r>
      <w:r w:rsidRPr="00DD7BD1">
        <w:rPr>
          <w:rFonts w:ascii="Calibri" w:hAnsi="Calibri" w:cs="Calibri"/>
          <w:spacing w:val="-15"/>
          <w:w w:val="110"/>
        </w:rPr>
        <w:t xml:space="preserve"> </w:t>
      </w:r>
      <w:r w:rsidRPr="00DD7BD1">
        <w:rPr>
          <w:rFonts w:ascii="Calibri" w:hAnsi="Calibri" w:cs="Calibri"/>
          <w:w w:val="110"/>
        </w:rPr>
        <w:t>application</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employers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6"/>
          <w:w w:val="110"/>
        </w:rPr>
        <w:t xml:space="preserve"> </w:t>
      </w:r>
      <w:r w:rsidRPr="00DD7BD1">
        <w:rPr>
          <w:rFonts w:ascii="Calibri" w:hAnsi="Calibri" w:cs="Calibri"/>
          <w:w w:val="110"/>
        </w:rPr>
        <w:t>count</w:t>
      </w:r>
      <w:r w:rsidRPr="00DD7BD1">
        <w:rPr>
          <w:rFonts w:ascii="Calibri" w:hAnsi="Calibri" w:cs="Calibri"/>
          <w:spacing w:val="-15"/>
          <w:w w:val="110"/>
        </w:rPr>
        <w:t xml:space="preserve"> </w:t>
      </w:r>
      <w:r w:rsidRPr="00DD7BD1">
        <w:rPr>
          <w:rFonts w:ascii="Calibri" w:hAnsi="Calibri" w:cs="Calibri"/>
          <w:w w:val="110"/>
        </w:rPr>
        <w:t>all</w:t>
      </w:r>
      <w:r w:rsidRPr="00DD7BD1">
        <w:rPr>
          <w:rFonts w:ascii="Calibri" w:hAnsi="Calibri" w:cs="Calibri"/>
          <w:spacing w:val="-15"/>
          <w:w w:val="110"/>
        </w:rPr>
        <w:t xml:space="preserve"> </w:t>
      </w:r>
      <w:r w:rsidRPr="00DD7BD1">
        <w:rPr>
          <w:rFonts w:ascii="Calibri" w:hAnsi="Calibri" w:cs="Calibri"/>
          <w:w w:val="110"/>
        </w:rPr>
        <w:t>full-time, part-time,</w:t>
      </w:r>
      <w:r w:rsidRPr="00DD7BD1">
        <w:rPr>
          <w:rFonts w:ascii="Calibri" w:hAnsi="Calibri" w:cs="Calibri"/>
          <w:spacing w:val="-2"/>
          <w:w w:val="110"/>
        </w:rPr>
        <w:t xml:space="preserve"> </w:t>
      </w:r>
      <w:r w:rsidRPr="00DD7BD1">
        <w:rPr>
          <w:rFonts w:ascii="Calibri" w:hAnsi="Calibri" w:cs="Calibri"/>
          <w:w w:val="110"/>
        </w:rPr>
        <w:t>seasonal</w:t>
      </w:r>
      <w:r w:rsidRPr="00DD7BD1">
        <w:rPr>
          <w:rFonts w:ascii="Calibri" w:hAnsi="Calibri" w:cs="Calibri"/>
          <w:spacing w:val="-1"/>
          <w:w w:val="110"/>
        </w:rPr>
        <w:t xml:space="preserve"> </w:t>
      </w:r>
      <w:r w:rsidRPr="00DD7BD1">
        <w:rPr>
          <w:rFonts w:ascii="Calibri" w:hAnsi="Calibri" w:cs="Calibri"/>
          <w:w w:val="110"/>
        </w:rPr>
        <w:t>and temporary</w:t>
      </w:r>
      <w:r w:rsidRPr="00DD7BD1">
        <w:rPr>
          <w:rFonts w:ascii="Calibri" w:hAnsi="Calibri" w:cs="Calibri"/>
          <w:spacing w:val="-1"/>
          <w:w w:val="110"/>
        </w:rPr>
        <w:t xml:space="preserve"> </w:t>
      </w:r>
      <w:r w:rsidRPr="00DD7BD1">
        <w:rPr>
          <w:rFonts w:ascii="Calibri" w:hAnsi="Calibri" w:cs="Calibri"/>
          <w:w w:val="110"/>
        </w:rPr>
        <w:t>employees with a</w:t>
      </w:r>
      <w:r w:rsidRPr="00DD7BD1">
        <w:rPr>
          <w:rFonts w:ascii="Calibri" w:hAnsi="Calibri" w:cs="Calibri"/>
          <w:spacing w:val="-1"/>
          <w:w w:val="110"/>
        </w:rPr>
        <w:t xml:space="preserve"> </w:t>
      </w:r>
      <w:r w:rsidRPr="00DD7BD1">
        <w:rPr>
          <w:rFonts w:ascii="Calibri" w:hAnsi="Calibri" w:cs="Calibri"/>
          <w:w w:val="110"/>
        </w:rPr>
        <w:t>primary</w:t>
      </w:r>
      <w:r w:rsidRPr="00DD7BD1">
        <w:rPr>
          <w:rFonts w:ascii="Calibri" w:hAnsi="Calibri" w:cs="Calibri"/>
          <w:spacing w:val="-2"/>
          <w:w w:val="110"/>
        </w:rPr>
        <w:t xml:space="preserve"> </w:t>
      </w:r>
      <w:r w:rsidRPr="00DD7BD1">
        <w:rPr>
          <w:rFonts w:ascii="Calibri" w:hAnsi="Calibri" w:cs="Calibri"/>
          <w:w w:val="110"/>
        </w:rPr>
        <w:t>place</w:t>
      </w:r>
      <w:r w:rsidRPr="00DD7BD1">
        <w:rPr>
          <w:rFonts w:ascii="Calibri" w:hAnsi="Calibri" w:cs="Calibri"/>
          <w:spacing w:val="-1"/>
          <w:w w:val="110"/>
        </w:rPr>
        <w:t xml:space="preserve"> </w:t>
      </w:r>
      <w:r w:rsidRPr="00DD7BD1">
        <w:rPr>
          <w:rFonts w:ascii="Calibri" w:hAnsi="Calibri" w:cs="Calibri"/>
          <w:w w:val="110"/>
        </w:rPr>
        <w:t>of work</w:t>
      </w:r>
      <w:r w:rsidRPr="00DD7BD1">
        <w:rPr>
          <w:rFonts w:ascii="Calibri" w:hAnsi="Calibri" w:cs="Calibri"/>
          <w:spacing w:val="-2"/>
          <w:w w:val="110"/>
        </w:rPr>
        <w:t xml:space="preserve"> </w:t>
      </w:r>
      <w:r w:rsidRPr="00DD7BD1">
        <w:rPr>
          <w:rFonts w:ascii="Calibri" w:hAnsi="Calibri" w:cs="Calibri"/>
          <w:w w:val="110"/>
        </w:rPr>
        <w:t>in Massachusetts. Remote</w:t>
      </w:r>
      <w:r w:rsidRPr="00DD7BD1">
        <w:rPr>
          <w:rFonts w:ascii="Calibri" w:hAnsi="Calibri" w:cs="Calibri"/>
          <w:spacing w:val="-1"/>
          <w:w w:val="110"/>
        </w:rPr>
        <w:t xml:space="preserve"> </w:t>
      </w:r>
      <w:r w:rsidRPr="00DD7BD1">
        <w:rPr>
          <w:rFonts w:ascii="Calibri" w:hAnsi="Calibri" w:cs="Calibri"/>
          <w:w w:val="110"/>
        </w:rPr>
        <w:t>employees who</w:t>
      </w:r>
      <w:r w:rsidRPr="00DD7BD1">
        <w:rPr>
          <w:rFonts w:ascii="Calibri" w:hAnsi="Calibri" w:cs="Calibri"/>
          <w:spacing w:val="-12"/>
          <w:w w:val="110"/>
        </w:rPr>
        <w:t xml:space="preserve"> </w:t>
      </w:r>
      <w:r w:rsidRPr="00DD7BD1">
        <w:rPr>
          <w:rFonts w:ascii="Calibri" w:hAnsi="Calibri" w:cs="Calibri"/>
          <w:w w:val="110"/>
        </w:rPr>
        <w:t>work</w:t>
      </w:r>
      <w:r w:rsidRPr="00DD7BD1">
        <w:rPr>
          <w:rFonts w:ascii="Calibri" w:hAnsi="Calibri" w:cs="Calibri"/>
          <w:spacing w:val="-9"/>
          <w:w w:val="110"/>
        </w:rPr>
        <w:t xml:space="preserve"> </w:t>
      </w:r>
      <w:r w:rsidRPr="00DD7BD1">
        <w:rPr>
          <w:rFonts w:ascii="Calibri" w:hAnsi="Calibri" w:cs="Calibri"/>
          <w:w w:val="110"/>
        </w:rPr>
        <w:t>out</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state</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count</w:t>
      </w:r>
      <w:r w:rsidRPr="00DD7BD1">
        <w:rPr>
          <w:rFonts w:ascii="Calibri" w:hAnsi="Calibri" w:cs="Calibri"/>
          <w:spacing w:val="-6"/>
          <w:w w:val="110"/>
        </w:rPr>
        <w:t xml:space="preserve"> </w:t>
      </w:r>
      <w:r w:rsidRPr="00DD7BD1">
        <w:rPr>
          <w:rFonts w:ascii="Calibri" w:hAnsi="Calibri" w:cs="Calibri"/>
          <w:w w:val="110"/>
        </w:rPr>
        <w:t>toward</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0"/>
          <w:w w:val="110"/>
        </w:rPr>
        <w:t xml:space="preserve"> </w:t>
      </w:r>
      <w:r w:rsidRPr="00DD7BD1">
        <w:rPr>
          <w:rFonts w:ascii="Calibri" w:hAnsi="Calibri" w:cs="Calibri"/>
          <w:w w:val="110"/>
        </w:rPr>
        <w:t>threshold</w:t>
      </w:r>
      <w:r w:rsidRPr="00DD7BD1">
        <w:rPr>
          <w:rFonts w:ascii="Calibri" w:hAnsi="Calibri" w:cs="Calibri"/>
          <w:spacing w:val="-9"/>
          <w:w w:val="110"/>
        </w:rPr>
        <w:t xml:space="preserve"> </w:t>
      </w:r>
      <w:r w:rsidRPr="00DD7BD1">
        <w:rPr>
          <w:rFonts w:ascii="Calibri" w:hAnsi="Calibri" w:cs="Calibri"/>
          <w:w w:val="110"/>
        </w:rPr>
        <w:t>if</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primary</w:t>
      </w:r>
      <w:r w:rsidRPr="00DD7BD1">
        <w:rPr>
          <w:rFonts w:ascii="Calibri" w:hAnsi="Calibri" w:cs="Calibri"/>
          <w:spacing w:val="-11"/>
          <w:w w:val="110"/>
        </w:rPr>
        <w:t xml:space="preserve"> </w:t>
      </w:r>
      <w:r w:rsidRPr="00DD7BD1">
        <w:rPr>
          <w:rFonts w:ascii="Calibri" w:hAnsi="Calibri" w:cs="Calibri"/>
          <w:w w:val="110"/>
        </w:rPr>
        <w:t>place</w:t>
      </w:r>
      <w:r w:rsidRPr="00DD7BD1">
        <w:rPr>
          <w:rFonts w:ascii="Calibri" w:hAnsi="Calibri" w:cs="Calibri"/>
          <w:spacing w:val="-9"/>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work</w:t>
      </w:r>
      <w:r w:rsidRPr="00DD7BD1">
        <w:rPr>
          <w:rFonts w:ascii="Calibri" w:hAnsi="Calibri" w:cs="Calibri"/>
          <w:spacing w:val="-12"/>
          <w:w w:val="110"/>
        </w:rPr>
        <w:t xml:space="preserve"> </w:t>
      </w:r>
      <w:proofErr w:type="gramStart"/>
      <w:r w:rsidRPr="00DD7BD1">
        <w:rPr>
          <w:rFonts w:ascii="Calibri" w:hAnsi="Calibri" w:cs="Calibri"/>
          <w:w w:val="110"/>
        </w:rPr>
        <w:t>is</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be</w:t>
      </w:r>
      <w:proofErr w:type="gramEnd"/>
      <w:r w:rsidRPr="00DD7BD1">
        <w:rPr>
          <w:rFonts w:ascii="Calibri" w:hAnsi="Calibri" w:cs="Calibri"/>
          <w:w w:val="110"/>
        </w:rPr>
        <w:t xml:space="preserve"> </w:t>
      </w:r>
      <w:r w:rsidRPr="00DD7BD1">
        <w:rPr>
          <w:rFonts w:ascii="Calibri" w:hAnsi="Calibri" w:cs="Calibri"/>
          <w:spacing w:val="-2"/>
          <w:w w:val="110"/>
        </w:rPr>
        <w:t>Massachusetts.</w:t>
      </w:r>
    </w:p>
    <w:p w14:paraId="75E16B5B"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definition</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"primary</w:t>
      </w:r>
      <w:r w:rsidRPr="00DD7BD1">
        <w:rPr>
          <w:rFonts w:ascii="Calibri" w:hAnsi="Calibri" w:cs="Calibri"/>
          <w:spacing w:val="-16"/>
          <w:w w:val="110"/>
        </w:rPr>
        <w:t xml:space="preserve"> </w:t>
      </w:r>
      <w:r w:rsidRPr="00DD7BD1">
        <w:rPr>
          <w:rFonts w:ascii="Calibri" w:hAnsi="Calibri" w:cs="Calibri"/>
          <w:w w:val="110"/>
        </w:rPr>
        <w:t>place</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3"/>
          <w:w w:val="110"/>
        </w:rPr>
        <w:t xml:space="preserve"> </w:t>
      </w:r>
      <w:r w:rsidRPr="00DD7BD1">
        <w:rPr>
          <w:rFonts w:ascii="Calibri" w:hAnsi="Calibri" w:cs="Calibri"/>
          <w:w w:val="110"/>
        </w:rPr>
        <w:t>work"</w:t>
      </w:r>
      <w:r w:rsidRPr="00DD7BD1">
        <w:rPr>
          <w:rFonts w:ascii="Calibri" w:hAnsi="Calibri" w:cs="Calibri"/>
          <w:spacing w:val="-15"/>
          <w:w w:val="110"/>
        </w:rPr>
        <w:t xml:space="preserve"> </w:t>
      </w:r>
      <w:r w:rsidRPr="00DD7BD1">
        <w:rPr>
          <w:rFonts w:ascii="Calibri" w:hAnsi="Calibri" w:cs="Calibri"/>
          <w:w w:val="110"/>
        </w:rPr>
        <w:t>under</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is</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same</w:t>
      </w:r>
      <w:r w:rsidRPr="00DD7BD1">
        <w:rPr>
          <w:rFonts w:ascii="Calibri" w:hAnsi="Calibri" w:cs="Calibri"/>
          <w:spacing w:val="-14"/>
          <w:w w:val="110"/>
        </w:rPr>
        <w:t xml:space="preserve"> </w:t>
      </w:r>
      <w:r w:rsidRPr="00DD7BD1">
        <w:rPr>
          <w:rFonts w:ascii="Calibri" w:hAnsi="Calibri" w:cs="Calibri"/>
          <w:w w:val="110"/>
        </w:rPr>
        <w:t>definition</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adopted</w:t>
      </w:r>
      <w:r w:rsidRPr="00DD7BD1">
        <w:rPr>
          <w:rFonts w:ascii="Calibri" w:hAnsi="Calibri" w:cs="Calibri"/>
          <w:spacing w:val="-15"/>
          <w:w w:val="110"/>
        </w:rPr>
        <w:t xml:space="preserve"> </w:t>
      </w:r>
      <w:r w:rsidRPr="00DD7BD1">
        <w:rPr>
          <w:rFonts w:ascii="Calibri" w:hAnsi="Calibri" w:cs="Calibri"/>
          <w:w w:val="110"/>
        </w:rPr>
        <w:t>in</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AG's</w:t>
      </w:r>
      <w:r w:rsidRPr="00DD7BD1">
        <w:rPr>
          <w:rFonts w:ascii="Calibri" w:hAnsi="Calibri" w:cs="Calibri"/>
          <w:spacing w:val="-4"/>
          <w:w w:val="110"/>
        </w:rPr>
        <w:t xml:space="preserve"> </w:t>
      </w:r>
      <w:hyperlink r:id="rId830">
        <w:r w:rsidRPr="00DD7BD1">
          <w:rPr>
            <w:rFonts w:ascii="Calibri" w:hAnsi="Calibri" w:cs="Calibri"/>
            <w:color w:val="0000FF"/>
            <w:w w:val="110"/>
            <w:u w:val="single" w:color="0000FF"/>
          </w:rPr>
          <w:t>Earned</w:t>
        </w:r>
        <w:r w:rsidRPr="00DD7BD1">
          <w:rPr>
            <w:rFonts w:ascii="Calibri" w:hAnsi="Calibri" w:cs="Calibri"/>
            <w:color w:val="0000FF"/>
            <w:spacing w:val="-15"/>
            <w:w w:val="110"/>
            <w:u w:val="single" w:color="0000FF"/>
          </w:rPr>
          <w:t xml:space="preserve"> </w:t>
        </w:r>
        <w:r w:rsidRPr="00DD7BD1">
          <w:rPr>
            <w:rFonts w:ascii="Calibri" w:hAnsi="Calibri" w:cs="Calibri"/>
            <w:color w:val="0000FF"/>
            <w:w w:val="110"/>
            <w:u w:val="single" w:color="0000FF"/>
          </w:rPr>
          <w:t>Sick</w:t>
        </w:r>
        <w:r w:rsidRPr="00DD7BD1">
          <w:rPr>
            <w:rFonts w:ascii="Calibri" w:hAnsi="Calibri" w:cs="Calibri"/>
            <w:color w:val="0000FF"/>
            <w:spacing w:val="-16"/>
            <w:w w:val="110"/>
            <w:u w:val="single" w:color="0000FF"/>
          </w:rPr>
          <w:t xml:space="preserve"> </w:t>
        </w:r>
        <w:r w:rsidRPr="00DD7BD1">
          <w:rPr>
            <w:rFonts w:ascii="Calibri" w:hAnsi="Calibri" w:cs="Calibri"/>
            <w:color w:val="0000FF"/>
            <w:w w:val="110"/>
            <w:u w:val="single" w:color="0000FF"/>
          </w:rPr>
          <w:t>Time</w:t>
        </w:r>
      </w:hyperlink>
      <w:r w:rsidRPr="00DD7BD1">
        <w:rPr>
          <w:rFonts w:ascii="Calibri" w:hAnsi="Calibri" w:cs="Calibri"/>
          <w:color w:val="0000FF"/>
          <w:w w:val="110"/>
        </w:rPr>
        <w:t xml:space="preserve"> </w:t>
      </w:r>
      <w:hyperlink r:id="rId831">
        <w:r w:rsidRPr="00DD7BD1">
          <w:rPr>
            <w:rFonts w:ascii="Calibri" w:hAnsi="Calibri" w:cs="Calibri"/>
            <w:color w:val="0000FF"/>
            <w:w w:val="110"/>
            <w:u w:val="single" w:color="0000FF"/>
          </w:rPr>
          <w:t>FAQs</w:t>
        </w:r>
        <w:r w:rsidRPr="00DD7BD1">
          <w:rPr>
            <w:rFonts w:ascii="Calibri" w:hAnsi="Calibri" w:cs="Calibri"/>
            <w:w w:val="110"/>
          </w:rPr>
          <w:t>.</w:t>
        </w:r>
      </w:hyperlink>
      <w:r w:rsidRPr="00DD7BD1">
        <w:rPr>
          <w:rFonts w:ascii="Calibri" w:hAnsi="Calibri" w:cs="Calibri"/>
          <w:spacing w:val="-5"/>
          <w:w w:val="110"/>
        </w:rPr>
        <w:t xml:space="preserve"> </w:t>
      </w:r>
      <w:r w:rsidRPr="00DD7BD1">
        <w:rPr>
          <w:rFonts w:ascii="Calibri" w:hAnsi="Calibri" w:cs="Calibri"/>
          <w:w w:val="110"/>
        </w:rPr>
        <w:t>Under</w:t>
      </w:r>
      <w:r w:rsidRPr="00DD7BD1">
        <w:rPr>
          <w:rFonts w:ascii="Calibri" w:hAnsi="Calibri" w:cs="Calibri"/>
          <w:spacing w:val="-5"/>
          <w:w w:val="110"/>
        </w:rPr>
        <w:t xml:space="preserve"> </w:t>
      </w:r>
      <w:r w:rsidRPr="00DD7BD1">
        <w:rPr>
          <w:rFonts w:ascii="Calibri" w:hAnsi="Calibri" w:cs="Calibri"/>
          <w:w w:val="110"/>
        </w:rPr>
        <w:t>those</w:t>
      </w:r>
      <w:r w:rsidRPr="00DD7BD1">
        <w:rPr>
          <w:rFonts w:ascii="Calibri" w:hAnsi="Calibri" w:cs="Calibri"/>
          <w:spacing w:val="-5"/>
          <w:w w:val="110"/>
        </w:rPr>
        <w:t xml:space="preserve"> </w:t>
      </w:r>
      <w:r w:rsidRPr="00DD7BD1">
        <w:rPr>
          <w:rFonts w:ascii="Calibri" w:hAnsi="Calibri" w:cs="Calibri"/>
          <w:w w:val="110"/>
        </w:rPr>
        <w:t>FAQs,</w:t>
      </w:r>
      <w:r w:rsidRPr="00DD7BD1">
        <w:rPr>
          <w:rFonts w:ascii="Calibri" w:hAnsi="Calibri" w:cs="Calibri"/>
          <w:spacing w:val="-6"/>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2"/>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4"/>
          <w:w w:val="110"/>
        </w:rPr>
        <w:t xml:space="preserve"> </w:t>
      </w:r>
      <w:r w:rsidRPr="00DD7BD1">
        <w:rPr>
          <w:rFonts w:ascii="Calibri" w:hAnsi="Calibri" w:cs="Calibri"/>
          <w:w w:val="110"/>
        </w:rPr>
        <w:t>include</w:t>
      </w:r>
      <w:r w:rsidRPr="00DD7BD1">
        <w:rPr>
          <w:rFonts w:ascii="Calibri" w:hAnsi="Calibri" w:cs="Calibri"/>
          <w:spacing w:val="-5"/>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who:</w:t>
      </w:r>
    </w:p>
    <w:p w14:paraId="63E07BE4" w14:textId="77777777" w:rsidR="003A22A9" w:rsidRPr="00DD7BD1"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8"/>
          <w:w w:val="110"/>
        </w:rPr>
        <w:t xml:space="preserve"> </w:t>
      </w:r>
      <w:r w:rsidRPr="00DD7BD1">
        <w:rPr>
          <w:rFonts w:ascii="Calibri" w:hAnsi="Calibri" w:cs="Calibri"/>
          <w:w w:val="110"/>
        </w:rPr>
        <w:t>hours</w:t>
      </w:r>
      <w:r w:rsidRPr="00DD7BD1">
        <w:rPr>
          <w:rFonts w:ascii="Calibri" w:hAnsi="Calibri" w:cs="Calibri"/>
          <w:spacing w:val="-7"/>
          <w:w w:val="110"/>
        </w:rPr>
        <w:t xml:space="preserve"> </w:t>
      </w:r>
      <w:r w:rsidRPr="00DD7BD1">
        <w:rPr>
          <w:rFonts w:ascii="Calibri" w:hAnsi="Calibri" w:cs="Calibri"/>
          <w:w w:val="110"/>
        </w:rPr>
        <w:t>traveling</w:t>
      </w:r>
      <w:r w:rsidRPr="00DD7BD1">
        <w:rPr>
          <w:rFonts w:ascii="Calibri" w:hAnsi="Calibri" w:cs="Calibri"/>
          <w:spacing w:val="-4"/>
          <w:w w:val="110"/>
        </w:rPr>
        <w:t xml:space="preserve"> </w:t>
      </w:r>
      <w:r w:rsidRPr="00DD7BD1">
        <w:rPr>
          <w:rFonts w:ascii="Calibri" w:hAnsi="Calibri" w:cs="Calibri"/>
          <w:w w:val="110"/>
        </w:rPr>
        <w:t>outside</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but</w:t>
      </w:r>
      <w:r w:rsidRPr="00DD7BD1">
        <w:rPr>
          <w:rFonts w:ascii="Calibri" w:hAnsi="Calibri" w:cs="Calibri"/>
          <w:spacing w:val="-7"/>
          <w:w w:val="110"/>
        </w:rPr>
        <w:t xml:space="preserve"> </w:t>
      </w:r>
      <w:r w:rsidRPr="00DD7BD1">
        <w:rPr>
          <w:rFonts w:ascii="Calibri" w:hAnsi="Calibri" w:cs="Calibri"/>
          <w:w w:val="110"/>
        </w:rPr>
        <w:t>return</w:t>
      </w:r>
      <w:r w:rsidRPr="00DD7BD1">
        <w:rPr>
          <w:rFonts w:ascii="Calibri" w:hAnsi="Calibri" w:cs="Calibri"/>
          <w:spacing w:val="-7"/>
          <w:w w:val="110"/>
        </w:rPr>
        <w:t xml:space="preserve"> </w:t>
      </w:r>
      <w:r w:rsidRPr="00DD7BD1">
        <w:rPr>
          <w:rFonts w:ascii="Calibri" w:hAnsi="Calibri" w:cs="Calibri"/>
          <w:w w:val="110"/>
        </w:rPr>
        <w:t>regularly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base</w:t>
      </w:r>
      <w:r w:rsidRPr="00DD7BD1">
        <w:rPr>
          <w:rFonts w:ascii="Calibri" w:hAnsi="Calibri" w:cs="Calibri"/>
          <w:spacing w:val="-7"/>
          <w:w w:val="110"/>
        </w:rPr>
        <w:t xml:space="preserve"> </w:t>
      </w:r>
      <w:r w:rsidRPr="00DD7BD1">
        <w:rPr>
          <w:rFonts w:ascii="Calibri" w:hAnsi="Calibri" w:cs="Calibri"/>
          <w:w w:val="110"/>
        </w:rPr>
        <w:t xml:space="preserve">of </w:t>
      </w:r>
      <w:r w:rsidRPr="00DD7BD1">
        <w:rPr>
          <w:rFonts w:ascii="Calibri" w:hAnsi="Calibri" w:cs="Calibri"/>
          <w:spacing w:val="-2"/>
          <w:w w:val="110"/>
        </w:rPr>
        <w:t>operations</w:t>
      </w:r>
    </w:p>
    <w:p w14:paraId="35FDC128"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telecommute</w:t>
      </w:r>
      <w:r w:rsidRPr="00DD7BD1">
        <w:rPr>
          <w:rFonts w:ascii="Calibri" w:hAnsi="Calibri" w:cs="Calibri"/>
          <w:spacing w:val="-14"/>
          <w:w w:val="110"/>
        </w:rPr>
        <w:t xml:space="preserve"> </w:t>
      </w:r>
      <w:r w:rsidRPr="00DD7BD1">
        <w:rPr>
          <w:rFonts w:ascii="Calibri" w:hAnsi="Calibri" w:cs="Calibri"/>
          <w:w w:val="110"/>
        </w:rPr>
        <w:t>through</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13"/>
          <w:w w:val="110"/>
        </w:rPr>
        <w:t xml:space="preserve"> </w:t>
      </w:r>
      <w:r w:rsidRPr="00DD7BD1">
        <w:rPr>
          <w:rFonts w:ascii="Calibri" w:hAnsi="Calibri" w:cs="Calibri"/>
          <w:w w:val="110"/>
        </w:rPr>
        <w:t>arrangement</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2"/>
          <w:w w:val="110"/>
        </w:rPr>
        <w:t xml:space="preserve"> </w:t>
      </w:r>
      <w:r w:rsidRPr="00DD7BD1">
        <w:rPr>
          <w:rFonts w:ascii="Calibri" w:hAnsi="Calibri" w:cs="Calibri"/>
          <w:w w:val="110"/>
        </w:rPr>
        <w:t>their</w:t>
      </w:r>
      <w:r w:rsidRPr="00DD7BD1">
        <w:rPr>
          <w:rFonts w:ascii="Calibri" w:hAnsi="Calibri" w:cs="Calibri"/>
          <w:spacing w:val="-14"/>
          <w:w w:val="110"/>
        </w:rPr>
        <w:t xml:space="preserve"> </w:t>
      </w:r>
      <w:r w:rsidRPr="00DD7BD1">
        <w:rPr>
          <w:rFonts w:ascii="Calibri" w:hAnsi="Calibri" w:cs="Calibri"/>
          <w:w w:val="110"/>
        </w:rPr>
        <w:t>employer</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a</w:t>
      </w:r>
      <w:r w:rsidRPr="00DD7BD1">
        <w:rPr>
          <w:rFonts w:ascii="Calibri" w:hAnsi="Calibri" w:cs="Calibri"/>
          <w:spacing w:val="-13"/>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spacing w:val="-2"/>
          <w:w w:val="110"/>
        </w:rPr>
        <w:t>worksite</w:t>
      </w:r>
    </w:p>
    <w:p w14:paraId="62E7E183"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plurality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working</w:t>
      </w:r>
      <w:r w:rsidRPr="00DD7BD1">
        <w:rPr>
          <w:rFonts w:ascii="Calibri" w:hAnsi="Calibri" w:cs="Calibri"/>
          <w:spacing w:val="-13"/>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w w:val="110"/>
        </w:rPr>
        <w:t>over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course</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one</w:t>
      </w:r>
      <w:r w:rsidRPr="00DD7BD1">
        <w:rPr>
          <w:rFonts w:ascii="Calibri" w:hAnsi="Calibri" w:cs="Calibri"/>
          <w:spacing w:val="-14"/>
          <w:w w:val="110"/>
        </w:rPr>
        <w:t xml:space="preserve"> </w:t>
      </w:r>
      <w:r w:rsidRPr="00DD7BD1">
        <w:rPr>
          <w:rFonts w:ascii="Calibri" w:hAnsi="Calibri" w:cs="Calibri"/>
          <w:spacing w:val="-4"/>
          <w:w w:val="110"/>
        </w:rPr>
        <w:t>year</w:t>
      </w:r>
    </w:p>
    <w:p w14:paraId="74C35174"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Act</w:t>
      </w:r>
      <w:r w:rsidRPr="00DD7BD1">
        <w:rPr>
          <w:rFonts w:ascii="Calibri" w:hAnsi="Calibri" w:cs="Calibri"/>
          <w:spacing w:val="-4"/>
          <w:w w:val="110"/>
        </w:rPr>
        <w:t xml:space="preserve"> </w:t>
      </w:r>
      <w:r w:rsidRPr="00DD7BD1">
        <w:rPr>
          <w:rFonts w:ascii="Calibri" w:hAnsi="Calibri" w:cs="Calibri"/>
          <w:w w:val="110"/>
        </w:rPr>
        <w:t>applies</w:t>
      </w:r>
      <w:r w:rsidRPr="00DD7BD1">
        <w:rPr>
          <w:rFonts w:ascii="Calibri" w:hAnsi="Calibri" w:cs="Calibri"/>
          <w:spacing w:val="-3"/>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all</w:t>
      </w:r>
      <w:r w:rsidRPr="00DD7BD1">
        <w:rPr>
          <w:rFonts w:ascii="Calibri" w:hAnsi="Calibri" w:cs="Calibri"/>
          <w:spacing w:val="-5"/>
          <w:w w:val="110"/>
        </w:rPr>
        <w:t xml:space="preserve"> </w:t>
      </w:r>
      <w:r w:rsidRPr="00DD7BD1">
        <w:rPr>
          <w:rFonts w:ascii="Calibri" w:hAnsi="Calibri" w:cs="Calibri"/>
          <w:w w:val="110"/>
        </w:rPr>
        <w:t>job</w:t>
      </w:r>
      <w:r w:rsidRPr="00DD7BD1">
        <w:rPr>
          <w:rFonts w:ascii="Calibri" w:hAnsi="Calibri" w:cs="Calibri"/>
          <w:spacing w:val="-3"/>
          <w:w w:val="110"/>
        </w:rPr>
        <w:t xml:space="preserve"> </w:t>
      </w:r>
      <w:r w:rsidRPr="00DD7BD1">
        <w:rPr>
          <w:rFonts w:ascii="Calibri" w:hAnsi="Calibri" w:cs="Calibri"/>
          <w:w w:val="110"/>
        </w:rPr>
        <w:t>postings</w:t>
      </w:r>
      <w:r w:rsidRPr="00DD7BD1">
        <w:rPr>
          <w:rFonts w:ascii="Calibri" w:hAnsi="Calibri" w:cs="Calibri"/>
          <w:spacing w:val="-3"/>
          <w:w w:val="110"/>
        </w:rPr>
        <w:t xml:space="preserve"> </w:t>
      </w:r>
      <w:r w:rsidRPr="00DD7BD1">
        <w:rPr>
          <w:rFonts w:ascii="Calibri" w:hAnsi="Calibri" w:cs="Calibri"/>
          <w:w w:val="110"/>
        </w:rPr>
        <w:t>where</w:t>
      </w:r>
      <w:r w:rsidRPr="00DD7BD1">
        <w:rPr>
          <w:rFonts w:ascii="Calibri" w:hAnsi="Calibri" w:cs="Calibri"/>
          <w:spacing w:val="-4"/>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position's</w:t>
      </w:r>
      <w:r w:rsidRPr="00DD7BD1">
        <w:rPr>
          <w:rFonts w:ascii="Calibri" w:hAnsi="Calibri" w:cs="Calibri"/>
          <w:spacing w:val="-3"/>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4"/>
          <w:w w:val="110"/>
        </w:rPr>
        <w:t xml:space="preserve"> </w:t>
      </w:r>
      <w:r w:rsidRPr="00DD7BD1">
        <w:rPr>
          <w:rFonts w:ascii="Calibri" w:hAnsi="Calibri" w:cs="Calibri"/>
          <w:w w:val="110"/>
        </w:rPr>
        <w:t>of</w:t>
      </w:r>
      <w:r w:rsidRPr="00DD7BD1">
        <w:rPr>
          <w:rFonts w:ascii="Calibri" w:hAnsi="Calibri" w:cs="Calibri"/>
          <w:spacing w:val="-4"/>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is Massachusetts.</w:t>
      </w:r>
      <w:r w:rsidRPr="00DD7BD1">
        <w:rPr>
          <w:rFonts w:ascii="Calibri" w:hAnsi="Calibri" w:cs="Calibri"/>
          <w:spacing w:val="-4"/>
          <w:w w:val="110"/>
        </w:rPr>
        <w:t xml:space="preserve"> </w:t>
      </w:r>
      <w:r w:rsidRPr="00DD7BD1">
        <w:rPr>
          <w:rFonts w:ascii="Calibri" w:hAnsi="Calibri" w:cs="Calibri"/>
          <w:w w:val="110"/>
        </w:rPr>
        <w:t>However,</w:t>
      </w:r>
      <w:r w:rsidRPr="00DD7BD1">
        <w:rPr>
          <w:rFonts w:ascii="Calibri" w:hAnsi="Calibri" w:cs="Calibri"/>
          <w:spacing w:val="-5"/>
          <w:w w:val="110"/>
        </w:rPr>
        <w:t xml:space="preserve"> </w:t>
      </w:r>
      <w:r w:rsidRPr="00DD7BD1">
        <w:rPr>
          <w:rFonts w:ascii="Calibri" w:hAnsi="Calibri" w:cs="Calibri"/>
          <w:w w:val="110"/>
        </w:rPr>
        <w:t>remote 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worksite</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remote</w:t>
      </w:r>
      <w:r w:rsidRPr="00DD7BD1">
        <w:rPr>
          <w:rFonts w:ascii="Calibri" w:hAnsi="Calibri" w:cs="Calibri"/>
          <w:spacing w:val="-3"/>
          <w:w w:val="110"/>
        </w:rPr>
        <w:t xml:space="preserve"> </w:t>
      </w:r>
      <w:r w:rsidRPr="00DD7BD1">
        <w:rPr>
          <w:rFonts w:ascii="Calibri" w:hAnsi="Calibri" w:cs="Calibri"/>
          <w:w w:val="110"/>
        </w:rPr>
        <w:t>employees</w:t>
      </w:r>
      <w:r w:rsidRPr="00DD7BD1">
        <w:rPr>
          <w:rFonts w:ascii="Calibri" w:hAnsi="Calibri" w:cs="Calibri"/>
          <w:spacing w:val="-1"/>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3"/>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1"/>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are included</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6"/>
          <w:w w:val="110"/>
        </w:rPr>
        <w:t xml:space="preserve"> </w:t>
      </w:r>
      <w:r w:rsidRPr="00DD7BD1">
        <w:rPr>
          <w:rFonts w:ascii="Calibri" w:hAnsi="Calibri" w:cs="Calibri"/>
          <w:w w:val="110"/>
        </w:rPr>
        <w:t>this</w:t>
      </w:r>
      <w:r w:rsidRPr="00DD7BD1">
        <w:rPr>
          <w:rFonts w:ascii="Calibri" w:hAnsi="Calibri" w:cs="Calibri"/>
          <w:spacing w:val="-5"/>
          <w:w w:val="110"/>
        </w:rPr>
        <w:t xml:space="preserve"> </w:t>
      </w:r>
      <w:r w:rsidRPr="00DD7BD1">
        <w:rPr>
          <w:rFonts w:ascii="Calibri" w:hAnsi="Calibri" w:cs="Calibri"/>
          <w:w w:val="110"/>
        </w:rPr>
        <w:t>requirement.</w:t>
      </w:r>
      <w:r w:rsidRPr="00DD7BD1">
        <w:rPr>
          <w:rFonts w:ascii="Calibri" w:hAnsi="Calibri" w:cs="Calibri"/>
          <w:spacing w:val="-6"/>
          <w:w w:val="110"/>
        </w:rPr>
        <w:t xml:space="preserve"> </w:t>
      </w:r>
      <w:r w:rsidRPr="00DD7BD1">
        <w:rPr>
          <w:rFonts w:ascii="Calibri" w:hAnsi="Calibri" w:cs="Calibri"/>
          <w:w w:val="110"/>
        </w:rPr>
        <w:t>If</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6"/>
          <w:w w:val="110"/>
        </w:rPr>
        <w:t xml:space="preserve"> </w:t>
      </w:r>
      <w:r w:rsidRPr="00DD7BD1">
        <w:rPr>
          <w:rFonts w:ascii="Calibri" w:hAnsi="Calibri" w:cs="Calibri"/>
          <w:w w:val="110"/>
        </w:rPr>
        <w:t>employee</w:t>
      </w:r>
      <w:r w:rsidRPr="00DD7BD1">
        <w:rPr>
          <w:rFonts w:ascii="Calibri" w:hAnsi="Calibri" w:cs="Calibri"/>
          <w:spacing w:val="-6"/>
          <w:w w:val="110"/>
        </w:rPr>
        <w:t xml:space="preserve"> </w:t>
      </w:r>
      <w:r w:rsidRPr="00DD7BD1">
        <w:rPr>
          <w:rFonts w:ascii="Calibri" w:hAnsi="Calibri" w:cs="Calibri"/>
          <w:w w:val="110"/>
        </w:rPr>
        <w:t>hired</w:t>
      </w:r>
      <w:r w:rsidRPr="00DD7BD1">
        <w:rPr>
          <w:rFonts w:ascii="Calibri" w:hAnsi="Calibri" w:cs="Calibri"/>
          <w:spacing w:val="-5"/>
          <w:w w:val="110"/>
        </w:rPr>
        <w:t xml:space="preserve"> </w:t>
      </w:r>
      <w:r w:rsidRPr="00DD7BD1">
        <w:rPr>
          <w:rFonts w:ascii="Calibri" w:hAnsi="Calibri" w:cs="Calibri"/>
          <w:w w:val="110"/>
        </w:rPr>
        <w:t>for</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position</w:t>
      </w:r>
      <w:r w:rsidRPr="00DD7BD1">
        <w:rPr>
          <w:rFonts w:ascii="Calibri" w:hAnsi="Calibri" w:cs="Calibri"/>
          <w:spacing w:val="-6"/>
          <w:w w:val="110"/>
        </w:rPr>
        <w:t xml:space="preserve"> </w:t>
      </w:r>
      <w:r w:rsidRPr="00DD7BD1">
        <w:rPr>
          <w:rFonts w:ascii="Calibri" w:hAnsi="Calibri" w:cs="Calibri"/>
          <w:w w:val="110"/>
        </w:rPr>
        <w:t>may</w:t>
      </w:r>
      <w:r w:rsidRPr="00DD7BD1">
        <w:rPr>
          <w:rFonts w:ascii="Calibri" w:hAnsi="Calibri" w:cs="Calibri"/>
          <w:spacing w:val="-7"/>
          <w:w w:val="110"/>
        </w:rPr>
        <w:t xml:space="preserve"> </w:t>
      </w:r>
      <w:r w:rsidRPr="00DD7BD1">
        <w:rPr>
          <w:rFonts w:ascii="Calibri" w:hAnsi="Calibri" w:cs="Calibri"/>
          <w:w w:val="110"/>
        </w:rPr>
        <w:t>have</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primary</w:t>
      </w:r>
      <w:r w:rsidRPr="00DD7BD1">
        <w:rPr>
          <w:rFonts w:ascii="Calibri" w:hAnsi="Calibri" w:cs="Calibri"/>
          <w:spacing w:val="-6"/>
          <w:w w:val="110"/>
        </w:rPr>
        <w:t xml:space="preserve"> </w:t>
      </w:r>
      <w:r w:rsidRPr="00DD7BD1">
        <w:rPr>
          <w:rFonts w:ascii="Calibri" w:hAnsi="Calibri" w:cs="Calibri"/>
          <w:w w:val="110"/>
        </w:rPr>
        <w:t>place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 (even if the employee hired could also be located outside of Massachusetts), employers would be well advised to comply with the Act's requirements for that posting.</w:t>
      </w:r>
    </w:p>
    <w:p w14:paraId="0418BA71" w14:textId="77777777" w:rsidR="003A22A9" w:rsidRPr="00DD7BD1" w:rsidRDefault="003A22A9" w:rsidP="003A22A9">
      <w:pPr>
        <w:pStyle w:val="ListParagraph"/>
        <w:widowControl w:val="0"/>
        <w:tabs>
          <w:tab w:val="left" w:pos="1080"/>
        </w:tabs>
        <w:autoSpaceDE w:val="0"/>
        <w:autoSpaceDN w:val="0"/>
        <w:spacing w:after="0" w:line="240" w:lineRule="auto"/>
        <w:ind w:left="0" w:right="-180"/>
        <w:contextualSpacing w:val="0"/>
        <w:rPr>
          <w:rFonts w:ascii="Calibri" w:hAnsi="Calibri" w:cs="Calibri"/>
        </w:rPr>
      </w:pPr>
    </w:p>
    <w:p w14:paraId="43B538B9" w14:textId="77777777" w:rsidR="003A22A9" w:rsidRPr="00DD7BD1" w:rsidRDefault="003A22A9" w:rsidP="003A22A9">
      <w:pPr>
        <w:pStyle w:val="Heading4"/>
        <w:spacing w:before="0" w:line="240" w:lineRule="auto"/>
        <w:ind w:right="-180"/>
        <w:rPr>
          <w:rFonts w:ascii="Calibri" w:hAnsi="Calibri" w:cs="Calibri"/>
          <w:b/>
          <w:bCs/>
          <w:i w:val="0"/>
          <w:iCs w:val="0"/>
        </w:rPr>
      </w:pPr>
      <w:r w:rsidRPr="00DD7BD1">
        <w:rPr>
          <w:rFonts w:ascii="Calibri" w:hAnsi="Calibri" w:cs="Calibri"/>
          <w:b/>
          <w:bCs/>
          <w:i w:val="0"/>
          <w:iCs w:val="0"/>
          <w:color w:val="auto"/>
          <w:spacing w:val="-8"/>
        </w:rPr>
        <w:t>REMINDER:</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8"/>
        </w:rPr>
        <w:t>Annual</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Wage</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Data</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Reporting</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Obligations</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8"/>
        </w:rPr>
        <w:t>–</w:t>
      </w:r>
      <w:r w:rsidRPr="00DD7BD1">
        <w:rPr>
          <w:rFonts w:ascii="Calibri" w:hAnsi="Calibri" w:cs="Calibri"/>
          <w:b/>
          <w:bCs/>
          <w:i w:val="0"/>
          <w:iCs w:val="0"/>
          <w:color w:val="auto"/>
          <w:spacing w:val="-7"/>
        </w:rPr>
        <w:t xml:space="preserve"> </w:t>
      </w:r>
      <w:r w:rsidRPr="00DD7BD1">
        <w:rPr>
          <w:rFonts w:ascii="Calibri" w:hAnsi="Calibri" w:cs="Calibri"/>
          <w:b/>
          <w:bCs/>
          <w:i w:val="0"/>
          <w:iCs w:val="0"/>
          <w:color w:val="C00000"/>
          <w:spacing w:val="-8"/>
        </w:rPr>
        <w:t>Feb</w:t>
      </w:r>
      <w:r w:rsidRPr="00DD7BD1">
        <w:rPr>
          <w:rFonts w:ascii="Calibri" w:hAnsi="Calibri" w:cs="Calibri"/>
          <w:b/>
          <w:bCs/>
          <w:i w:val="0"/>
          <w:iCs w:val="0"/>
          <w:color w:val="C00000"/>
          <w:spacing w:val="-3"/>
        </w:rPr>
        <w:t xml:space="preserve"> </w:t>
      </w:r>
      <w:r w:rsidRPr="00DD7BD1">
        <w:rPr>
          <w:rFonts w:ascii="Calibri" w:hAnsi="Calibri" w:cs="Calibri"/>
          <w:b/>
          <w:bCs/>
          <w:i w:val="0"/>
          <w:iCs w:val="0"/>
          <w:color w:val="C00000"/>
          <w:spacing w:val="-8"/>
        </w:rPr>
        <w:t>1,</w:t>
      </w:r>
      <w:r w:rsidRPr="00DD7BD1">
        <w:rPr>
          <w:rFonts w:ascii="Calibri" w:hAnsi="Calibri" w:cs="Calibri"/>
          <w:b/>
          <w:bCs/>
          <w:i w:val="0"/>
          <w:iCs w:val="0"/>
          <w:color w:val="C00000"/>
          <w:spacing w:val="-4"/>
        </w:rPr>
        <w:t xml:space="preserve"> </w:t>
      </w:r>
      <w:r w:rsidRPr="00DD7BD1">
        <w:rPr>
          <w:rFonts w:ascii="Calibri" w:hAnsi="Calibri" w:cs="Calibri"/>
          <w:b/>
          <w:bCs/>
          <w:i w:val="0"/>
          <w:iCs w:val="0"/>
          <w:color w:val="C00000"/>
          <w:spacing w:val="-8"/>
        </w:rPr>
        <w:t>2026,</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next</w:t>
      </w:r>
      <w:r w:rsidRPr="00DD7BD1">
        <w:rPr>
          <w:rFonts w:ascii="Calibri" w:hAnsi="Calibri" w:cs="Calibri"/>
          <w:b/>
          <w:bCs/>
          <w:i w:val="0"/>
          <w:iCs w:val="0"/>
          <w:color w:val="C00000"/>
          <w:spacing w:val="-7"/>
        </w:rPr>
        <w:t xml:space="preserve"> </w:t>
      </w:r>
      <w:r w:rsidRPr="00DD7BD1">
        <w:rPr>
          <w:rFonts w:ascii="Calibri" w:hAnsi="Calibri" w:cs="Calibri"/>
          <w:b/>
          <w:bCs/>
          <w:i w:val="0"/>
          <w:iCs w:val="0"/>
          <w:color w:val="C00000"/>
          <w:spacing w:val="-8"/>
        </w:rPr>
        <w:t>reporting</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deadline</w:t>
      </w:r>
    </w:p>
    <w:p w14:paraId="1A4DE97A" w14:textId="77777777" w:rsidR="003A22A9" w:rsidRPr="00DD7BD1" w:rsidRDefault="003A22A9" w:rsidP="003A22A9">
      <w:pPr>
        <w:pStyle w:val="BodyText"/>
        <w:spacing w:after="0" w:line="240" w:lineRule="auto"/>
        <w:ind w:right="-180"/>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pacing w:val="-2"/>
          <w:w w:val="110"/>
          <w:szCs w:val="22"/>
        </w:rPr>
        <w:t>has</w:t>
      </w:r>
      <w:r w:rsidRPr="00DD7BD1">
        <w:rPr>
          <w:rFonts w:cs="Calibri"/>
          <w:color w:val="auto"/>
          <w:spacing w:val="-8"/>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required,</w:t>
      </w:r>
      <w:r w:rsidRPr="00DD7BD1">
        <w:rPr>
          <w:rFonts w:cs="Calibri"/>
          <w:color w:val="auto"/>
          <w:spacing w:val="-7"/>
          <w:w w:val="110"/>
          <w:szCs w:val="22"/>
        </w:rPr>
        <w:t xml:space="preserve"> </w:t>
      </w:r>
      <w:r w:rsidRPr="00DD7BD1">
        <w:rPr>
          <w:rFonts w:cs="Calibri"/>
          <w:color w:val="auto"/>
          <w:spacing w:val="-2"/>
          <w:w w:val="110"/>
          <w:szCs w:val="22"/>
        </w:rPr>
        <w:t>since</w:t>
      </w:r>
      <w:r w:rsidRPr="00DD7BD1">
        <w:rPr>
          <w:rFonts w:cs="Calibri"/>
          <w:color w:val="auto"/>
          <w:spacing w:val="-6"/>
          <w:w w:val="110"/>
          <w:szCs w:val="22"/>
        </w:rPr>
        <w:t xml:space="preserve"> </w:t>
      </w:r>
      <w:r w:rsidRPr="00DD7BD1">
        <w:rPr>
          <w:rFonts w:cs="Calibri"/>
          <w:color w:val="auto"/>
          <w:spacing w:val="-2"/>
          <w:w w:val="110"/>
          <w:szCs w:val="22"/>
        </w:rPr>
        <w:t>Feb.</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7"/>
          <w:w w:val="110"/>
          <w:szCs w:val="22"/>
        </w:rPr>
        <w:t xml:space="preserve"> </w:t>
      </w:r>
      <w:r w:rsidRPr="00DD7BD1">
        <w:rPr>
          <w:rFonts w:cs="Calibri"/>
          <w:color w:val="auto"/>
          <w:spacing w:val="-2"/>
          <w:w w:val="110"/>
          <w:szCs w:val="22"/>
        </w:rPr>
        <w:t>2025,</w:t>
      </w:r>
      <w:r w:rsidRPr="00DD7BD1">
        <w:rPr>
          <w:rFonts w:cs="Calibri"/>
          <w:color w:val="auto"/>
          <w:spacing w:val="-7"/>
          <w:w w:val="110"/>
          <w:szCs w:val="22"/>
        </w:rPr>
        <w:t xml:space="preserve"> </w:t>
      </w:r>
      <w:r w:rsidRPr="00DD7BD1">
        <w:rPr>
          <w:rFonts w:cs="Calibri"/>
          <w:color w:val="auto"/>
          <w:spacing w:val="-2"/>
          <w:w w:val="110"/>
          <w:szCs w:val="22"/>
        </w:rPr>
        <w:t>that</w:t>
      </w:r>
      <w:r w:rsidRPr="00DD7BD1">
        <w:rPr>
          <w:rFonts w:cs="Calibri"/>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6"/>
          <w:w w:val="110"/>
          <w:szCs w:val="22"/>
        </w:rPr>
        <w:t xml:space="preserve"> </w:t>
      </w:r>
      <w:r w:rsidRPr="00DD7BD1">
        <w:rPr>
          <w:rFonts w:cs="Calibri"/>
          <w:color w:val="auto"/>
          <w:spacing w:val="-2"/>
          <w:w w:val="110"/>
          <w:szCs w:val="22"/>
        </w:rPr>
        <w:t>with</w:t>
      </w:r>
      <w:r w:rsidRPr="00DD7BD1">
        <w:rPr>
          <w:rFonts w:cs="Calibri"/>
          <w:color w:val="auto"/>
          <w:spacing w:val="-10"/>
          <w:w w:val="110"/>
          <w:szCs w:val="22"/>
        </w:rPr>
        <w:t xml:space="preserve"> </w:t>
      </w:r>
      <w:r w:rsidRPr="00DD7BD1">
        <w:rPr>
          <w:rFonts w:cs="Calibri"/>
          <w:color w:val="auto"/>
          <w:spacing w:val="-2"/>
          <w:w w:val="110"/>
          <w:szCs w:val="22"/>
        </w:rPr>
        <w:t>100</w:t>
      </w:r>
      <w:r w:rsidRPr="00DD7BD1">
        <w:rPr>
          <w:rFonts w:cs="Calibri"/>
          <w:color w:val="auto"/>
          <w:spacing w:val="-8"/>
          <w:w w:val="110"/>
          <w:szCs w:val="22"/>
        </w:rPr>
        <w:t xml:space="preserve"> </w:t>
      </w:r>
      <w:r w:rsidRPr="00DD7BD1">
        <w:rPr>
          <w:rFonts w:cs="Calibri"/>
          <w:color w:val="auto"/>
          <w:spacing w:val="-2"/>
          <w:w w:val="110"/>
          <w:szCs w:val="22"/>
        </w:rPr>
        <w:t>or</w:t>
      </w:r>
      <w:r w:rsidRPr="00DD7BD1">
        <w:rPr>
          <w:rFonts w:cs="Calibri"/>
          <w:color w:val="auto"/>
          <w:spacing w:val="-10"/>
          <w:w w:val="110"/>
          <w:szCs w:val="22"/>
        </w:rPr>
        <w:t xml:space="preserve"> </w:t>
      </w:r>
      <w:r w:rsidRPr="00DD7BD1">
        <w:rPr>
          <w:rFonts w:cs="Calibri"/>
          <w:color w:val="auto"/>
          <w:spacing w:val="-2"/>
          <w:w w:val="110"/>
          <w:szCs w:val="22"/>
        </w:rPr>
        <w:t>more</w:t>
      </w:r>
      <w:r w:rsidRPr="00DD7BD1">
        <w:rPr>
          <w:rFonts w:cs="Calibri"/>
          <w:color w:val="auto"/>
          <w:spacing w:val="-6"/>
          <w:w w:val="110"/>
          <w:szCs w:val="22"/>
        </w:rPr>
        <w:t xml:space="preserve"> </w:t>
      </w:r>
      <w:r w:rsidRPr="00DD7BD1">
        <w:rPr>
          <w:rFonts w:cs="Calibri"/>
          <w:color w:val="auto"/>
          <w:spacing w:val="-2"/>
          <w:w w:val="110"/>
          <w:szCs w:val="22"/>
        </w:rPr>
        <w:t>employees</w:t>
      </w:r>
      <w:r w:rsidRPr="00DD7BD1">
        <w:rPr>
          <w:rFonts w:cs="Calibri"/>
          <w:color w:val="auto"/>
          <w:spacing w:val="-8"/>
          <w:w w:val="110"/>
          <w:szCs w:val="22"/>
        </w:rPr>
        <w:t xml:space="preserve"> </w:t>
      </w:r>
      <w:r w:rsidRPr="00DD7BD1">
        <w:rPr>
          <w:rFonts w:cs="Calibri"/>
          <w:color w:val="auto"/>
          <w:spacing w:val="-2"/>
          <w:w w:val="110"/>
          <w:szCs w:val="22"/>
        </w:rPr>
        <w:t>submit</w:t>
      </w:r>
      <w:r w:rsidRPr="00DD7BD1">
        <w:rPr>
          <w:rFonts w:cs="Calibri"/>
          <w:color w:val="auto"/>
          <w:spacing w:val="-10"/>
          <w:w w:val="110"/>
          <w:szCs w:val="22"/>
        </w:rPr>
        <w:t xml:space="preserve"> </w:t>
      </w:r>
      <w:r w:rsidRPr="00DD7BD1">
        <w:rPr>
          <w:rFonts w:cs="Calibri"/>
          <w:color w:val="auto"/>
          <w:spacing w:val="-5"/>
          <w:w w:val="110"/>
          <w:szCs w:val="22"/>
        </w:rPr>
        <w:t xml:space="preserve">an </w:t>
      </w:r>
      <w:r w:rsidRPr="00DD7BD1">
        <w:rPr>
          <w:rFonts w:cs="Calibri"/>
          <w:color w:val="auto"/>
          <w:w w:val="110"/>
          <w:szCs w:val="22"/>
        </w:rPr>
        <w:t>annual</w:t>
      </w:r>
      <w:r w:rsidRPr="00DD7BD1">
        <w:rPr>
          <w:rFonts w:cs="Calibri"/>
          <w:color w:val="auto"/>
          <w:spacing w:val="-7"/>
          <w:w w:val="110"/>
          <w:szCs w:val="22"/>
        </w:rPr>
        <w:t xml:space="preserve"> </w:t>
      </w:r>
      <w:hyperlink r:id="rId832">
        <w:r w:rsidRPr="00DD7BD1">
          <w:rPr>
            <w:rFonts w:cs="Calibri"/>
            <w:color w:val="0000FF"/>
            <w:w w:val="110"/>
            <w:szCs w:val="22"/>
            <w:u w:val="single" w:color="0000FF"/>
          </w:rPr>
          <w:t>aggregate</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wage</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data</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report</w:t>
        </w:r>
        <w:r w:rsidRPr="00DD7BD1">
          <w:rPr>
            <w:rFonts w:cs="Calibri"/>
            <w:w w:val="110"/>
            <w:szCs w:val="22"/>
          </w:rPr>
          <w:t>,</w:t>
        </w:r>
      </w:hyperlink>
      <w:r w:rsidRPr="00DD7BD1">
        <w:rPr>
          <w:rFonts w:cs="Calibri"/>
          <w:spacing w:val="-7"/>
          <w:w w:val="110"/>
          <w:szCs w:val="22"/>
        </w:rPr>
        <w:t xml:space="preserve"> </w:t>
      </w: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workforce</w:t>
      </w:r>
      <w:r w:rsidRPr="00DD7BD1">
        <w:rPr>
          <w:rFonts w:cs="Calibri"/>
          <w:color w:val="auto"/>
          <w:spacing w:val="-3"/>
          <w:w w:val="110"/>
          <w:szCs w:val="22"/>
        </w:rPr>
        <w:t xml:space="preserve"> </w:t>
      </w:r>
      <w:r w:rsidRPr="00DD7BD1">
        <w:rPr>
          <w:rFonts w:cs="Calibri"/>
          <w:color w:val="auto"/>
          <w:w w:val="110"/>
          <w:szCs w:val="22"/>
        </w:rPr>
        <w:t>demographic</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pay</w:t>
      </w:r>
      <w:r w:rsidRPr="00DD7BD1">
        <w:rPr>
          <w:rFonts w:cs="Calibri"/>
          <w:color w:val="auto"/>
          <w:spacing w:val="-3"/>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categorized</w:t>
      </w:r>
      <w:r w:rsidRPr="00DD7BD1">
        <w:rPr>
          <w:rFonts w:cs="Calibri"/>
          <w:color w:val="auto"/>
          <w:spacing w:val="-3"/>
          <w:w w:val="110"/>
          <w:szCs w:val="22"/>
        </w:rPr>
        <w:t xml:space="preserve"> </w:t>
      </w:r>
      <w:r w:rsidRPr="00DD7BD1">
        <w:rPr>
          <w:rFonts w:cs="Calibri"/>
          <w:color w:val="auto"/>
          <w:w w:val="110"/>
          <w:szCs w:val="22"/>
        </w:rPr>
        <w:t>by</w:t>
      </w:r>
      <w:r w:rsidRPr="00DD7BD1">
        <w:rPr>
          <w:rFonts w:cs="Calibri"/>
          <w:color w:val="auto"/>
          <w:spacing w:val="-3"/>
          <w:w w:val="110"/>
          <w:szCs w:val="22"/>
        </w:rPr>
        <w:t xml:space="preserve"> </w:t>
      </w:r>
      <w:r w:rsidRPr="00DD7BD1">
        <w:rPr>
          <w:rFonts w:cs="Calibri"/>
          <w:color w:val="auto"/>
          <w:w w:val="110"/>
          <w:szCs w:val="22"/>
        </w:rPr>
        <w:t>race,</w:t>
      </w:r>
      <w:r w:rsidRPr="00DD7BD1">
        <w:rPr>
          <w:rFonts w:cs="Calibri"/>
          <w:color w:val="auto"/>
          <w:spacing w:val="-7"/>
          <w:w w:val="110"/>
          <w:szCs w:val="22"/>
        </w:rPr>
        <w:t xml:space="preserve"> </w:t>
      </w:r>
      <w:r w:rsidRPr="00DD7BD1">
        <w:rPr>
          <w:rFonts w:cs="Calibri"/>
          <w:color w:val="auto"/>
          <w:w w:val="110"/>
          <w:szCs w:val="22"/>
        </w:rPr>
        <w:t>ethnicity, sex</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job</w:t>
      </w:r>
      <w:r w:rsidRPr="00DD7BD1">
        <w:rPr>
          <w:rFonts w:cs="Calibri"/>
          <w:color w:val="auto"/>
          <w:spacing w:val="-6"/>
          <w:w w:val="110"/>
          <w:szCs w:val="22"/>
        </w:rPr>
        <w:t xml:space="preserve"> </w:t>
      </w:r>
      <w:r w:rsidRPr="00DD7BD1">
        <w:rPr>
          <w:rFonts w:cs="Calibri"/>
          <w:color w:val="auto"/>
          <w:w w:val="110"/>
          <w:szCs w:val="22"/>
        </w:rPr>
        <w:t>category.</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reports</w:t>
      </w:r>
      <w:r w:rsidRPr="00DD7BD1">
        <w:rPr>
          <w:rFonts w:cs="Calibri"/>
          <w:color w:val="auto"/>
          <w:spacing w:val="-6"/>
          <w:w w:val="110"/>
          <w:szCs w:val="22"/>
        </w:rPr>
        <w:t xml:space="preserve"> </w:t>
      </w:r>
      <w:r w:rsidRPr="00DD7BD1">
        <w:rPr>
          <w:rFonts w:cs="Calibri"/>
          <w:color w:val="auto"/>
          <w:w w:val="110"/>
          <w:szCs w:val="22"/>
        </w:rPr>
        <w:t>but</w:t>
      </w:r>
      <w:r w:rsidRPr="00DD7BD1">
        <w:rPr>
          <w:rFonts w:cs="Calibri"/>
          <w:color w:val="auto"/>
          <w:spacing w:val="-5"/>
          <w:w w:val="110"/>
          <w:szCs w:val="22"/>
        </w:rPr>
        <w:t xml:space="preserve"> </w:t>
      </w:r>
      <w:r w:rsidRPr="00DD7BD1">
        <w:rPr>
          <w:rFonts w:cs="Calibri"/>
          <w:color w:val="auto"/>
          <w:w w:val="110"/>
          <w:szCs w:val="22"/>
        </w:rPr>
        <w:t>rather</w:t>
      </w:r>
      <w:r w:rsidRPr="00DD7BD1">
        <w:rPr>
          <w:rFonts w:cs="Calibri"/>
          <w:color w:val="auto"/>
          <w:spacing w:val="-5"/>
          <w:w w:val="110"/>
          <w:szCs w:val="22"/>
        </w:rPr>
        <w:t xml:space="preserve"> </w:t>
      </w:r>
      <w:r w:rsidRPr="00DD7BD1">
        <w:rPr>
          <w:rFonts w:cs="Calibri"/>
          <w:color w:val="auto"/>
          <w:w w:val="110"/>
          <w:szCs w:val="22"/>
        </w:rPr>
        <w:t>copies</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same</w:t>
      </w:r>
      <w:r w:rsidRPr="00DD7BD1">
        <w:rPr>
          <w:rFonts w:cs="Calibri"/>
          <w:color w:val="auto"/>
          <w:spacing w:val="-3"/>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data</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w:t>
      </w:r>
      <w:r w:rsidRPr="00DD7BD1">
        <w:rPr>
          <w:rFonts w:cs="Calibri"/>
          <w:color w:val="auto"/>
          <w:spacing w:val="-5"/>
          <w:w w:val="110"/>
          <w:szCs w:val="22"/>
        </w:rPr>
        <w:t xml:space="preserve"> </w:t>
      </w:r>
      <w:r w:rsidRPr="00DD7BD1">
        <w:rPr>
          <w:rFonts w:cs="Calibri"/>
          <w:color w:val="auto"/>
          <w:w w:val="110"/>
          <w:szCs w:val="22"/>
        </w:rPr>
        <w:t xml:space="preserve">Equal </w:t>
      </w:r>
      <w:r w:rsidRPr="00DD7BD1">
        <w:rPr>
          <w:rFonts w:cs="Calibri"/>
          <w:color w:val="auto"/>
          <w:szCs w:val="22"/>
        </w:rPr>
        <w:t>Employment</w:t>
      </w:r>
      <w:r w:rsidRPr="00DD7BD1">
        <w:rPr>
          <w:rFonts w:cs="Calibri"/>
          <w:color w:val="auto"/>
          <w:spacing w:val="37"/>
          <w:szCs w:val="22"/>
        </w:rPr>
        <w:t xml:space="preserve"> </w:t>
      </w:r>
      <w:r w:rsidRPr="00DD7BD1">
        <w:rPr>
          <w:rFonts w:cs="Calibri"/>
          <w:color w:val="auto"/>
          <w:szCs w:val="22"/>
        </w:rPr>
        <w:t>Opportunity</w:t>
      </w:r>
      <w:r w:rsidRPr="00DD7BD1">
        <w:rPr>
          <w:rFonts w:cs="Calibri"/>
          <w:color w:val="auto"/>
          <w:spacing w:val="40"/>
          <w:szCs w:val="22"/>
        </w:rPr>
        <w:t xml:space="preserve"> </w:t>
      </w:r>
      <w:r w:rsidRPr="00DD7BD1">
        <w:rPr>
          <w:rFonts w:cs="Calibri"/>
          <w:color w:val="auto"/>
          <w:szCs w:val="22"/>
        </w:rPr>
        <w:t>Commission</w:t>
      </w:r>
      <w:r w:rsidRPr="00DD7BD1">
        <w:rPr>
          <w:rFonts w:cs="Calibri"/>
          <w:color w:val="auto"/>
          <w:spacing w:val="39"/>
          <w:szCs w:val="22"/>
        </w:rPr>
        <w:t xml:space="preserve"> </w:t>
      </w:r>
      <w:r w:rsidRPr="00DD7BD1">
        <w:rPr>
          <w:rFonts w:cs="Calibri"/>
          <w:color w:val="auto"/>
          <w:szCs w:val="22"/>
        </w:rPr>
        <w:t>(EEOC)</w:t>
      </w:r>
      <w:r w:rsidRPr="00DD7BD1">
        <w:rPr>
          <w:rFonts w:cs="Calibri"/>
          <w:color w:val="auto"/>
          <w:spacing w:val="39"/>
          <w:szCs w:val="22"/>
        </w:rPr>
        <w:t xml:space="preserve"> </w:t>
      </w:r>
      <w:r w:rsidRPr="00DD7BD1">
        <w:rPr>
          <w:rFonts w:cs="Calibri"/>
          <w:color w:val="auto"/>
          <w:szCs w:val="22"/>
        </w:rPr>
        <w:t>Employer</w:t>
      </w:r>
      <w:r w:rsidRPr="00DD7BD1">
        <w:rPr>
          <w:rFonts w:cs="Calibri"/>
          <w:color w:val="auto"/>
          <w:spacing w:val="40"/>
          <w:szCs w:val="22"/>
        </w:rPr>
        <w:t xml:space="preserve"> </w:t>
      </w:r>
      <w:r w:rsidRPr="00DD7BD1">
        <w:rPr>
          <w:rFonts w:cs="Calibri"/>
          <w:color w:val="auto"/>
          <w:szCs w:val="22"/>
        </w:rPr>
        <w:t>Information</w:t>
      </w:r>
      <w:r w:rsidRPr="00DD7BD1">
        <w:rPr>
          <w:rFonts w:cs="Calibri"/>
          <w:color w:val="auto"/>
          <w:spacing w:val="40"/>
          <w:szCs w:val="22"/>
        </w:rPr>
        <w:t xml:space="preserve"> </w:t>
      </w:r>
      <w:r w:rsidRPr="00DD7BD1">
        <w:rPr>
          <w:rFonts w:cs="Calibri"/>
          <w:color w:val="auto"/>
          <w:szCs w:val="22"/>
        </w:rPr>
        <w:t>Report,</w:t>
      </w:r>
      <w:r w:rsidRPr="00DD7BD1">
        <w:rPr>
          <w:rFonts w:cs="Calibri"/>
          <w:color w:val="auto"/>
          <w:spacing w:val="40"/>
          <w:szCs w:val="22"/>
        </w:rPr>
        <w:t xml:space="preserve"> </w:t>
      </w:r>
      <w:r w:rsidRPr="00DD7BD1">
        <w:rPr>
          <w:rFonts w:cs="Calibri"/>
          <w:color w:val="auto"/>
          <w:szCs w:val="22"/>
        </w:rPr>
        <w:t>commonly</w:t>
      </w:r>
      <w:r w:rsidRPr="00DD7BD1">
        <w:rPr>
          <w:rFonts w:cs="Calibri"/>
          <w:color w:val="auto"/>
          <w:spacing w:val="40"/>
          <w:szCs w:val="22"/>
        </w:rPr>
        <w:t xml:space="preserve"> </w:t>
      </w:r>
      <w:r w:rsidRPr="00DD7BD1">
        <w:rPr>
          <w:rFonts w:cs="Calibri"/>
          <w:color w:val="auto"/>
          <w:szCs w:val="22"/>
        </w:rPr>
        <w:t>known</w:t>
      </w:r>
      <w:r w:rsidRPr="00DD7BD1">
        <w:rPr>
          <w:rFonts w:cs="Calibri"/>
          <w:color w:val="auto"/>
          <w:spacing w:val="40"/>
          <w:szCs w:val="22"/>
        </w:rPr>
        <w:t xml:space="preserve"> </w:t>
      </w:r>
      <w:r w:rsidRPr="00DD7BD1">
        <w:rPr>
          <w:rFonts w:cs="Calibri"/>
          <w:color w:val="auto"/>
          <w:szCs w:val="22"/>
        </w:rPr>
        <w:t>as</w:t>
      </w:r>
      <w:r w:rsidRPr="00DD7BD1">
        <w:rPr>
          <w:rFonts w:cs="Calibri"/>
          <w:color w:val="auto"/>
          <w:spacing w:val="40"/>
          <w:szCs w:val="22"/>
        </w:rPr>
        <w:t xml:space="preserve"> </w:t>
      </w:r>
      <w:r w:rsidRPr="00DD7BD1">
        <w:rPr>
          <w:rFonts w:cs="Calibri"/>
          <w:color w:val="auto"/>
          <w:szCs w:val="22"/>
        </w:rPr>
        <w:t>an</w:t>
      </w:r>
      <w:r w:rsidRPr="00DD7BD1">
        <w:rPr>
          <w:rFonts w:cs="Calibri"/>
          <w:color w:val="auto"/>
          <w:spacing w:val="40"/>
          <w:szCs w:val="22"/>
        </w:rPr>
        <w:t xml:space="preserve"> </w:t>
      </w:r>
      <w:r w:rsidRPr="00DD7BD1">
        <w:rPr>
          <w:rFonts w:cs="Calibri"/>
          <w:color w:val="auto"/>
          <w:szCs w:val="22"/>
        </w:rPr>
        <w:t>EEO-1</w:t>
      </w:r>
      <w:r w:rsidRPr="00DD7BD1">
        <w:rPr>
          <w:rFonts w:cs="Calibri"/>
          <w:color w:val="auto"/>
          <w:spacing w:val="40"/>
          <w:szCs w:val="22"/>
        </w:rPr>
        <w:t xml:space="preserve"> </w:t>
      </w:r>
      <w:r w:rsidRPr="00DD7BD1">
        <w:rPr>
          <w:rFonts w:cs="Calibri"/>
          <w:color w:val="auto"/>
          <w:szCs w:val="22"/>
        </w:rPr>
        <w:t xml:space="preserve">report.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file</w:t>
      </w:r>
      <w:r w:rsidRPr="00DD7BD1">
        <w:rPr>
          <w:rFonts w:cs="Calibri"/>
          <w:color w:val="auto"/>
          <w:spacing w:val="-17"/>
          <w:w w:val="110"/>
          <w:szCs w:val="22"/>
        </w:rPr>
        <w:t xml:space="preserve"> </w:t>
      </w:r>
      <w:r w:rsidRPr="00DD7BD1">
        <w:rPr>
          <w:rFonts w:cs="Calibri"/>
          <w:color w:val="auto"/>
          <w:w w:val="110"/>
          <w:szCs w:val="22"/>
        </w:rPr>
        <w:t>EEO-3</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EEO-5</w:t>
      </w:r>
      <w:r w:rsidRPr="00DD7BD1">
        <w:rPr>
          <w:rFonts w:cs="Calibri"/>
          <w:color w:val="auto"/>
          <w:spacing w:val="-16"/>
          <w:w w:val="110"/>
          <w:szCs w:val="22"/>
        </w:rPr>
        <w:t xml:space="preserve"> </w:t>
      </w:r>
      <w:r w:rsidRPr="00DD7BD1">
        <w:rPr>
          <w:rFonts w:cs="Calibri"/>
          <w:color w:val="auto"/>
          <w:w w:val="110"/>
          <w:szCs w:val="22"/>
        </w:rPr>
        <w:t>reports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submit</w:t>
      </w:r>
      <w:r w:rsidRPr="00DD7BD1">
        <w:rPr>
          <w:rFonts w:cs="Calibri"/>
          <w:color w:val="auto"/>
          <w:spacing w:val="-17"/>
          <w:w w:val="110"/>
          <w:szCs w:val="22"/>
        </w:rPr>
        <w:t xml:space="preserve"> </w:t>
      </w:r>
      <w:r w:rsidRPr="00DD7BD1">
        <w:rPr>
          <w:rFonts w:cs="Calibri"/>
          <w:color w:val="auto"/>
          <w:w w:val="110"/>
          <w:szCs w:val="22"/>
        </w:rPr>
        <w:t>these</w:t>
      </w:r>
      <w:r w:rsidRPr="00DD7BD1">
        <w:rPr>
          <w:rFonts w:cs="Calibri"/>
          <w:color w:val="auto"/>
          <w:spacing w:val="-17"/>
          <w:w w:val="110"/>
          <w:szCs w:val="22"/>
        </w:rPr>
        <w:t xml:space="preserve"> </w:t>
      </w:r>
      <w:r w:rsidRPr="00DD7BD1">
        <w:rPr>
          <w:rFonts w:cs="Calibri"/>
          <w:color w:val="auto"/>
          <w:w w:val="110"/>
          <w:szCs w:val="22"/>
        </w:rPr>
        <w:t>reports</w:t>
      </w:r>
      <w:r w:rsidRPr="00DD7BD1">
        <w:rPr>
          <w:rFonts w:cs="Calibri"/>
          <w:color w:val="auto"/>
          <w:spacing w:val="-16"/>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6"/>
          <w:w w:val="110"/>
          <w:szCs w:val="22"/>
        </w:rPr>
        <w:t xml:space="preserve"> </w:t>
      </w:r>
      <w:r w:rsidRPr="00DD7BD1">
        <w:rPr>
          <w:rFonts w:cs="Calibri"/>
          <w:color w:val="auto"/>
          <w:w w:val="110"/>
          <w:szCs w:val="22"/>
        </w:rPr>
        <w:t>Feb.</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 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9"/>
          <w:w w:val="110"/>
          <w:szCs w:val="22"/>
        </w:rPr>
        <w:t xml:space="preserve"> </w:t>
      </w:r>
      <w:r w:rsidRPr="00DD7BD1">
        <w:rPr>
          <w:rFonts w:cs="Calibri"/>
          <w:color w:val="auto"/>
          <w:w w:val="110"/>
          <w:szCs w:val="22"/>
        </w:rPr>
        <w:t>EEO-4</w:t>
      </w:r>
      <w:r w:rsidRPr="00DD7BD1">
        <w:rPr>
          <w:rFonts w:cs="Calibri"/>
          <w:color w:val="auto"/>
          <w:spacing w:val="-9"/>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submit</w:t>
      </w:r>
      <w:r w:rsidRPr="00DD7BD1">
        <w:rPr>
          <w:rFonts w:cs="Calibri"/>
          <w:color w:val="auto"/>
          <w:spacing w:val="-10"/>
          <w:w w:val="110"/>
          <w:szCs w:val="22"/>
        </w:rPr>
        <w:t xml:space="preserve"> </w:t>
      </w:r>
      <w:r w:rsidRPr="00DD7BD1">
        <w:rPr>
          <w:rFonts w:cs="Calibri"/>
          <w:color w:val="auto"/>
          <w:w w:val="110"/>
          <w:szCs w:val="22"/>
        </w:rPr>
        <w:t>these</w:t>
      </w:r>
      <w:r w:rsidRPr="00DD7BD1">
        <w:rPr>
          <w:rFonts w:cs="Calibri"/>
          <w:color w:val="auto"/>
          <w:spacing w:val="-12"/>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every</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2"/>
          <w:w w:val="110"/>
          <w:szCs w:val="22"/>
        </w:rPr>
        <w:t xml:space="preserve"> </w:t>
      </w:r>
      <w:r w:rsidRPr="00DD7BD1">
        <w:rPr>
          <w:rFonts w:cs="Calibri"/>
          <w:color w:val="auto"/>
          <w:w w:val="110"/>
          <w:szCs w:val="22"/>
        </w:rPr>
        <w:t>year</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w w:val="110"/>
          <w:szCs w:val="22"/>
        </w:rPr>
        <w:t>Feb.</w:t>
      </w:r>
      <w:r w:rsidRPr="00DD7BD1">
        <w:rPr>
          <w:rFonts w:cs="Calibri"/>
          <w:color w:val="auto"/>
          <w:spacing w:val="-12"/>
          <w:w w:val="110"/>
          <w:szCs w:val="22"/>
        </w:rPr>
        <w:t xml:space="preserve"> </w:t>
      </w:r>
      <w:r w:rsidRPr="00DD7BD1">
        <w:rPr>
          <w:rFonts w:cs="Calibri"/>
          <w:color w:val="auto"/>
          <w:w w:val="110"/>
          <w:szCs w:val="22"/>
        </w:rPr>
        <w:t>1,</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with</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Act's</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disclosures,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100-employee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10"/>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reporting</w:t>
      </w:r>
      <w:r w:rsidRPr="00DD7BD1">
        <w:rPr>
          <w:rFonts w:cs="Calibri"/>
          <w:color w:val="auto"/>
          <w:spacing w:val="-7"/>
          <w:w w:val="110"/>
          <w:szCs w:val="22"/>
        </w:rPr>
        <w:t xml:space="preserve"> </w:t>
      </w:r>
      <w:r w:rsidRPr="00DD7BD1">
        <w:rPr>
          <w:rFonts w:cs="Calibri"/>
          <w:color w:val="auto"/>
          <w:w w:val="110"/>
          <w:szCs w:val="22"/>
        </w:rPr>
        <w:t>includes all</w:t>
      </w:r>
      <w:r w:rsidRPr="00DD7BD1">
        <w:rPr>
          <w:rFonts w:cs="Calibri"/>
          <w:color w:val="auto"/>
          <w:spacing w:val="-11"/>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part-time,</w:t>
      </w:r>
      <w:r w:rsidRPr="00DD7BD1">
        <w:rPr>
          <w:rFonts w:cs="Calibri"/>
          <w:color w:val="auto"/>
          <w:spacing w:val="-12"/>
          <w:w w:val="110"/>
          <w:szCs w:val="22"/>
        </w:rPr>
        <w:t xml:space="preserve"> </w:t>
      </w:r>
      <w:r w:rsidRPr="00DD7BD1">
        <w:rPr>
          <w:rFonts w:cs="Calibri"/>
          <w:color w:val="auto"/>
          <w:w w:val="110"/>
          <w:szCs w:val="22"/>
        </w:rPr>
        <w:t>seasonal,</w:t>
      </w:r>
      <w:r w:rsidRPr="00DD7BD1">
        <w:rPr>
          <w:rFonts w:cs="Calibri"/>
          <w:color w:val="auto"/>
          <w:spacing w:val="-9"/>
          <w:w w:val="110"/>
          <w:szCs w:val="22"/>
        </w:rPr>
        <w:t xml:space="preserve"> </w:t>
      </w:r>
      <w:r w:rsidRPr="00DD7BD1">
        <w:rPr>
          <w:rFonts w:cs="Calibri"/>
          <w:color w:val="auto"/>
          <w:w w:val="110"/>
          <w:szCs w:val="22"/>
        </w:rPr>
        <w:t>temporary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remote</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primary</w:t>
      </w:r>
      <w:r w:rsidRPr="00DD7BD1">
        <w:rPr>
          <w:rFonts w:cs="Calibri"/>
          <w:color w:val="auto"/>
          <w:spacing w:val="-11"/>
          <w:w w:val="110"/>
          <w:szCs w:val="22"/>
        </w:rPr>
        <w:t xml:space="preserve"> </w:t>
      </w:r>
      <w:r w:rsidRPr="00DD7BD1">
        <w:rPr>
          <w:rFonts w:cs="Calibri"/>
          <w:color w:val="auto"/>
          <w:w w:val="110"/>
          <w:szCs w:val="22"/>
        </w:rPr>
        <w:t>place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work</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Massachusetts.</w:t>
      </w:r>
    </w:p>
    <w:p w14:paraId="3A029FBF" w14:textId="77777777" w:rsidR="003A22A9" w:rsidRPr="00DD7BD1" w:rsidRDefault="003A22A9" w:rsidP="003A22A9">
      <w:pPr>
        <w:pStyle w:val="BodyText"/>
        <w:spacing w:after="0" w:line="240" w:lineRule="auto"/>
        <w:ind w:right="-180"/>
        <w:rPr>
          <w:rFonts w:cs="Calibri"/>
          <w:color w:val="auto"/>
          <w:szCs w:val="22"/>
        </w:rPr>
      </w:pPr>
    </w:p>
    <w:p w14:paraId="11B74598" w14:textId="46EF38D3" w:rsidR="003A22A9" w:rsidRPr="00DD7BD1" w:rsidRDefault="003A22A9" w:rsidP="003A22A9">
      <w:pPr>
        <w:pStyle w:val="Heading1"/>
        <w:spacing w:before="0" w:beforeAutospacing="0" w:after="0" w:afterAutospacing="0"/>
        <w:ind w:right="-187"/>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State’s Paid Family &amp; Medical Leave Updates - </w:t>
      </w:r>
      <w:r w:rsidRPr="00DD7BD1">
        <w:rPr>
          <w:rFonts w:ascii="Calibri" w:hAnsi="Calibri" w:cs="Calibri"/>
          <w:bCs w:val="0"/>
          <w:color w:val="C00000"/>
          <w:spacing w:val="-2"/>
          <w:kern w:val="0"/>
          <w:sz w:val="28"/>
          <w:szCs w:val="24"/>
        </w:rPr>
        <w:t>Eff August 31, 2025</w:t>
      </w:r>
    </w:p>
    <w:p w14:paraId="3EF59E94" w14:textId="77777777" w:rsidR="003A22A9" w:rsidRPr="00DD7BD1" w:rsidRDefault="003A22A9" w:rsidP="003A22A9">
      <w:pPr>
        <w:pStyle w:val="BodyText"/>
        <w:spacing w:after="0" w:line="240" w:lineRule="auto"/>
        <w:ind w:right="-187"/>
        <w:rPr>
          <w:rFonts w:cs="Calibri"/>
          <w:color w:val="auto"/>
          <w:w w:val="115"/>
          <w:szCs w:val="22"/>
        </w:rPr>
      </w:pP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Massachusetts</w:t>
      </w:r>
      <w:r w:rsidRPr="00DD7BD1">
        <w:rPr>
          <w:rFonts w:cs="Calibri"/>
          <w:color w:val="auto"/>
          <w:spacing w:val="-10"/>
          <w:w w:val="115"/>
          <w:szCs w:val="22"/>
        </w:rPr>
        <w:t xml:space="preserve"> </w:t>
      </w:r>
      <w:r w:rsidRPr="00DD7BD1">
        <w:rPr>
          <w:rFonts w:cs="Calibri"/>
          <w:color w:val="auto"/>
          <w:spacing w:val="-2"/>
          <w:w w:val="115"/>
          <w:szCs w:val="22"/>
        </w:rPr>
        <w:t>Department</w:t>
      </w:r>
      <w:r w:rsidRPr="00DD7BD1">
        <w:rPr>
          <w:rFonts w:cs="Calibri"/>
          <w:color w:val="auto"/>
          <w:spacing w:val="-13"/>
          <w:w w:val="115"/>
          <w:szCs w:val="22"/>
        </w:rPr>
        <w:t xml:space="preserve"> </w:t>
      </w:r>
      <w:r w:rsidRPr="00DD7BD1">
        <w:rPr>
          <w:rFonts w:cs="Calibri"/>
          <w:color w:val="auto"/>
          <w:spacing w:val="-2"/>
          <w:w w:val="115"/>
          <w:szCs w:val="22"/>
        </w:rPr>
        <w:t>of</w:t>
      </w:r>
      <w:r w:rsidRPr="00DD7BD1">
        <w:rPr>
          <w:rFonts w:cs="Calibri"/>
          <w:color w:val="auto"/>
          <w:spacing w:val="-11"/>
          <w:w w:val="115"/>
          <w:szCs w:val="22"/>
        </w:rPr>
        <w:t xml:space="preserve"> </w:t>
      </w:r>
      <w:r w:rsidRPr="00DD7BD1">
        <w:rPr>
          <w:rFonts w:cs="Calibri"/>
          <w:color w:val="auto"/>
          <w:spacing w:val="-2"/>
          <w:w w:val="115"/>
          <w:szCs w:val="22"/>
        </w:rPr>
        <w:t>Family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Medical</w:t>
      </w:r>
      <w:r w:rsidRPr="00DD7BD1">
        <w:rPr>
          <w:rFonts w:cs="Calibri"/>
          <w:color w:val="auto"/>
          <w:spacing w:val="-11"/>
          <w:w w:val="115"/>
          <w:szCs w:val="22"/>
        </w:rPr>
        <w:t xml:space="preserve"> </w:t>
      </w:r>
      <w:r w:rsidRPr="00DD7BD1">
        <w:rPr>
          <w:rFonts w:cs="Calibri"/>
          <w:color w:val="auto"/>
          <w:spacing w:val="-2"/>
          <w:w w:val="115"/>
          <w:szCs w:val="22"/>
        </w:rPr>
        <w:t>Leave</w:t>
      </w:r>
      <w:r w:rsidRPr="00DD7BD1">
        <w:rPr>
          <w:rFonts w:cs="Calibri"/>
          <w:color w:val="auto"/>
          <w:spacing w:val="-12"/>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“Department”)</w:t>
      </w:r>
      <w:r w:rsidRPr="00DD7BD1">
        <w:rPr>
          <w:rFonts w:cs="Calibri"/>
          <w:color w:val="auto"/>
          <w:spacing w:val="-11"/>
          <w:w w:val="115"/>
          <w:szCs w:val="22"/>
        </w:rPr>
        <w:t xml:space="preserve"> </w:t>
      </w:r>
      <w:r w:rsidRPr="00DD7BD1">
        <w:rPr>
          <w:rFonts w:cs="Calibri"/>
          <w:color w:val="auto"/>
          <w:spacing w:val="-2"/>
          <w:w w:val="115"/>
          <w:szCs w:val="22"/>
        </w:rPr>
        <w:t>recently</w:t>
      </w:r>
      <w:r w:rsidRPr="00DD7BD1">
        <w:rPr>
          <w:rFonts w:cs="Calibri"/>
          <w:color w:val="auto"/>
          <w:spacing w:val="-11"/>
          <w:w w:val="115"/>
          <w:szCs w:val="22"/>
        </w:rPr>
        <w:t xml:space="preserve"> </w:t>
      </w:r>
      <w:r w:rsidRPr="00DD7BD1">
        <w:rPr>
          <w:rFonts w:cs="Calibri"/>
          <w:color w:val="auto"/>
          <w:spacing w:val="-2"/>
          <w:w w:val="115"/>
          <w:szCs w:val="22"/>
        </w:rPr>
        <w:t>updated</w:t>
      </w:r>
      <w:r w:rsidRPr="00DD7BD1">
        <w:rPr>
          <w:rFonts w:cs="Calibri"/>
          <w:color w:val="auto"/>
          <w:spacing w:val="-10"/>
          <w:w w:val="115"/>
          <w:szCs w:val="22"/>
        </w:rPr>
        <w:t xml:space="preserve"> </w:t>
      </w:r>
      <w:r w:rsidRPr="00DD7BD1">
        <w:rPr>
          <w:rFonts w:cs="Calibri"/>
          <w:color w:val="auto"/>
          <w:spacing w:val="-2"/>
          <w:w w:val="115"/>
          <w:szCs w:val="22"/>
        </w:rPr>
        <w:t>its</w:t>
      </w:r>
      <w:r w:rsidRPr="00DD7BD1">
        <w:rPr>
          <w:rFonts w:cs="Calibri"/>
          <w:color w:val="auto"/>
          <w:spacing w:val="-10"/>
          <w:w w:val="115"/>
          <w:szCs w:val="22"/>
        </w:rPr>
        <w:t xml:space="preserve"> </w:t>
      </w:r>
      <w:r w:rsidRPr="00DD7BD1">
        <w:rPr>
          <w:rFonts w:cs="Calibri"/>
          <w:color w:val="auto"/>
          <w:spacing w:val="-2"/>
          <w:w w:val="115"/>
          <w:szCs w:val="22"/>
        </w:rPr>
        <w:t xml:space="preserve">Employer </w:t>
      </w:r>
      <w:r w:rsidRPr="00DD7BD1">
        <w:rPr>
          <w:rFonts w:cs="Calibri"/>
          <w:color w:val="auto"/>
          <w:w w:val="110"/>
          <w:szCs w:val="22"/>
        </w:rPr>
        <w:t>Portal,</w:t>
      </w:r>
      <w:r w:rsidRPr="00DD7BD1">
        <w:rPr>
          <w:rFonts w:cs="Calibri"/>
          <w:color w:val="auto"/>
          <w:spacing w:val="-3"/>
          <w:w w:val="110"/>
          <w:szCs w:val="22"/>
        </w:rPr>
        <w:t xml:space="preserve"> </w:t>
      </w:r>
      <w:r w:rsidRPr="00DD7BD1">
        <w:rPr>
          <w:rFonts w:cs="Calibri"/>
          <w:color w:val="auto"/>
          <w:w w:val="110"/>
          <w:szCs w:val="22"/>
        </w:rPr>
        <w:t>issued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reminder</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reporting</w:t>
      </w:r>
      <w:r w:rsidRPr="00DD7BD1">
        <w:rPr>
          <w:rFonts w:cs="Calibri"/>
          <w:color w:val="auto"/>
          <w:spacing w:val="-2"/>
          <w:w w:val="110"/>
          <w:szCs w:val="22"/>
        </w:rPr>
        <w:t xml:space="preserve"> </w:t>
      </w:r>
      <w:r w:rsidRPr="00DD7BD1">
        <w:rPr>
          <w:rFonts w:cs="Calibri"/>
          <w:color w:val="auto"/>
          <w:w w:val="110"/>
          <w:szCs w:val="22"/>
        </w:rPr>
        <w:t>deadline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6"/>
          <w:w w:val="110"/>
          <w:szCs w:val="22"/>
        </w:rPr>
        <w:t xml:space="preserve"> </w:t>
      </w:r>
      <w:r w:rsidRPr="00DD7BD1">
        <w:rPr>
          <w:rFonts w:cs="Calibri"/>
          <w:color w:val="auto"/>
          <w:w w:val="110"/>
          <w:szCs w:val="22"/>
        </w:rPr>
        <w:t>31,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summarized</w:t>
      </w:r>
      <w:r w:rsidRPr="00DD7BD1">
        <w:rPr>
          <w:rFonts w:cs="Calibri"/>
          <w:color w:val="auto"/>
          <w:spacing w:val="-2"/>
          <w:w w:val="110"/>
          <w:szCs w:val="22"/>
        </w:rPr>
        <w:t xml:space="preserve"> </w:t>
      </w:r>
      <w:r w:rsidRPr="00DD7BD1">
        <w:rPr>
          <w:rFonts w:cs="Calibri"/>
          <w:color w:val="auto"/>
          <w:w w:val="110"/>
          <w:szCs w:val="22"/>
        </w:rPr>
        <w:t>tax</w:t>
      </w:r>
      <w:r w:rsidRPr="00DD7BD1">
        <w:rPr>
          <w:rFonts w:cs="Calibri"/>
          <w:color w:val="auto"/>
          <w:spacing w:val="-6"/>
          <w:w w:val="110"/>
          <w:szCs w:val="22"/>
        </w:rPr>
        <w:t xml:space="preserve"> </w:t>
      </w:r>
      <w:r w:rsidRPr="00DD7BD1">
        <w:rPr>
          <w:rFonts w:cs="Calibri"/>
          <w:color w:val="auto"/>
          <w:w w:val="110"/>
          <w:szCs w:val="22"/>
        </w:rPr>
        <w:t xml:space="preserve">guidance </w:t>
      </w:r>
      <w:r w:rsidRPr="00DD7BD1">
        <w:rPr>
          <w:rFonts w:cs="Calibri"/>
          <w:color w:val="auto"/>
          <w:w w:val="115"/>
          <w:szCs w:val="22"/>
        </w:rPr>
        <w:t>concerning</w:t>
      </w:r>
      <w:r w:rsidRPr="00DD7BD1">
        <w:rPr>
          <w:rFonts w:cs="Calibri"/>
          <w:color w:val="auto"/>
          <w:spacing w:val="-13"/>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Massachusetts</w:t>
      </w:r>
      <w:r w:rsidRPr="00DD7BD1">
        <w:rPr>
          <w:rFonts w:cs="Calibri"/>
          <w:color w:val="auto"/>
          <w:spacing w:val="-13"/>
          <w:w w:val="115"/>
          <w:szCs w:val="22"/>
        </w:rPr>
        <w:t xml:space="preserve"> </w:t>
      </w:r>
      <w:r w:rsidRPr="00DD7BD1">
        <w:rPr>
          <w:rFonts w:cs="Calibri"/>
          <w:color w:val="auto"/>
          <w:w w:val="115"/>
          <w:szCs w:val="22"/>
        </w:rPr>
        <w:t>Paid</w:t>
      </w:r>
      <w:r w:rsidRPr="00DD7BD1">
        <w:rPr>
          <w:rFonts w:cs="Calibri"/>
          <w:color w:val="auto"/>
          <w:spacing w:val="-12"/>
          <w:w w:val="115"/>
          <w:szCs w:val="22"/>
        </w:rPr>
        <w:t xml:space="preserve"> </w:t>
      </w:r>
      <w:r w:rsidRPr="00DD7BD1">
        <w:rPr>
          <w:rFonts w:cs="Calibri"/>
          <w:color w:val="auto"/>
          <w:w w:val="115"/>
          <w:szCs w:val="22"/>
        </w:rPr>
        <w:t>Family</w:t>
      </w:r>
      <w:r w:rsidRPr="00DD7BD1">
        <w:rPr>
          <w:rFonts w:cs="Calibri"/>
          <w:color w:val="auto"/>
          <w:spacing w:val="-13"/>
          <w:w w:val="115"/>
          <w:szCs w:val="22"/>
        </w:rPr>
        <w:t xml:space="preserve"> </w:t>
      </w:r>
      <w:r w:rsidRPr="00DD7BD1">
        <w:rPr>
          <w:rFonts w:cs="Calibri"/>
          <w:color w:val="auto"/>
          <w:w w:val="115"/>
          <w:szCs w:val="22"/>
        </w:rPr>
        <w:t>and</w:t>
      </w:r>
      <w:r w:rsidRPr="00DD7BD1">
        <w:rPr>
          <w:rFonts w:cs="Calibri"/>
          <w:color w:val="auto"/>
          <w:spacing w:val="-17"/>
          <w:w w:val="115"/>
          <w:szCs w:val="22"/>
        </w:rPr>
        <w:t xml:space="preserve"> </w:t>
      </w:r>
      <w:r w:rsidRPr="00DD7BD1">
        <w:rPr>
          <w:rFonts w:cs="Calibri"/>
          <w:color w:val="auto"/>
          <w:w w:val="115"/>
          <w:szCs w:val="22"/>
        </w:rPr>
        <w:t>Medical</w:t>
      </w:r>
      <w:r w:rsidRPr="00DD7BD1">
        <w:rPr>
          <w:rFonts w:cs="Calibri"/>
          <w:color w:val="auto"/>
          <w:spacing w:val="-13"/>
          <w:w w:val="115"/>
          <w:szCs w:val="22"/>
        </w:rPr>
        <w:t xml:space="preserve"> </w:t>
      </w:r>
      <w:r w:rsidRPr="00DD7BD1">
        <w:rPr>
          <w:rFonts w:cs="Calibri"/>
          <w:color w:val="auto"/>
          <w:w w:val="115"/>
          <w:szCs w:val="22"/>
        </w:rPr>
        <w:t>Leave</w:t>
      </w:r>
      <w:r w:rsidRPr="00DD7BD1">
        <w:rPr>
          <w:rFonts w:cs="Calibri"/>
          <w:color w:val="auto"/>
          <w:spacing w:val="-11"/>
          <w:w w:val="115"/>
          <w:szCs w:val="22"/>
        </w:rPr>
        <w:t xml:space="preserve"> </w:t>
      </w:r>
      <w:r w:rsidRPr="00DD7BD1">
        <w:rPr>
          <w:rFonts w:cs="Calibri"/>
          <w:color w:val="auto"/>
          <w:w w:val="115"/>
          <w:szCs w:val="22"/>
        </w:rPr>
        <w:t>law</w:t>
      </w:r>
      <w:r w:rsidRPr="00DD7BD1">
        <w:rPr>
          <w:rFonts w:cs="Calibri"/>
          <w:color w:val="auto"/>
          <w:spacing w:val="-14"/>
          <w:w w:val="115"/>
          <w:szCs w:val="22"/>
        </w:rPr>
        <w:t xml:space="preserve"> </w:t>
      </w:r>
      <w:r w:rsidRPr="00DD7BD1">
        <w:rPr>
          <w:rFonts w:cs="Calibri"/>
          <w:color w:val="auto"/>
          <w:w w:val="115"/>
          <w:szCs w:val="22"/>
        </w:rPr>
        <w:t>(“MAPFML”).</w:t>
      </w:r>
    </w:p>
    <w:p w14:paraId="6FD15CBE" w14:textId="77777777" w:rsidR="003A22A9" w:rsidRPr="00DD7BD1" w:rsidRDefault="003A22A9" w:rsidP="003A22A9">
      <w:pPr>
        <w:pStyle w:val="BodyText"/>
        <w:spacing w:after="0" w:line="240" w:lineRule="auto"/>
        <w:ind w:right="-187"/>
        <w:rPr>
          <w:rFonts w:cs="Calibri"/>
          <w:szCs w:val="22"/>
        </w:rPr>
      </w:pPr>
    </w:p>
    <w:p w14:paraId="4DDFE214" w14:textId="77777777" w:rsidR="003A22A9" w:rsidRPr="00DD7BD1" w:rsidRDefault="003A22A9" w:rsidP="003A22A9">
      <w:pPr>
        <w:pStyle w:val="Heading4"/>
        <w:spacing w:before="0" w:line="240" w:lineRule="auto"/>
        <w:ind w:right="-187"/>
        <w:jc w:val="both"/>
        <w:rPr>
          <w:rFonts w:ascii="Calibri" w:hAnsi="Calibri" w:cs="Calibri"/>
          <w:b/>
          <w:bCs/>
          <w:i w:val="0"/>
          <w:iCs w:val="0"/>
          <w:color w:val="auto"/>
        </w:rPr>
      </w:pPr>
      <w:r w:rsidRPr="00DD7BD1">
        <w:rPr>
          <w:rFonts w:ascii="Calibri" w:hAnsi="Calibri" w:cs="Calibri"/>
          <w:b/>
          <w:bCs/>
          <w:i w:val="0"/>
          <w:iCs w:val="0"/>
          <w:color w:val="auto"/>
          <w:w w:val="90"/>
        </w:rPr>
        <w:t>Exempt</w:t>
      </w:r>
      <w:r w:rsidRPr="00DD7BD1">
        <w:rPr>
          <w:rFonts w:ascii="Calibri" w:hAnsi="Calibri" w:cs="Calibri"/>
          <w:b/>
          <w:bCs/>
          <w:i w:val="0"/>
          <w:iCs w:val="0"/>
          <w:color w:val="auto"/>
          <w:spacing w:val="17"/>
        </w:rPr>
        <w:t xml:space="preserve"> </w:t>
      </w:r>
      <w:r w:rsidRPr="00DD7BD1">
        <w:rPr>
          <w:rFonts w:ascii="Calibri" w:hAnsi="Calibri" w:cs="Calibri"/>
          <w:b/>
          <w:bCs/>
          <w:i w:val="0"/>
          <w:iCs w:val="0"/>
          <w:color w:val="auto"/>
          <w:w w:val="90"/>
        </w:rPr>
        <w:t>Private</w:t>
      </w:r>
      <w:r w:rsidRPr="00DD7BD1">
        <w:rPr>
          <w:rFonts w:ascii="Calibri" w:hAnsi="Calibri" w:cs="Calibri"/>
          <w:b/>
          <w:bCs/>
          <w:i w:val="0"/>
          <w:iCs w:val="0"/>
          <w:color w:val="auto"/>
          <w:spacing w:val="22"/>
        </w:rPr>
        <w:t xml:space="preserve"> </w:t>
      </w:r>
      <w:r w:rsidRPr="00DD7BD1">
        <w:rPr>
          <w:rFonts w:ascii="Calibri" w:hAnsi="Calibri" w:cs="Calibri"/>
          <w:b/>
          <w:bCs/>
          <w:i w:val="0"/>
          <w:iCs w:val="0"/>
          <w:color w:val="auto"/>
          <w:w w:val="90"/>
        </w:rPr>
        <w:t>Plan</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Employer</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Reporting</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spacing w:val="-2"/>
          <w:w w:val="90"/>
        </w:rPr>
        <w:t>Deadline</w:t>
      </w:r>
    </w:p>
    <w:p w14:paraId="20F0F940" w14:textId="77777777" w:rsidR="003A22A9" w:rsidRPr="00DD7BD1" w:rsidRDefault="003A22A9" w:rsidP="003A22A9">
      <w:pPr>
        <w:pStyle w:val="BodyText"/>
        <w:spacing w:after="0" w:line="240" w:lineRule="auto"/>
        <w:ind w:right="-187"/>
        <w:rPr>
          <w:rFonts w:cs="Calibri"/>
          <w:color w:val="auto"/>
          <w:w w:val="110"/>
          <w:szCs w:val="22"/>
        </w:rPr>
      </w:pPr>
      <w:r w:rsidRPr="00DD7BD1">
        <w:rPr>
          <w:rFonts w:cs="Calibri"/>
          <w:color w:val="auto"/>
          <w:w w:val="110"/>
          <w:szCs w:val="22"/>
        </w:rPr>
        <w:t>Employers that meet their Paid Family and Medical Leave (PFML) law obligations through an approved M.G.L. c. 175M,</w:t>
      </w:r>
      <w:r w:rsidRPr="00DD7BD1">
        <w:rPr>
          <w:rFonts w:cs="Calibri"/>
          <w:color w:val="auto"/>
          <w:spacing w:val="-16"/>
          <w:w w:val="110"/>
          <w:szCs w:val="22"/>
        </w:rPr>
        <w:t xml:space="preserve"> </w:t>
      </w:r>
      <w:r w:rsidRPr="00DD7BD1">
        <w:rPr>
          <w:rFonts w:cs="Calibri"/>
          <w:color w:val="auto"/>
          <w:w w:val="110"/>
          <w:szCs w:val="22"/>
        </w:rPr>
        <w:t>sec.</w:t>
      </w:r>
      <w:r w:rsidRPr="00DD7BD1">
        <w:rPr>
          <w:rFonts w:cs="Calibri"/>
          <w:color w:val="auto"/>
          <w:spacing w:val="-14"/>
          <w:w w:val="110"/>
          <w:szCs w:val="22"/>
        </w:rPr>
        <w:t xml:space="preserve"> </w:t>
      </w:r>
      <w:r w:rsidRPr="00DD7BD1">
        <w:rPr>
          <w:rFonts w:cs="Calibri"/>
          <w:color w:val="auto"/>
          <w:w w:val="110"/>
          <w:szCs w:val="22"/>
        </w:rPr>
        <w:t>11</w:t>
      </w:r>
      <w:r w:rsidRPr="00DD7BD1">
        <w:rPr>
          <w:rFonts w:cs="Calibri"/>
          <w:color w:val="auto"/>
          <w:spacing w:val="-16"/>
          <w:w w:val="110"/>
          <w:szCs w:val="22"/>
        </w:rPr>
        <w:t xml:space="preserve"> </w:t>
      </w:r>
      <w:r w:rsidRPr="00DD7BD1">
        <w:rPr>
          <w:rFonts w:cs="Calibri"/>
          <w:color w:val="auto"/>
          <w:w w:val="110"/>
          <w:szCs w:val="22"/>
        </w:rPr>
        <w:t>private</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maintain</w:t>
      </w:r>
      <w:r w:rsidRPr="00DD7BD1">
        <w:rPr>
          <w:rFonts w:cs="Calibri"/>
          <w:color w:val="auto"/>
          <w:spacing w:val="-14"/>
          <w:w w:val="110"/>
          <w:szCs w:val="22"/>
        </w:rPr>
        <w:t xml:space="preserve"> </w:t>
      </w:r>
      <w:r w:rsidRPr="00DD7BD1">
        <w:rPr>
          <w:rFonts w:cs="Calibri"/>
          <w:color w:val="auto"/>
          <w:w w:val="110"/>
          <w:szCs w:val="22"/>
        </w:rPr>
        <w:t>reports,</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records</w:t>
      </w:r>
      <w:r w:rsidRPr="00DD7BD1">
        <w:rPr>
          <w:rFonts w:cs="Calibri"/>
          <w:color w:val="auto"/>
          <w:spacing w:val="-14"/>
          <w:w w:val="110"/>
          <w:szCs w:val="22"/>
        </w:rPr>
        <w:t xml:space="preserve"> </w:t>
      </w:r>
      <w:r w:rsidRPr="00DD7BD1">
        <w:rPr>
          <w:rFonts w:cs="Calibri"/>
          <w:color w:val="auto"/>
          <w:w w:val="110"/>
          <w:szCs w:val="22"/>
        </w:rPr>
        <w:t>related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approved</w:t>
      </w:r>
      <w:r w:rsidRPr="00DD7BD1">
        <w:rPr>
          <w:rFonts w:cs="Calibri"/>
          <w:color w:val="auto"/>
          <w:spacing w:val="-16"/>
          <w:w w:val="110"/>
          <w:szCs w:val="22"/>
        </w:rPr>
        <w:t xml:space="preserve"> </w:t>
      </w:r>
      <w:r w:rsidRPr="00DD7BD1">
        <w:rPr>
          <w:rFonts w:cs="Calibri"/>
          <w:color w:val="auto"/>
          <w:w w:val="110"/>
          <w:szCs w:val="22"/>
        </w:rPr>
        <w:t>plan and</w:t>
      </w:r>
      <w:r w:rsidRPr="00DD7BD1">
        <w:rPr>
          <w:rFonts w:cs="Calibri"/>
          <w:color w:val="auto"/>
          <w:spacing w:val="-2"/>
          <w:w w:val="110"/>
          <w:szCs w:val="22"/>
        </w:rPr>
        <w:t xml:space="preserve"> </w:t>
      </w:r>
      <w:r w:rsidRPr="00DD7BD1">
        <w:rPr>
          <w:rFonts w:cs="Calibri"/>
          <w:color w:val="auto"/>
          <w:w w:val="110"/>
          <w:szCs w:val="22"/>
        </w:rPr>
        <w:t>furnish</w:t>
      </w:r>
      <w:r w:rsidRPr="00DD7BD1">
        <w:rPr>
          <w:rFonts w:cs="Calibri"/>
          <w:color w:val="auto"/>
          <w:spacing w:val="-2"/>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Department</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Family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Medical</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2"/>
          <w:w w:val="110"/>
          <w:szCs w:val="22"/>
        </w:rPr>
        <w:t xml:space="preserve"> </w:t>
      </w:r>
      <w:r w:rsidRPr="00DD7BD1">
        <w:rPr>
          <w:rFonts w:cs="Calibri"/>
          <w:color w:val="auto"/>
          <w:w w:val="110"/>
          <w:szCs w:val="22"/>
        </w:rPr>
        <w:t>(DFML)</w:t>
      </w:r>
      <w:r w:rsidRPr="00DD7BD1">
        <w:rPr>
          <w:rFonts w:cs="Calibri"/>
          <w:color w:val="auto"/>
          <w:spacing w:val="-4"/>
          <w:w w:val="110"/>
          <w:szCs w:val="22"/>
        </w:rPr>
        <w:t xml:space="preserve"> </w:t>
      </w:r>
      <w:r w:rsidRPr="00DD7BD1">
        <w:rPr>
          <w:rFonts w:cs="Calibri"/>
          <w:color w:val="auto"/>
          <w:w w:val="110"/>
          <w:szCs w:val="22"/>
        </w:rPr>
        <w:t>on</w:t>
      </w:r>
      <w:r w:rsidRPr="00DD7BD1">
        <w:rPr>
          <w:rFonts w:cs="Calibri"/>
          <w:color w:val="auto"/>
          <w:spacing w:val="-2"/>
          <w:w w:val="110"/>
          <w:szCs w:val="22"/>
        </w:rPr>
        <w:t xml:space="preserve"> </w:t>
      </w:r>
      <w:r w:rsidRPr="00DD7BD1">
        <w:rPr>
          <w:rFonts w:cs="Calibri"/>
          <w:color w:val="auto"/>
          <w:w w:val="110"/>
          <w:szCs w:val="22"/>
        </w:rPr>
        <w:t>request.</w:t>
      </w:r>
    </w:p>
    <w:p w14:paraId="5796D9E0" w14:textId="77777777" w:rsidR="003A22A9" w:rsidRPr="00DD7BD1" w:rsidRDefault="003A22A9" w:rsidP="003A22A9">
      <w:pPr>
        <w:pStyle w:val="BodyText"/>
        <w:spacing w:after="0" w:line="240" w:lineRule="auto"/>
        <w:ind w:right="-187"/>
        <w:rPr>
          <w:rFonts w:cs="Calibri"/>
          <w:szCs w:val="22"/>
        </w:rPr>
      </w:pPr>
    </w:p>
    <w:p w14:paraId="5131471B" w14:textId="77777777" w:rsidR="003A22A9" w:rsidRPr="00DD7BD1" w:rsidRDefault="003A22A9" w:rsidP="003A22A9">
      <w:pPr>
        <w:spacing w:after="0" w:line="240" w:lineRule="auto"/>
        <w:ind w:right="-187"/>
        <w:jc w:val="both"/>
        <w:rPr>
          <w:rFonts w:ascii="Calibri" w:hAnsi="Calibri" w:cs="Calibri"/>
        </w:rPr>
      </w:pPr>
      <w:r w:rsidRPr="00DD7BD1">
        <w:rPr>
          <w:rFonts w:ascii="Calibri" w:hAnsi="Calibri" w:cs="Calibri"/>
          <w:w w:val="105"/>
        </w:rPr>
        <w:t>Employers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are</w:t>
      </w:r>
      <w:r w:rsidRPr="00DD7BD1">
        <w:rPr>
          <w:rFonts w:ascii="Calibri" w:hAnsi="Calibri" w:cs="Calibri"/>
          <w:spacing w:val="40"/>
          <w:w w:val="105"/>
        </w:rPr>
        <w:t xml:space="preserve"> </w:t>
      </w:r>
      <w:r w:rsidRPr="00DD7BD1">
        <w:rPr>
          <w:rFonts w:ascii="Calibri" w:hAnsi="Calibri" w:cs="Calibri"/>
          <w:color w:val="C00000"/>
          <w:w w:val="105"/>
          <w:u w:val="single" w:color="C00000"/>
        </w:rPr>
        <w:t>self-insured</w:t>
      </w:r>
      <w:r w:rsidRPr="00DD7BD1">
        <w:rPr>
          <w:rFonts w:ascii="Calibri" w:hAnsi="Calibri" w:cs="Calibri"/>
          <w:w w:val="105"/>
        </w:rPr>
        <w:t>,</w:t>
      </w:r>
      <w:r w:rsidRPr="00DD7BD1">
        <w:rPr>
          <w:rFonts w:ascii="Calibri" w:hAnsi="Calibri" w:cs="Calibri"/>
          <w:spacing w:val="40"/>
          <w:w w:val="105"/>
        </w:rPr>
        <w:t xml:space="preserve"> </w:t>
      </w:r>
      <w:r w:rsidRPr="00DD7BD1">
        <w:rPr>
          <w:rFonts w:ascii="Calibri" w:hAnsi="Calibri" w:cs="Calibri"/>
          <w:w w:val="105"/>
        </w:rPr>
        <w:t>third</w:t>
      </w:r>
      <w:r w:rsidRPr="00DD7BD1">
        <w:rPr>
          <w:rFonts w:ascii="Calibri" w:hAnsi="Calibri" w:cs="Calibri"/>
          <w:spacing w:val="40"/>
          <w:w w:val="105"/>
        </w:rPr>
        <w:t xml:space="preserve"> </w:t>
      </w:r>
      <w:r w:rsidRPr="00DD7BD1">
        <w:rPr>
          <w:rFonts w:ascii="Calibri" w:hAnsi="Calibri" w:cs="Calibri"/>
          <w:w w:val="105"/>
        </w:rPr>
        <w:t>parties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administer</w:t>
      </w:r>
      <w:r w:rsidRPr="00DD7BD1">
        <w:rPr>
          <w:rFonts w:ascii="Calibri" w:hAnsi="Calibri" w:cs="Calibri"/>
          <w:spacing w:val="40"/>
          <w:w w:val="105"/>
        </w:rPr>
        <w:t xml:space="preserve"> </w:t>
      </w:r>
      <w:r w:rsidRPr="00DD7BD1">
        <w:rPr>
          <w:rFonts w:ascii="Calibri" w:hAnsi="Calibri" w:cs="Calibri"/>
          <w:w w:val="105"/>
        </w:rPr>
        <w:t>private</w:t>
      </w:r>
      <w:r w:rsidRPr="00DD7BD1">
        <w:rPr>
          <w:rFonts w:ascii="Calibri" w:hAnsi="Calibri" w:cs="Calibri"/>
          <w:spacing w:val="40"/>
          <w:w w:val="105"/>
        </w:rPr>
        <w:t xml:space="preserve"> </w:t>
      </w:r>
      <w:r w:rsidRPr="00DD7BD1">
        <w:rPr>
          <w:rFonts w:ascii="Calibri" w:hAnsi="Calibri" w:cs="Calibri"/>
          <w:w w:val="105"/>
        </w:rPr>
        <w:t>plans,</w:t>
      </w:r>
      <w:r w:rsidRPr="00DD7BD1">
        <w:rPr>
          <w:rFonts w:ascii="Calibri" w:hAnsi="Calibri" w:cs="Calibri"/>
          <w:spacing w:val="40"/>
          <w:w w:val="105"/>
        </w:rPr>
        <w:t xml:space="preserve"> </w:t>
      </w:r>
      <w:r w:rsidRPr="00DD7BD1">
        <w:rPr>
          <w:rFonts w:ascii="Calibri" w:hAnsi="Calibri" w:cs="Calibri"/>
          <w:w w:val="105"/>
        </w:rPr>
        <w:t>and</w:t>
      </w:r>
      <w:r w:rsidRPr="00DD7BD1">
        <w:rPr>
          <w:rFonts w:ascii="Calibri" w:hAnsi="Calibri" w:cs="Calibri"/>
          <w:spacing w:val="40"/>
          <w:w w:val="105"/>
        </w:rPr>
        <w:t xml:space="preserve"> </w:t>
      </w:r>
      <w:r w:rsidRPr="00DD7BD1">
        <w:rPr>
          <w:rFonts w:ascii="Calibri" w:hAnsi="Calibri" w:cs="Calibri"/>
          <w:color w:val="C00000"/>
          <w:w w:val="105"/>
        </w:rPr>
        <w:t>private</w:t>
      </w:r>
      <w:r w:rsidRPr="00DD7BD1">
        <w:rPr>
          <w:rFonts w:ascii="Calibri" w:hAnsi="Calibri" w:cs="Calibri"/>
          <w:color w:val="C00000"/>
          <w:spacing w:val="40"/>
          <w:w w:val="105"/>
        </w:rPr>
        <w:t xml:space="preserve"> </w:t>
      </w:r>
      <w:r w:rsidRPr="00DD7BD1">
        <w:rPr>
          <w:rFonts w:ascii="Calibri" w:hAnsi="Calibri" w:cs="Calibri"/>
          <w:color w:val="C00000"/>
          <w:w w:val="105"/>
        </w:rPr>
        <w:t>plan</w:t>
      </w:r>
      <w:r w:rsidRPr="00DD7BD1">
        <w:rPr>
          <w:rFonts w:ascii="Calibri" w:hAnsi="Calibri" w:cs="Calibri"/>
          <w:color w:val="C00000"/>
          <w:spacing w:val="40"/>
          <w:w w:val="105"/>
        </w:rPr>
        <w:t xml:space="preserve"> </w:t>
      </w:r>
      <w:r w:rsidRPr="00DD7BD1">
        <w:rPr>
          <w:rFonts w:ascii="Calibri" w:hAnsi="Calibri" w:cs="Calibri"/>
          <w:color w:val="C00000"/>
          <w:w w:val="105"/>
        </w:rPr>
        <w:t>insurance</w:t>
      </w:r>
      <w:r w:rsidRPr="00DD7BD1">
        <w:rPr>
          <w:rFonts w:ascii="Calibri" w:hAnsi="Calibri" w:cs="Calibri"/>
          <w:color w:val="C00000"/>
          <w:spacing w:val="40"/>
          <w:w w:val="105"/>
        </w:rPr>
        <w:t xml:space="preserve"> </w:t>
      </w:r>
      <w:r w:rsidRPr="00DD7BD1">
        <w:rPr>
          <w:rFonts w:ascii="Calibri" w:hAnsi="Calibri" w:cs="Calibri"/>
          <w:color w:val="C00000"/>
          <w:w w:val="105"/>
        </w:rPr>
        <w:t xml:space="preserve">carriers </w:t>
      </w:r>
      <w:r w:rsidRPr="00DD7BD1">
        <w:rPr>
          <w:rFonts w:ascii="Calibri" w:hAnsi="Calibri" w:cs="Calibri"/>
        </w:rPr>
        <w:t>should</w:t>
      </w:r>
      <w:r w:rsidRPr="00DD7BD1">
        <w:rPr>
          <w:rFonts w:ascii="Calibri" w:hAnsi="Calibri" w:cs="Calibri"/>
          <w:spacing w:val="-12"/>
        </w:rPr>
        <w:t xml:space="preserve"> </w:t>
      </w:r>
      <w:r w:rsidRPr="00DD7BD1">
        <w:rPr>
          <w:rFonts w:ascii="Calibri" w:hAnsi="Calibri" w:cs="Calibri"/>
        </w:rPr>
        <w:t>be</w:t>
      </w:r>
      <w:r w:rsidRPr="00DD7BD1">
        <w:rPr>
          <w:rFonts w:ascii="Calibri" w:hAnsi="Calibri" w:cs="Calibri"/>
          <w:spacing w:val="-9"/>
        </w:rPr>
        <w:t xml:space="preserve"> </w:t>
      </w:r>
      <w:r w:rsidRPr="00DD7BD1">
        <w:rPr>
          <w:rFonts w:ascii="Calibri" w:hAnsi="Calibri" w:cs="Calibri"/>
        </w:rPr>
        <w:t>prepared</w:t>
      </w:r>
      <w:r w:rsidRPr="00DD7BD1">
        <w:rPr>
          <w:rFonts w:ascii="Calibri" w:hAnsi="Calibri" w:cs="Calibri"/>
          <w:spacing w:val="-9"/>
        </w:rPr>
        <w:t xml:space="preserve"> </w:t>
      </w:r>
      <w:r w:rsidRPr="00DD7BD1">
        <w:rPr>
          <w:rFonts w:ascii="Calibri" w:hAnsi="Calibri" w:cs="Calibri"/>
        </w:rPr>
        <w:t>to</w:t>
      </w:r>
      <w:r w:rsidRPr="00DD7BD1">
        <w:rPr>
          <w:rFonts w:ascii="Calibri" w:hAnsi="Calibri" w:cs="Calibri"/>
          <w:spacing w:val="-6"/>
        </w:rPr>
        <w:t xml:space="preserve"> </w:t>
      </w:r>
      <w:r w:rsidRPr="00DD7BD1">
        <w:rPr>
          <w:rFonts w:ascii="Calibri" w:hAnsi="Calibri" w:cs="Calibri"/>
          <w:b/>
        </w:rPr>
        <w:t>submit</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required</w:t>
      </w:r>
      <w:r w:rsidRPr="00DD7BD1">
        <w:rPr>
          <w:rFonts w:ascii="Calibri" w:hAnsi="Calibri" w:cs="Calibri"/>
          <w:b/>
          <w:spacing w:val="-11"/>
        </w:rPr>
        <w:t xml:space="preserve"> </w:t>
      </w:r>
      <w:r w:rsidRPr="00DD7BD1">
        <w:rPr>
          <w:rFonts w:ascii="Calibri" w:hAnsi="Calibri" w:cs="Calibri"/>
          <w:b/>
        </w:rPr>
        <w:t>private</w:t>
      </w:r>
      <w:r w:rsidRPr="00DD7BD1">
        <w:rPr>
          <w:rFonts w:ascii="Calibri" w:hAnsi="Calibri" w:cs="Calibri"/>
          <w:b/>
          <w:spacing w:val="-11"/>
        </w:rPr>
        <w:t xml:space="preserve"> </w:t>
      </w:r>
      <w:r w:rsidRPr="00DD7BD1">
        <w:rPr>
          <w:rFonts w:ascii="Calibri" w:hAnsi="Calibri" w:cs="Calibri"/>
          <w:b/>
        </w:rPr>
        <w:t>plan</w:t>
      </w:r>
      <w:r w:rsidRPr="00DD7BD1">
        <w:rPr>
          <w:rFonts w:ascii="Calibri" w:hAnsi="Calibri" w:cs="Calibri"/>
          <w:b/>
          <w:spacing w:val="-11"/>
        </w:rPr>
        <w:t xml:space="preserve"> </w:t>
      </w:r>
      <w:r w:rsidRPr="00DD7BD1">
        <w:rPr>
          <w:rFonts w:ascii="Calibri" w:hAnsi="Calibri" w:cs="Calibri"/>
          <w:b/>
        </w:rPr>
        <w:t>data</w:t>
      </w:r>
      <w:r w:rsidRPr="00DD7BD1">
        <w:rPr>
          <w:rFonts w:ascii="Calibri" w:hAnsi="Calibri" w:cs="Calibri"/>
          <w:b/>
          <w:spacing w:val="-11"/>
        </w:rPr>
        <w:t xml:space="preserve"> </w:t>
      </w:r>
      <w:r w:rsidRPr="00DD7BD1">
        <w:rPr>
          <w:rFonts w:ascii="Calibri" w:hAnsi="Calibri" w:cs="Calibri"/>
          <w:b/>
        </w:rPr>
        <w:t>to</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Department</w:t>
      </w:r>
      <w:r w:rsidRPr="00DD7BD1">
        <w:rPr>
          <w:rFonts w:ascii="Calibri" w:hAnsi="Calibri" w:cs="Calibri"/>
          <w:b/>
          <w:spacing w:val="-10"/>
        </w:rPr>
        <w:t xml:space="preserve"> </w:t>
      </w:r>
      <w:r w:rsidRPr="00DD7BD1">
        <w:rPr>
          <w:rFonts w:ascii="Calibri" w:hAnsi="Calibri" w:cs="Calibri"/>
          <w:b/>
        </w:rPr>
        <w:t>by</w:t>
      </w:r>
      <w:r w:rsidRPr="00DD7BD1">
        <w:rPr>
          <w:rFonts w:ascii="Calibri" w:hAnsi="Calibri" w:cs="Calibri"/>
          <w:b/>
          <w:spacing w:val="-7"/>
        </w:rPr>
        <w:t xml:space="preserve"> </w:t>
      </w:r>
      <w:r w:rsidRPr="00DD7BD1">
        <w:rPr>
          <w:rFonts w:ascii="Calibri" w:hAnsi="Calibri" w:cs="Calibri"/>
          <w:b/>
          <w:u w:val="single"/>
        </w:rPr>
        <w:t>August</w:t>
      </w:r>
      <w:r w:rsidRPr="00DD7BD1">
        <w:rPr>
          <w:rFonts w:ascii="Calibri" w:hAnsi="Calibri" w:cs="Calibri"/>
          <w:b/>
          <w:spacing w:val="-10"/>
          <w:u w:val="single"/>
        </w:rPr>
        <w:t xml:space="preserve"> </w:t>
      </w:r>
      <w:r w:rsidRPr="00DD7BD1">
        <w:rPr>
          <w:rFonts w:ascii="Calibri" w:hAnsi="Calibri" w:cs="Calibri"/>
          <w:b/>
          <w:u w:val="single"/>
        </w:rPr>
        <w:t>31,</w:t>
      </w:r>
      <w:r w:rsidRPr="00DD7BD1">
        <w:rPr>
          <w:rFonts w:ascii="Calibri" w:hAnsi="Calibri" w:cs="Calibri"/>
          <w:b/>
          <w:spacing w:val="-11"/>
          <w:u w:val="single"/>
        </w:rPr>
        <w:t xml:space="preserve"> </w:t>
      </w:r>
      <w:r w:rsidRPr="00DD7BD1">
        <w:rPr>
          <w:rFonts w:ascii="Calibri" w:hAnsi="Calibri" w:cs="Calibri"/>
          <w:b/>
          <w:u w:val="single"/>
        </w:rPr>
        <w:t>2025</w:t>
      </w:r>
      <w:r w:rsidRPr="00DD7BD1">
        <w:rPr>
          <w:rFonts w:ascii="Calibri" w:hAnsi="Calibri" w:cs="Calibri"/>
        </w:rPr>
        <w:t>.</w:t>
      </w:r>
    </w:p>
    <w:p w14:paraId="6A81C3C1"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enlist</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benefits</w:t>
      </w:r>
      <w:r w:rsidRPr="00DD7BD1">
        <w:rPr>
          <w:rFonts w:cs="Calibri"/>
          <w:color w:val="auto"/>
          <w:spacing w:val="-10"/>
          <w:w w:val="110"/>
          <w:szCs w:val="22"/>
        </w:rPr>
        <w:t xml:space="preserve"> </w:t>
      </w:r>
      <w:r w:rsidRPr="00DD7BD1">
        <w:rPr>
          <w:rFonts w:cs="Calibri"/>
          <w:color w:val="auto"/>
          <w:w w:val="110"/>
          <w:szCs w:val="22"/>
        </w:rPr>
        <w:t>broker</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assist</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determining</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types</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proofErr w:type="gramStart"/>
      <w:r w:rsidRPr="00DD7BD1">
        <w:rPr>
          <w:rFonts w:cs="Calibri"/>
          <w:color w:val="auto"/>
          <w:w w:val="110"/>
          <w:szCs w:val="22"/>
        </w:rPr>
        <w:t>plan</w:t>
      </w:r>
      <w:proofErr w:type="gramEnd"/>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reporting obligation is applicable.</w:t>
      </w:r>
    </w:p>
    <w:p w14:paraId="51CF1700" w14:textId="77777777" w:rsidR="003A22A9" w:rsidRPr="00DD7BD1" w:rsidRDefault="003A22A9" w:rsidP="003A22A9">
      <w:pPr>
        <w:spacing w:after="0" w:line="240" w:lineRule="auto"/>
        <w:rPr>
          <w:rFonts w:ascii="Calibri" w:hAnsi="Calibri" w:cs="Calibri"/>
          <w:b/>
          <w:bCs/>
          <w:shd w:val="clear" w:color="auto" w:fill="FFFFFF"/>
          <w:lang w:val="en"/>
        </w:rPr>
      </w:pPr>
    </w:p>
    <w:p w14:paraId="153CDC64" w14:textId="6FD4CD26" w:rsidR="001D4173" w:rsidRPr="00DD7BD1" w:rsidRDefault="001D4173" w:rsidP="001D417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MA Paid Family &amp; Medical Leave Updates from the Department - </w:t>
      </w:r>
      <w:r w:rsidRPr="00DD7BD1">
        <w:rPr>
          <w:rFonts w:ascii="Calibri" w:hAnsi="Calibri" w:cs="Calibri"/>
          <w:b/>
          <w:bCs/>
          <w:color w:val="C00000"/>
          <w:sz w:val="28"/>
          <w:szCs w:val="28"/>
          <w:shd w:val="clear" w:color="auto" w:fill="FFFFFF"/>
          <w:lang w:val="en"/>
        </w:rPr>
        <w:t>Eff August 31, 2025</w:t>
      </w:r>
    </w:p>
    <w:bookmarkEnd w:id="102"/>
    <w:p w14:paraId="5ADF98F5"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DD7BD1" w:rsidRDefault="001D4173" w:rsidP="001D4173">
      <w:pPr>
        <w:spacing w:after="0" w:line="240" w:lineRule="auto"/>
        <w:jc w:val="both"/>
        <w:rPr>
          <w:rFonts w:ascii="Calibri" w:hAnsi="Calibri" w:cs="Calibri"/>
          <w:sz w:val="16"/>
          <w:szCs w:val="16"/>
          <w:shd w:val="clear" w:color="auto" w:fill="FFFFFF"/>
        </w:rPr>
      </w:pPr>
    </w:p>
    <w:p w14:paraId="2BAB3FC6"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Employer Portal Updates</w:t>
      </w:r>
    </w:p>
    <w:p w14:paraId="63BA4EEB"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DD7BD1" w:rsidRDefault="001D4173" w:rsidP="001D4173">
      <w:pPr>
        <w:spacing w:after="0" w:line="240" w:lineRule="auto"/>
        <w:jc w:val="both"/>
        <w:rPr>
          <w:rFonts w:ascii="Calibri" w:hAnsi="Calibri" w:cs="Calibri"/>
          <w:b/>
          <w:bCs/>
          <w:sz w:val="16"/>
          <w:szCs w:val="16"/>
          <w:shd w:val="clear" w:color="auto" w:fill="FFFFFF"/>
        </w:rPr>
      </w:pPr>
    </w:p>
    <w:p w14:paraId="29A08C46" w14:textId="77777777" w:rsidR="001D4173" w:rsidRPr="00DD7BD1" w:rsidRDefault="001D4173" w:rsidP="001D417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 Private Plan Employer Reporting Deadline</w:t>
      </w:r>
    </w:p>
    <w:p w14:paraId="0F32197F"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that meet their Paid Family and Medical Leave (PFML) law obligations through an </w:t>
      </w:r>
      <w:r w:rsidRPr="00DD7BD1">
        <w:rPr>
          <w:rFonts w:ascii="Calibri" w:hAnsi="Calibri" w:cs="Calibri"/>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DD7BD1">
        <w:rPr>
          <w:rFonts w:ascii="Calibri" w:hAnsi="Calibri" w:cs="Calibri"/>
          <w:shd w:val="clear" w:color="auto" w:fill="FFFFFF"/>
        </w:rPr>
        <w:t>.</w:t>
      </w:r>
    </w:p>
    <w:p w14:paraId="1008DC3B" w14:textId="77777777" w:rsidR="001D4173" w:rsidRPr="00DD7BD1" w:rsidRDefault="001D4173" w:rsidP="001D4173">
      <w:pPr>
        <w:spacing w:after="0" w:line="240" w:lineRule="auto"/>
        <w:jc w:val="both"/>
        <w:rPr>
          <w:rFonts w:ascii="Calibri" w:hAnsi="Calibri" w:cs="Calibri"/>
          <w:shd w:val="clear" w:color="auto" w:fill="FFFFFF"/>
        </w:rPr>
      </w:pPr>
    </w:p>
    <w:p w14:paraId="3EF574A9"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who are </w:t>
      </w:r>
      <w:r w:rsidRPr="00DD7BD1">
        <w:rPr>
          <w:rFonts w:ascii="Calibri" w:hAnsi="Calibri" w:cs="Calibri"/>
          <w:color w:val="C00000"/>
          <w:u w:val="single"/>
          <w:shd w:val="clear" w:color="auto" w:fill="FFFFFF"/>
        </w:rPr>
        <w:t>self-insured</w:t>
      </w:r>
      <w:r w:rsidRPr="00DD7BD1">
        <w:rPr>
          <w:rFonts w:ascii="Calibri" w:hAnsi="Calibri" w:cs="Calibri"/>
          <w:shd w:val="clear" w:color="auto" w:fill="FFFFFF"/>
        </w:rPr>
        <w:t>, third parties who administer private plans, and private plan insurance carriers should be prepared to submit the required private plan data to the Department by </w:t>
      </w:r>
      <w:r w:rsidRPr="00DD7BD1">
        <w:rPr>
          <w:rFonts w:ascii="Calibri" w:hAnsi="Calibri" w:cs="Calibri"/>
          <w:u w:val="single"/>
          <w:shd w:val="clear" w:color="auto" w:fill="FFFFFF"/>
        </w:rPr>
        <w:t>August 31, 2025</w:t>
      </w:r>
      <w:r w:rsidRPr="00DD7BD1">
        <w:rPr>
          <w:rFonts w:ascii="Calibri" w:hAnsi="Calibri" w:cs="Calibri"/>
          <w:shd w:val="clear" w:color="auto" w:fill="FFFFFF"/>
        </w:rPr>
        <w:t>. The Reporting Templates for 2025 are available on the Department website at the </w:t>
      </w:r>
      <w:hyperlink r:id="rId833" w:anchor="general-information" w:tgtFrame="_blank" w:history="1">
        <w:r w:rsidRPr="00DD7BD1">
          <w:rPr>
            <w:rStyle w:val="Hyperlink"/>
            <w:rFonts w:ascii="Calibri" w:hAnsi="Calibri" w:cs="Calibri"/>
            <w:shd w:val="clear" w:color="auto" w:fill="FFFFFF"/>
          </w:rPr>
          <w:t>Employer Private Plan Reporting Obligations</w:t>
        </w:r>
      </w:hyperlink>
      <w:r w:rsidRPr="00DD7BD1">
        <w:rPr>
          <w:rFonts w:ascii="Calibri" w:hAnsi="Calibri" w:cs="Calibri"/>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Pr="00DD7BD1" w:rsidRDefault="001D4173" w:rsidP="001D4173">
      <w:pPr>
        <w:spacing w:after="0" w:line="240" w:lineRule="auto"/>
        <w:jc w:val="both"/>
        <w:rPr>
          <w:rFonts w:ascii="Calibri" w:hAnsi="Calibri" w:cs="Calibri"/>
          <w:shd w:val="clear" w:color="auto" w:fill="FFFFFF"/>
        </w:rPr>
      </w:pPr>
    </w:p>
    <w:p w14:paraId="55EF8618"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should enlist their benefits broker to assist in determining their types of </w:t>
      </w:r>
      <w:proofErr w:type="gramStart"/>
      <w:r w:rsidRPr="00DD7BD1">
        <w:rPr>
          <w:rFonts w:ascii="Calibri" w:hAnsi="Calibri" w:cs="Calibri"/>
          <w:shd w:val="clear" w:color="auto" w:fill="FFFFFF"/>
        </w:rPr>
        <w:t>plan</w:t>
      </w:r>
      <w:proofErr w:type="gramEnd"/>
      <w:r w:rsidRPr="00DD7BD1">
        <w:rPr>
          <w:rFonts w:ascii="Calibri" w:hAnsi="Calibri" w:cs="Calibri"/>
          <w:shd w:val="clear" w:color="auto" w:fill="FFFFFF"/>
        </w:rPr>
        <w:t xml:space="preserve"> and whether the reporting obligation is applicable.</w:t>
      </w:r>
    </w:p>
    <w:bookmarkEnd w:id="103"/>
    <w:p w14:paraId="43D31E44" w14:textId="77777777" w:rsidR="001D4173" w:rsidRPr="00DD7BD1" w:rsidRDefault="001D4173" w:rsidP="00BD445F">
      <w:pPr>
        <w:spacing w:after="0" w:line="240" w:lineRule="auto"/>
        <w:jc w:val="center"/>
        <w:rPr>
          <w:rFonts w:ascii="Calibri" w:hAnsi="Calibri" w:cs="Calibri"/>
          <w:b/>
          <w:bCs/>
          <w:shd w:val="clear" w:color="auto" w:fill="FFFFFF"/>
          <w:lang w:val="en"/>
        </w:rPr>
      </w:pPr>
    </w:p>
    <w:p w14:paraId="5850F342" w14:textId="2F67FFF5" w:rsidR="00BD445F" w:rsidRPr="00DD7BD1" w:rsidRDefault="00BD445F" w:rsidP="009962E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Pay Transparency Employer Obligations – </w:t>
      </w:r>
      <w:r w:rsidR="00402F96" w:rsidRPr="00DD7BD1">
        <w:rPr>
          <w:rFonts w:ascii="Calibri" w:hAnsi="Calibri" w:cs="Calibri"/>
          <w:b/>
          <w:bCs/>
          <w:color w:val="C00000"/>
          <w:sz w:val="28"/>
          <w:szCs w:val="28"/>
          <w:shd w:val="clear" w:color="auto" w:fill="FFFFFF"/>
          <w:lang w:val="en"/>
        </w:rPr>
        <w:t>Eff July 31 &amp; Oct 29, 2025</w:t>
      </w:r>
    </w:p>
    <w:p w14:paraId="5ECAD7A9" w14:textId="72ACD122" w:rsidR="00784E6F" w:rsidRPr="00DD7BD1" w:rsidRDefault="00BD445F" w:rsidP="009962E5">
      <w:pPr>
        <w:spacing w:after="0" w:line="240" w:lineRule="auto"/>
        <w:rPr>
          <w:rFonts w:ascii="Calibri" w:hAnsi="Calibri" w:cs="Calibri"/>
        </w:rPr>
      </w:pPr>
      <w:r w:rsidRPr="00DD7BD1">
        <w:rPr>
          <w:rFonts w:ascii="Calibri" w:hAnsi="Calibri" w:cs="Calibri"/>
        </w:rPr>
        <w:t>Governor Healey signed  salary range transparency legislation that imposes new salary disclosure requirements on Massachusetts employers last summer.</w:t>
      </w:r>
    </w:p>
    <w:p w14:paraId="41D08134" w14:textId="77777777" w:rsidR="009962E5" w:rsidRPr="00DD7BD1" w:rsidRDefault="009962E5" w:rsidP="009962E5">
      <w:pPr>
        <w:spacing w:after="0" w:line="240" w:lineRule="auto"/>
        <w:rPr>
          <w:rFonts w:ascii="Calibri" w:hAnsi="Calibri" w:cs="Calibri"/>
        </w:rPr>
      </w:pPr>
    </w:p>
    <w:p w14:paraId="17E47F25" w14:textId="3697209C" w:rsidR="00784E6F" w:rsidRPr="00DD7BD1" w:rsidRDefault="00784E6F" w:rsidP="009962E5">
      <w:pPr>
        <w:spacing w:after="0" w:line="240" w:lineRule="auto"/>
        <w:rPr>
          <w:rFonts w:ascii="Calibri" w:hAnsi="Calibri" w:cs="Calibri"/>
        </w:rPr>
      </w:pPr>
      <w:r w:rsidRPr="00DD7BD1">
        <w:rPr>
          <w:rFonts w:ascii="Calibri" w:hAnsi="Calibri" w:cs="Calibri"/>
        </w:rPr>
        <w:t xml:space="preserve">Beginning </w:t>
      </w:r>
      <w:r w:rsidRPr="00DD7BD1">
        <w:rPr>
          <w:rFonts w:ascii="Calibri" w:hAnsi="Calibri" w:cs="Calibri"/>
          <w:color w:val="C00000"/>
        </w:rPr>
        <w:t>October 29, 2025</w:t>
      </w:r>
      <w:r w:rsidRPr="00DD7BD1">
        <w:rPr>
          <w:rFonts w:ascii="Calibri" w:hAnsi="Calibri" w:cs="Calibri"/>
        </w:rPr>
        <w:t>, the “</w:t>
      </w:r>
      <w:hyperlink r:id="rId834" w:tgtFrame="_blank" w:history="1">
        <w:r w:rsidRPr="00DD7BD1">
          <w:rPr>
            <w:rStyle w:val="Hyperlink"/>
            <w:rFonts w:ascii="Calibri" w:hAnsi="Calibri" w:cs="Calibri"/>
          </w:rPr>
          <w:t>Massachusetts Act Relative to Salary Range Transparency</w:t>
        </w:r>
      </w:hyperlink>
      <w:r w:rsidRPr="00DD7BD1">
        <w:rPr>
          <w:rFonts w:ascii="Calibri" w:hAnsi="Calibri" w:cs="Calibri"/>
        </w:rPr>
        <w:t xml:space="preserve">” requires employers with </w:t>
      </w:r>
      <w:r w:rsidRPr="00DD7BD1">
        <w:rPr>
          <w:rFonts w:ascii="Calibri" w:hAnsi="Calibri" w:cs="Calibri"/>
          <w:u w:val="single"/>
        </w:rPr>
        <w:t>25 or more employees in Massachusetts</w:t>
      </w:r>
      <w:r w:rsidRPr="00DD7BD1">
        <w:rPr>
          <w:rFonts w:ascii="Calibri" w:hAnsi="Calibri" w:cs="Calibri"/>
        </w:rPr>
        <w:t xml:space="preserve"> to </w:t>
      </w:r>
    </w:p>
    <w:p w14:paraId="33EE794C"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(1) disclose the </w:t>
      </w:r>
      <w:r w:rsidRPr="00DD7BD1">
        <w:rPr>
          <w:rFonts w:ascii="Calibri" w:hAnsi="Calibri" w:cs="Calibri"/>
          <w:b/>
          <w:bCs/>
        </w:rPr>
        <w:t>pay range</w:t>
      </w:r>
      <w:r w:rsidRPr="00DD7BD1">
        <w:rPr>
          <w:rFonts w:ascii="Calibri" w:hAnsi="Calibri" w:cs="Calibri"/>
        </w:rPr>
        <w:t xml:space="preserve"> for a “particular and specific employment position” in the job posting, and </w:t>
      </w:r>
    </w:p>
    <w:p w14:paraId="5EB01DB1" w14:textId="77777777" w:rsidR="00784E6F" w:rsidRPr="00DD7BD1" w:rsidRDefault="00784E6F" w:rsidP="009962E5">
      <w:pPr>
        <w:spacing w:after="0" w:line="240" w:lineRule="auto"/>
        <w:rPr>
          <w:rFonts w:ascii="Calibri" w:hAnsi="Calibri" w:cs="Calibri"/>
        </w:rPr>
      </w:pPr>
      <w:r w:rsidRPr="00DD7BD1">
        <w:rPr>
          <w:rFonts w:ascii="Calibri" w:hAnsi="Calibri" w:cs="Calibri"/>
        </w:rPr>
        <w:t>(2) provide the pay range for a “particular and specific employment position” to an employee who is offered a promotion or transfer to such position, and</w:t>
      </w:r>
    </w:p>
    <w:p w14:paraId="256FFB46"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 (3) upon request, provide the </w:t>
      </w:r>
      <w:r w:rsidRPr="00DD7BD1">
        <w:rPr>
          <w:rFonts w:ascii="Calibri" w:hAnsi="Calibri" w:cs="Calibri"/>
          <w:b/>
          <w:bCs/>
        </w:rPr>
        <w:t>pay range</w:t>
      </w:r>
      <w:r w:rsidRPr="00DD7BD1">
        <w:rPr>
          <w:rFonts w:ascii="Calibri" w:hAnsi="Calibri" w:cs="Calibri"/>
        </w:rPr>
        <w:t xml:space="preserve"> for a “particular and specific employment position” to an employee holding that position or an applicant for the position.</w:t>
      </w:r>
    </w:p>
    <w:p w14:paraId="432ACF4F"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legislation also requires private employers with </w:t>
      </w:r>
      <w:r w:rsidRPr="00DD7BD1">
        <w:rPr>
          <w:rFonts w:ascii="Calibri" w:hAnsi="Calibri" w:cs="Calibri"/>
          <w:u w:val="single"/>
        </w:rPr>
        <w:t>100 or more Massachusetts employees</w:t>
      </w:r>
      <w:r w:rsidRPr="00DD7BD1">
        <w:rPr>
          <w:rFonts w:ascii="Calibri" w:hAnsi="Calibri" w:cs="Calibri"/>
        </w:rPr>
        <w:t xml:space="preserve"> to </w:t>
      </w:r>
      <w:r w:rsidRPr="00DD7BD1">
        <w:rPr>
          <w:rFonts w:ascii="Calibri" w:hAnsi="Calibri" w:cs="Calibri"/>
          <w:u w:val="single"/>
        </w:rPr>
        <w:t>submit EEO and pay data to the Commonwealth annually</w:t>
      </w:r>
      <w:r w:rsidRPr="00DD7BD1">
        <w:rPr>
          <w:rFonts w:ascii="Calibri" w:hAnsi="Calibri" w:cs="Calibri"/>
        </w:rPr>
        <w:t xml:space="preserve">, </w:t>
      </w:r>
      <w:r w:rsidRPr="00DD7BD1">
        <w:rPr>
          <w:rFonts w:ascii="Calibri" w:hAnsi="Calibri" w:cs="Calibri"/>
          <w:color w:val="C00000"/>
        </w:rPr>
        <w:t xml:space="preserve">February 1, for </w:t>
      </w:r>
      <w:r w:rsidRPr="00DD7BD1">
        <w:rPr>
          <w:rFonts w:ascii="Calibri" w:hAnsi="Calibri" w:cs="Calibri"/>
        </w:rPr>
        <w:t>purposes of aggregated public reporting by the Massachusetts Department of Labor. </w:t>
      </w:r>
    </w:p>
    <w:p w14:paraId="3EB61CE2" w14:textId="77777777" w:rsidR="00784E6F" w:rsidRPr="00DD7BD1" w:rsidRDefault="00784E6F" w:rsidP="009962E5">
      <w:pPr>
        <w:spacing w:after="0" w:line="240" w:lineRule="auto"/>
        <w:rPr>
          <w:rFonts w:ascii="Calibri" w:hAnsi="Calibri" w:cs="Calibri"/>
        </w:rPr>
      </w:pPr>
    </w:p>
    <w:p w14:paraId="5C5FD201"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Employers must submit their first round of EEO and pay data to the Commonwealth by </w:t>
      </w:r>
      <w:r w:rsidRPr="00DD7BD1">
        <w:rPr>
          <w:rFonts w:ascii="Calibri" w:hAnsi="Calibri" w:cs="Calibri"/>
          <w:color w:val="C00000"/>
        </w:rPr>
        <w:t xml:space="preserve">February 3, 2025. </w:t>
      </w:r>
      <w:r w:rsidRPr="00DD7BD1">
        <w:rPr>
          <w:rFonts w:ascii="Calibri" w:hAnsi="Calibri" w:cs="Calibri"/>
        </w:rPr>
        <w:t>(Feb 1 falls on a Saturday)</w:t>
      </w:r>
    </w:p>
    <w:p w14:paraId="63085511" w14:textId="77777777" w:rsidR="00BD445F" w:rsidRPr="00DD7BD1" w:rsidRDefault="00BD445F" w:rsidP="009962E5">
      <w:pPr>
        <w:spacing w:after="0" w:line="240" w:lineRule="auto"/>
        <w:rPr>
          <w:rFonts w:ascii="Calibri" w:hAnsi="Calibri" w:cs="Calibri"/>
          <w:sz w:val="16"/>
          <w:szCs w:val="16"/>
        </w:rPr>
      </w:pPr>
    </w:p>
    <w:p w14:paraId="51B44BCF" w14:textId="4536B66A" w:rsidR="00BD445F" w:rsidRPr="00DD7BD1" w:rsidRDefault="00BD445F" w:rsidP="009962E5">
      <w:pPr>
        <w:spacing w:after="0" w:line="240" w:lineRule="auto"/>
        <w:rPr>
          <w:rFonts w:ascii="Calibri" w:hAnsi="Calibri" w:cs="Calibri"/>
        </w:rPr>
      </w:pPr>
      <w:r w:rsidRPr="00DD7BD1">
        <w:rPr>
          <w:rFonts w:ascii="Calibri" w:hAnsi="Calibri" w:cs="Calibri"/>
          <w:b/>
          <w:bCs/>
        </w:rPr>
        <w:t>Salary Range Posting Requirements</w:t>
      </w:r>
      <w:r w:rsidR="00402F96" w:rsidRPr="00DD7BD1">
        <w:rPr>
          <w:rFonts w:ascii="Calibri" w:hAnsi="Calibri" w:cs="Calibri"/>
          <w:b/>
          <w:bCs/>
        </w:rPr>
        <w:t xml:space="preserve"> – </w:t>
      </w:r>
      <w:r w:rsidR="00402F96" w:rsidRPr="00DD7BD1">
        <w:rPr>
          <w:rFonts w:ascii="Calibri" w:hAnsi="Calibri" w:cs="Calibri"/>
          <w:b/>
          <w:bCs/>
          <w:color w:val="C00000"/>
        </w:rPr>
        <w:t>Oct 29,2025</w:t>
      </w:r>
    </w:p>
    <w:p w14:paraId="0CCD2DDA"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new legislation aligns with recent statutes in </w:t>
      </w:r>
      <w:proofErr w:type="gramStart"/>
      <w:r w:rsidRPr="00DD7BD1">
        <w:rPr>
          <w:rFonts w:ascii="Calibri" w:hAnsi="Calibri" w:cs="Calibri"/>
        </w:rPr>
        <w:t>a number of</w:t>
      </w:r>
      <w:proofErr w:type="gramEnd"/>
      <w:r w:rsidRPr="00DD7BD1">
        <w:rPr>
          <w:rFonts w:ascii="Calibri" w:hAnsi="Calibri" w:cs="Calibri"/>
        </w:rPr>
        <w:t xml:space="preserve"> other states that have adopted pay transparency requirements over the past several years. The Act requires private employers with at least 25 employees in the Commonwealth to:</w:t>
      </w:r>
    </w:p>
    <w:p w14:paraId="3664BC05"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post the “pay range” for a particular position on all job postings,</w:t>
      </w:r>
    </w:p>
    <w:p w14:paraId="518DCBA8"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disclose the pay range for a position to employees who are offered a promotion or a transfer to a new position with different job responsibilities, and</w:t>
      </w:r>
    </w:p>
    <w:p w14:paraId="47CABC94"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upon request, provide the pay range for a particular position to an employee holding the position or to an applicant for the position.</w:t>
      </w:r>
    </w:p>
    <w:p w14:paraId="5E7F62C2" w14:textId="77777777" w:rsidR="009962E5" w:rsidRPr="00DD7BD1" w:rsidRDefault="009962E5" w:rsidP="009962E5">
      <w:pPr>
        <w:spacing w:after="0" w:line="240" w:lineRule="auto"/>
        <w:rPr>
          <w:rFonts w:ascii="Calibri" w:hAnsi="Calibri" w:cs="Calibri"/>
        </w:rPr>
      </w:pPr>
    </w:p>
    <w:p w14:paraId="47B15DB8" w14:textId="76F98C11" w:rsidR="00BD445F" w:rsidRPr="00DD7BD1" w:rsidRDefault="00BD445F" w:rsidP="009962E5">
      <w:pPr>
        <w:spacing w:after="0" w:line="240" w:lineRule="auto"/>
        <w:rPr>
          <w:rFonts w:ascii="Calibri" w:hAnsi="Calibri" w:cs="Calibri"/>
        </w:rPr>
      </w:pPr>
      <w:r w:rsidRPr="00DD7BD1">
        <w:rPr>
          <w:rFonts w:ascii="Calibri" w:hAnsi="Calibri" w:cs="Calibri"/>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DD7BD1" w:rsidRDefault="00BD445F" w:rsidP="009962E5">
      <w:pPr>
        <w:spacing w:after="0" w:line="240" w:lineRule="auto"/>
        <w:rPr>
          <w:rFonts w:ascii="Calibri" w:hAnsi="Calibri" w:cs="Calibri"/>
        </w:rPr>
      </w:pPr>
      <w:r w:rsidRPr="00DD7BD1">
        <w:rPr>
          <w:rFonts w:ascii="Calibri" w:hAnsi="Calibri" w:cs="Calibri"/>
        </w:rPr>
        <w:lastRenderedPageBreak/>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DD7BD1" w:rsidRDefault="00BD445F" w:rsidP="00BD445F">
      <w:pPr>
        <w:spacing w:after="0" w:line="240" w:lineRule="auto"/>
        <w:rPr>
          <w:rFonts w:ascii="Calibri" w:hAnsi="Calibri" w:cs="Calibri"/>
          <w:b/>
          <w:bCs/>
          <w:sz w:val="16"/>
          <w:szCs w:val="16"/>
        </w:rPr>
      </w:pPr>
    </w:p>
    <w:p w14:paraId="2FF44101"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Reporting Obligations</w:t>
      </w:r>
    </w:p>
    <w:p w14:paraId="486E800E" w14:textId="77777777" w:rsidR="00BD445F" w:rsidRPr="00DD7BD1" w:rsidRDefault="00BD445F" w:rsidP="00BD445F">
      <w:pPr>
        <w:spacing w:after="0" w:line="240" w:lineRule="auto"/>
        <w:rPr>
          <w:rFonts w:ascii="Calibri" w:hAnsi="Calibri" w:cs="Calibri"/>
        </w:rPr>
      </w:pPr>
      <w:r w:rsidRPr="00DD7BD1">
        <w:rPr>
          <w:rFonts w:ascii="Calibri" w:hAnsi="Calibri" w:cs="Calibri"/>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0EAB183D" w14:textId="77777777" w:rsidR="009962E5" w:rsidRPr="00DD7BD1" w:rsidRDefault="009962E5" w:rsidP="00BD445F">
      <w:pPr>
        <w:spacing w:after="0" w:line="240" w:lineRule="auto"/>
        <w:rPr>
          <w:rFonts w:ascii="Calibri" w:hAnsi="Calibri" w:cs="Calibri"/>
        </w:rPr>
      </w:pPr>
    </w:p>
    <w:p w14:paraId="523377D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DD7BD1">
        <w:rPr>
          <w:rFonts w:ascii="Calibri" w:hAnsi="Calibri" w:cs="Calibri"/>
          <w:color w:val="C00000"/>
        </w:rPr>
        <w:t xml:space="preserve">February 1. </w:t>
      </w:r>
      <w:r w:rsidRPr="00DD7BD1">
        <w:rPr>
          <w:rFonts w:ascii="Calibri" w:hAnsi="Calibri" w:cs="Calibri"/>
        </w:rPr>
        <w:t>The Secretary will then provide this information to the Massachusetts Department of Labor  for the publication of aggregated data on its website by July 1 of each year.</w:t>
      </w:r>
    </w:p>
    <w:p w14:paraId="6CD87436" w14:textId="77777777" w:rsidR="009962E5" w:rsidRPr="00DD7BD1" w:rsidRDefault="009962E5" w:rsidP="00BD445F">
      <w:pPr>
        <w:spacing w:after="0" w:line="240" w:lineRule="auto"/>
        <w:rPr>
          <w:rFonts w:ascii="Calibri" w:hAnsi="Calibri" w:cs="Calibri"/>
        </w:rPr>
      </w:pPr>
    </w:p>
    <w:p w14:paraId="1B8A773D"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Massachusetts Executive Office of Labor and Workforce Development has confirmed that the law requires only submission of currently existing EEO forms and acknowledged that, </w:t>
      </w:r>
      <w:proofErr w:type="gramStart"/>
      <w:r w:rsidRPr="00DD7BD1">
        <w:rPr>
          <w:rFonts w:ascii="Calibri" w:hAnsi="Calibri" w:cs="Calibri"/>
        </w:rPr>
        <w:t>with the exception of</w:t>
      </w:r>
      <w:proofErr w:type="gramEnd"/>
      <w:r w:rsidRPr="00DD7BD1">
        <w:rPr>
          <w:rFonts w:ascii="Calibri" w:hAnsi="Calibri" w:cs="Calibri"/>
        </w:rPr>
        <w:t xml:space="preserve">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DD7BD1" w:rsidRDefault="00BD445F" w:rsidP="00BD445F">
      <w:pPr>
        <w:spacing w:after="0" w:line="240" w:lineRule="auto"/>
        <w:rPr>
          <w:rFonts w:ascii="Calibri" w:hAnsi="Calibri" w:cs="Calibri"/>
          <w:b/>
          <w:bCs/>
          <w:sz w:val="16"/>
          <w:szCs w:val="16"/>
        </w:rPr>
      </w:pPr>
    </w:p>
    <w:p w14:paraId="51FB4F9C" w14:textId="77777777" w:rsidR="00BD445F" w:rsidRPr="00DD7BD1" w:rsidRDefault="00BD445F" w:rsidP="00BD445F">
      <w:pPr>
        <w:spacing w:after="0" w:line="240" w:lineRule="auto"/>
        <w:rPr>
          <w:rFonts w:ascii="Calibri" w:hAnsi="Calibri" w:cs="Calibri"/>
          <w:b/>
          <w:bCs/>
        </w:rPr>
      </w:pPr>
      <w:r w:rsidRPr="00DD7BD1">
        <w:rPr>
          <w:rFonts w:ascii="Calibri" w:hAnsi="Calibri" w:cs="Calibri"/>
          <w:b/>
          <w:bCs/>
        </w:rPr>
        <w:t>FAQs</w:t>
      </w:r>
    </w:p>
    <w:p w14:paraId="312A038B" w14:textId="77777777" w:rsidR="00BD445F" w:rsidRPr="00DD7BD1" w:rsidRDefault="00BD445F" w:rsidP="00BD445F">
      <w:pPr>
        <w:spacing w:after="0" w:line="240" w:lineRule="auto"/>
        <w:rPr>
          <w:rFonts w:ascii="Calibri" w:hAnsi="Calibri" w:cs="Calibri"/>
        </w:rPr>
      </w:pPr>
      <w:r w:rsidRPr="00DD7BD1">
        <w:rPr>
          <w:rFonts w:ascii="Calibri" w:hAnsi="Calibri" w:cs="Calibri"/>
        </w:rPr>
        <w:t>The state’s Executive Office of Labor and Workforce Development has released </w:t>
      </w:r>
      <w:hyperlink r:id="rId835" w:tgtFrame="_blank" w:history="1">
        <w:r w:rsidRPr="00DD7BD1">
          <w:rPr>
            <w:rStyle w:val="Hyperlink"/>
            <w:rFonts w:ascii="Calibri" w:hAnsi="Calibri" w:cs="Calibri"/>
          </w:rPr>
          <w:t>FAQs</w:t>
        </w:r>
      </w:hyperlink>
      <w:r w:rsidRPr="00DD7BD1">
        <w:rPr>
          <w:rFonts w:ascii="Calibri" w:hAnsi="Calibri" w:cs="Calibri"/>
        </w:rPr>
        <w:t> for the workforce data reporting. The link to submit the report through the Secretary of State’s web portal will be posted on the FAQs page when it’s available.</w:t>
      </w:r>
    </w:p>
    <w:p w14:paraId="33D6A63E" w14:textId="77777777" w:rsidR="00BD445F" w:rsidRPr="00DD7BD1" w:rsidRDefault="00BD445F" w:rsidP="00BD445F">
      <w:pPr>
        <w:spacing w:after="0" w:line="240" w:lineRule="auto"/>
        <w:rPr>
          <w:rFonts w:ascii="Calibri" w:hAnsi="Calibri" w:cs="Calibri"/>
          <w:b/>
          <w:bCs/>
          <w:sz w:val="16"/>
          <w:szCs w:val="16"/>
        </w:rPr>
      </w:pPr>
    </w:p>
    <w:p w14:paraId="4CB45B95"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Enforcement and Penalties</w:t>
      </w:r>
    </w:p>
    <w:p w14:paraId="3E2A52C6" w14:textId="77777777" w:rsidR="00BD445F" w:rsidRPr="00DD7BD1" w:rsidRDefault="00BD445F" w:rsidP="00BD445F">
      <w:pPr>
        <w:spacing w:after="0" w:line="240" w:lineRule="auto"/>
        <w:rPr>
          <w:rFonts w:ascii="Calibri" w:hAnsi="Calibri" w:cs="Calibri"/>
        </w:rPr>
      </w:pPr>
      <w:r w:rsidRPr="00DD7BD1">
        <w:rPr>
          <w:rFonts w:ascii="Calibri" w:hAnsi="Calibri" w:cs="Calibri"/>
        </w:rPr>
        <w:t>The law grants the Massachusetts Attorney General’s office exclusive authority to enforce its provisions. Employers found in violation of the law will face the following penalties:</w:t>
      </w:r>
    </w:p>
    <w:p w14:paraId="78B64221"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First offense:</w:t>
      </w:r>
      <w:r w:rsidRPr="00DD7BD1">
        <w:rPr>
          <w:rFonts w:ascii="Calibri" w:hAnsi="Calibri" w:cs="Calibri"/>
        </w:rPr>
        <w:t> A warning</w:t>
      </w:r>
    </w:p>
    <w:p w14:paraId="0313E1C8"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Second offense:</w:t>
      </w:r>
      <w:r w:rsidRPr="00DD7BD1">
        <w:rPr>
          <w:rFonts w:ascii="Calibri" w:hAnsi="Calibri" w:cs="Calibri"/>
        </w:rPr>
        <w:t> A fine of up to $500</w:t>
      </w:r>
    </w:p>
    <w:p w14:paraId="2CC95773"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Third offense:</w:t>
      </w:r>
      <w:r w:rsidRPr="00DD7BD1">
        <w:rPr>
          <w:rFonts w:ascii="Calibri" w:hAnsi="Calibri" w:cs="Calibri"/>
        </w:rPr>
        <w:t> A fine of up to $1,000</w:t>
      </w:r>
    </w:p>
    <w:p w14:paraId="432CAD8C"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Subsequent offenses:</w:t>
      </w:r>
      <w:r w:rsidRPr="00DD7BD1">
        <w:rPr>
          <w:rFonts w:ascii="Calibri" w:hAnsi="Calibri" w:cs="Calibri"/>
        </w:rPr>
        <w:t> Fines that escalate per Massachusetts labor laws, potentially reaching up to $25,000.</w:t>
      </w:r>
    </w:p>
    <w:p w14:paraId="240AAB61" w14:textId="77777777" w:rsidR="00BD445F" w:rsidRPr="00DD7BD1" w:rsidRDefault="00BD445F" w:rsidP="00BD445F">
      <w:pPr>
        <w:spacing w:after="0" w:line="240" w:lineRule="auto"/>
        <w:rPr>
          <w:rFonts w:ascii="Calibri" w:hAnsi="Calibri" w:cs="Calibri"/>
        </w:rPr>
      </w:pPr>
      <w:r w:rsidRPr="00DD7BD1">
        <w:rPr>
          <w:rFonts w:ascii="Calibri" w:hAnsi="Calibri" w:cs="Calibri"/>
        </w:rPr>
        <w:t>For the first two years of the law’s implementation, employers will have a two-day grace period to correct violations without facing penalties.</w:t>
      </w:r>
    </w:p>
    <w:p w14:paraId="62FB2896" w14:textId="77777777" w:rsidR="00BD445F" w:rsidRPr="00DD7BD1" w:rsidRDefault="00BD445F" w:rsidP="003B29FD">
      <w:pPr>
        <w:spacing w:after="0" w:line="240" w:lineRule="auto"/>
        <w:jc w:val="center"/>
        <w:rPr>
          <w:rFonts w:ascii="Calibri" w:hAnsi="Calibri" w:cs="Calibri"/>
          <w:b/>
          <w:bCs/>
          <w:shd w:val="clear" w:color="auto" w:fill="FFFFFF"/>
        </w:rPr>
      </w:pPr>
      <w:bookmarkStart w:id="104" w:name="_Hlk212723710"/>
    </w:p>
    <w:p w14:paraId="65F0654F" w14:textId="34E8D333" w:rsidR="003B29FD" w:rsidRPr="00DD7BD1" w:rsidRDefault="003B29FD" w:rsidP="003B29FD">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PFML Rate Sheets &amp; Employee Notices – </w:t>
      </w:r>
      <w:r w:rsidRPr="00DD7BD1">
        <w:rPr>
          <w:rFonts w:ascii="Calibri" w:hAnsi="Calibri" w:cs="Calibri"/>
          <w:b/>
          <w:bCs/>
          <w:color w:val="C00000"/>
          <w:sz w:val="28"/>
          <w:szCs w:val="28"/>
          <w:shd w:val="clear" w:color="auto" w:fill="FFFFFF"/>
        </w:rPr>
        <w:t>Dec 2, 2024</w:t>
      </w:r>
    </w:p>
    <w:p w14:paraId="526B6FEC"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Massachusetts Department of Family and Medical Leave has </w:t>
      </w:r>
      <w:hyperlink r:id="rId836" w:history="1">
        <w:r w:rsidRPr="00DD7BD1">
          <w:rPr>
            <w:rStyle w:val="Hyperlink"/>
            <w:rFonts w:ascii="Calibri" w:hAnsi="Calibri" w:cs="Calibri"/>
            <w:shd w:val="clear" w:color="auto" w:fill="FFFFFF"/>
          </w:rPr>
          <w:t>issued</w:t>
        </w:r>
      </w:hyperlink>
      <w:r w:rsidRPr="00DD7BD1">
        <w:rPr>
          <w:rFonts w:ascii="Calibri" w:hAnsi="Calibri" w:cs="Calibri"/>
          <w:shd w:val="clear" w:color="auto" w:fill="FFFFFF"/>
        </w:rPr>
        <w:t xml:space="preserve"> updated rate sheets, notices and a workplace poster for 2025. </w:t>
      </w:r>
    </w:p>
    <w:p w14:paraId="7EB1A3F8" w14:textId="77777777" w:rsidR="003B29FD" w:rsidRPr="00DD7BD1" w:rsidRDefault="003B29FD" w:rsidP="003B29FD">
      <w:pPr>
        <w:spacing w:after="0" w:line="240" w:lineRule="auto"/>
        <w:rPr>
          <w:rFonts w:ascii="Calibri" w:hAnsi="Calibri" w:cs="Calibri"/>
          <w:sz w:val="16"/>
          <w:szCs w:val="16"/>
          <w:shd w:val="clear" w:color="auto" w:fill="FFFFFF"/>
        </w:rPr>
      </w:pPr>
    </w:p>
    <w:p w14:paraId="7FEC6F3B"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DD7BD1">
        <w:rPr>
          <w:rFonts w:ascii="Calibri" w:hAnsi="Calibri" w:cs="Calibri"/>
          <w:b/>
          <w:bCs/>
          <w:shd w:val="clear" w:color="auto" w:fill="FFFFFF"/>
        </w:rPr>
        <w:t>Dec. 2, 2024</w:t>
      </w:r>
      <w:r w:rsidRPr="00DD7BD1">
        <w:rPr>
          <w:rFonts w:ascii="Calibri" w:hAnsi="Calibri" w:cs="Calibri"/>
          <w:shd w:val="clear" w:color="auto" w:fill="FFFFFF"/>
        </w:rPr>
        <w:t xml:space="preserve">.  Employers must provide each new hire with a </w:t>
      </w:r>
      <w:hyperlink r:id="rId837" w:anchor="2023" w:history="1">
        <w:r w:rsidRPr="00DD7BD1">
          <w:rPr>
            <w:rStyle w:val="Hyperlink"/>
            <w:rFonts w:ascii="Calibri" w:hAnsi="Calibri" w:cs="Calibri"/>
            <w:bCs/>
            <w:shd w:val="clear" w:color="auto" w:fill="FFFFFF"/>
          </w:rPr>
          <w:t>written notice</w:t>
        </w:r>
      </w:hyperlink>
      <w:r w:rsidRPr="00DD7BD1">
        <w:rPr>
          <w:rFonts w:ascii="Calibri" w:hAnsi="Calibri" w:cs="Calibri"/>
          <w:shd w:val="clear" w:color="auto" w:fill="FFFFFF"/>
        </w:rPr>
        <w:t xml:space="preserve"> about PFML </w:t>
      </w:r>
      <w:r w:rsidRPr="00DD7BD1">
        <w:rPr>
          <w:rFonts w:ascii="Calibri" w:hAnsi="Calibri" w:cs="Calibri"/>
          <w:b/>
          <w:shd w:val="clear" w:color="auto" w:fill="FFFFFF"/>
        </w:rPr>
        <w:t>within 30 days from the employee’s start date</w:t>
      </w:r>
      <w:r w:rsidRPr="00DD7BD1">
        <w:rPr>
          <w:rFonts w:ascii="Calibri" w:hAnsi="Calibri" w:cs="Calibri"/>
          <w:shd w:val="clear" w:color="auto" w:fill="FFFFFF"/>
        </w:rPr>
        <w:t xml:space="preserve">. The employer must obtain the employee’s </w:t>
      </w:r>
      <w:r w:rsidRPr="00DD7BD1">
        <w:rPr>
          <w:rFonts w:ascii="Calibri" w:hAnsi="Calibri" w:cs="Calibri"/>
          <w:b/>
          <w:shd w:val="clear" w:color="auto" w:fill="FFFFFF"/>
        </w:rPr>
        <w:t>written acknowledgment of receipt</w:t>
      </w:r>
      <w:r w:rsidRPr="00DD7BD1">
        <w:rPr>
          <w:rFonts w:ascii="Calibri" w:hAnsi="Calibri" w:cs="Calibri"/>
          <w:shd w:val="clear" w:color="auto" w:fill="FFFFFF"/>
        </w:rPr>
        <w:t xml:space="preserve"> or have the employee sign a statement that they </w:t>
      </w:r>
      <w:proofErr w:type="gramStart"/>
      <w:r w:rsidRPr="00DD7BD1">
        <w:rPr>
          <w:rFonts w:ascii="Calibri" w:hAnsi="Calibri" w:cs="Calibri"/>
          <w:shd w:val="clear" w:color="auto" w:fill="FFFFFF"/>
        </w:rPr>
        <w:t>refused</w:t>
      </w:r>
      <w:proofErr w:type="gramEnd"/>
      <w:r w:rsidRPr="00DD7BD1">
        <w:rPr>
          <w:rFonts w:ascii="Calibri" w:hAnsi="Calibri" w:cs="Calibri"/>
          <w:shd w:val="clear" w:color="auto" w:fill="FFFFFF"/>
        </w:rPr>
        <w:t xml:space="preserve"> to sign the acknowledgment.</w:t>
      </w:r>
    </w:p>
    <w:p w14:paraId="2C741A4E" w14:textId="77777777" w:rsidR="003B29FD" w:rsidRPr="00DD7BD1" w:rsidRDefault="003B29FD" w:rsidP="003B29FD">
      <w:pPr>
        <w:spacing w:after="0" w:line="240" w:lineRule="auto"/>
        <w:rPr>
          <w:rFonts w:ascii="Calibri" w:hAnsi="Calibri" w:cs="Calibri"/>
          <w:sz w:val="16"/>
          <w:szCs w:val="16"/>
          <w:shd w:val="clear" w:color="auto" w:fill="FFFFFF"/>
        </w:rPr>
      </w:pPr>
    </w:p>
    <w:p w14:paraId="7D21DD27"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DD7BD1" w:rsidRDefault="003B29FD" w:rsidP="003B29FD">
      <w:pPr>
        <w:spacing w:after="0" w:line="240" w:lineRule="auto"/>
        <w:rPr>
          <w:rFonts w:ascii="Calibri" w:hAnsi="Calibri" w:cs="Calibri"/>
          <w:sz w:val="16"/>
          <w:szCs w:val="16"/>
          <w:shd w:val="clear" w:color="auto" w:fill="FFFFFF"/>
        </w:rPr>
      </w:pPr>
    </w:p>
    <w:p w14:paraId="5D64867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838" w:anchor="rate-sheets-for-employers-" w:history="1">
        <w:r w:rsidRPr="00DD7BD1">
          <w:rPr>
            <w:rStyle w:val="Hyperlink"/>
            <w:rFonts w:ascii="Calibri" w:hAnsi="Calibri" w:cs="Calibri"/>
            <w:b/>
            <w:bCs/>
            <w:shd w:val="clear" w:color="auto" w:fill="FFFFFF"/>
          </w:rPr>
          <w:t>2025 Rate Sheet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 Workers must be </w:t>
      </w:r>
      <w:proofErr w:type="gramStart"/>
      <w:r w:rsidRPr="00DD7BD1">
        <w:rPr>
          <w:rFonts w:ascii="Calibri" w:hAnsi="Calibri" w:cs="Calibri"/>
          <w:shd w:val="clear" w:color="auto" w:fill="FFFFFF"/>
        </w:rPr>
        <w:t>apprised</w:t>
      </w:r>
      <w:proofErr w:type="gramEnd"/>
      <w:r w:rsidRPr="00DD7BD1">
        <w:rPr>
          <w:rFonts w:ascii="Calibri" w:hAnsi="Calibri" w:cs="Calibri"/>
          <w:shd w:val="clear" w:color="auto" w:fill="FFFFFF"/>
        </w:rPr>
        <w:t xml:space="preserve"> of the 2025 PFML contribution rate by Dec. 2, 2024.</w:t>
      </w:r>
    </w:p>
    <w:p w14:paraId="74879C8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839" w:anchor="workplace-poster-" w:history="1">
        <w:r w:rsidRPr="00DD7BD1">
          <w:rPr>
            <w:rStyle w:val="Hyperlink"/>
            <w:rFonts w:ascii="Calibri" w:hAnsi="Calibri" w:cs="Calibri"/>
            <w:b/>
            <w:bCs/>
            <w:shd w:val="clear" w:color="auto" w:fill="FFFFFF"/>
          </w:rPr>
          <w:t>2025 Employee Notice</w:t>
        </w:r>
      </w:hyperlink>
      <w:r w:rsidRPr="00DD7BD1">
        <w:rPr>
          <w:rFonts w:ascii="Calibri" w:hAnsi="Calibri" w:cs="Calibri"/>
          <w:b/>
          <w:bCs/>
          <w:color w:val="C00000"/>
          <w:shd w:val="clear" w:color="auto" w:fill="FFFFFF"/>
        </w:rPr>
        <w: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Different forms of the notice are available for different types of employers.</w:t>
      </w:r>
    </w:p>
    <w:p w14:paraId="118CFFAD"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840" w:history="1">
        <w:r w:rsidRPr="00DD7BD1">
          <w:rPr>
            <w:rStyle w:val="Hyperlink"/>
            <w:rFonts w:ascii="Calibri" w:hAnsi="Calibri" w:cs="Calibri"/>
            <w:b/>
            <w:bCs/>
            <w:shd w:val="clear" w:color="auto" w:fill="FFFFFF"/>
          </w:rPr>
          <w:t>2025 Workplace Poster</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The poster must be displayed in the workplace.</w:t>
      </w:r>
    </w:p>
    <w:p w14:paraId="69394379" w14:textId="77777777" w:rsidR="003B29FD" w:rsidRPr="00DD7BD1" w:rsidRDefault="003B29FD" w:rsidP="003B29FD">
      <w:pPr>
        <w:spacing w:after="0" w:line="240" w:lineRule="auto"/>
        <w:rPr>
          <w:rFonts w:ascii="Calibri" w:hAnsi="Calibri" w:cs="Calibri"/>
          <w:sz w:val="16"/>
          <w:szCs w:val="16"/>
          <w:shd w:val="clear" w:color="auto" w:fill="FFFFFF"/>
        </w:rPr>
      </w:pPr>
    </w:p>
    <w:p w14:paraId="54DE5891"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w:t>
      </w:r>
      <w:r w:rsidRPr="00DD7BD1">
        <w:rPr>
          <w:rFonts w:ascii="Calibri" w:hAnsi="Calibri" w:cs="Calibri"/>
          <w:color w:val="595959"/>
          <w:szCs w:val="20"/>
        </w:rPr>
        <w:t xml:space="preserve"> </w:t>
      </w:r>
      <w:r w:rsidRPr="00DD7BD1">
        <w:rPr>
          <w:rFonts w:ascii="Calibri" w:hAnsi="Calibri" w:cs="Calibri"/>
          <w:shd w:val="clear" w:color="auto" w:fill="FFFFFF"/>
        </w:rPr>
        <w:t>The department publishes separate notices for employers with 25 or more covered individuals, fewer than 25 covered individuals, 25 or more self-employed individuals, and fewer than 25 self-employed individuals.</w:t>
      </w:r>
    </w:p>
    <w:bookmarkEnd w:id="104"/>
    <w:p w14:paraId="70F883D2"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rPr>
        <w:lastRenderedPageBreak/>
        <w:t>Details included in the attached resource</w:t>
      </w:r>
    </w:p>
    <w:p w14:paraId="08E604A1" w14:textId="77777777" w:rsidR="003B29FD" w:rsidRPr="00DD7BD1" w:rsidRDefault="003B29FD" w:rsidP="003B29FD">
      <w:pPr>
        <w:spacing w:after="0" w:line="240" w:lineRule="auto"/>
        <w:rPr>
          <w:rFonts w:ascii="Calibri" w:hAnsi="Calibri" w:cs="Calibri"/>
          <w:b/>
          <w:bCs/>
          <w:sz w:val="20"/>
          <w:szCs w:val="20"/>
          <w:shd w:val="clear" w:color="auto" w:fill="FFFFFF"/>
        </w:rPr>
      </w:pPr>
    </w:p>
    <w:p w14:paraId="7B4C5958" w14:textId="77777777"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rPr>
      </w:pPr>
      <w:bookmarkStart w:id="105" w:name="_Hlk212723608"/>
      <w:r w:rsidRPr="00DD7BD1">
        <w:rPr>
          <w:rFonts w:ascii="Calibri" w:hAnsi="Calibri" w:cs="Calibri"/>
          <w:b/>
          <w:bCs/>
          <w:sz w:val="28"/>
          <w:szCs w:val="28"/>
          <w:shd w:val="clear" w:color="auto" w:fill="FFFFFF"/>
        </w:rPr>
        <w:t xml:space="preserve">Employers Must Complete HIRD Form - </w:t>
      </w:r>
      <w:r w:rsidRPr="00DD7BD1">
        <w:rPr>
          <w:rFonts w:ascii="Calibri" w:hAnsi="Calibri" w:cs="Calibri"/>
          <w:b/>
          <w:bCs/>
          <w:color w:val="C00000"/>
          <w:sz w:val="28"/>
          <w:szCs w:val="28"/>
          <w:shd w:val="clear" w:color="auto" w:fill="FFFFFF"/>
        </w:rPr>
        <w:t>Dec 15, 2024</w:t>
      </w:r>
    </w:p>
    <w:p w14:paraId="3B0C8266" w14:textId="77777777" w:rsidR="003B29FD" w:rsidRPr="00DD7BD1" w:rsidRDefault="003B29FD" w:rsidP="003B29FD">
      <w:pPr>
        <w:spacing w:after="0" w:line="240" w:lineRule="auto"/>
        <w:rPr>
          <w:rFonts w:ascii="Calibri" w:hAnsi="Calibri" w:cs="Calibri"/>
          <w:bCs/>
          <w:shd w:val="clear" w:color="auto" w:fill="FFFFFF"/>
        </w:rPr>
      </w:pPr>
      <w:r w:rsidRPr="00DD7BD1">
        <w:rPr>
          <w:rFonts w:ascii="Calibri" w:hAnsi="Calibri" w:cs="Calibri"/>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DD7BD1">
        <w:rPr>
          <w:rFonts w:ascii="Calibri" w:hAnsi="Calibri" w:cs="Calibri"/>
          <w:bCs/>
          <w:u w:val="single"/>
          <w:shd w:val="clear" w:color="auto" w:fill="FFFFFF"/>
        </w:rPr>
        <w:t>starting Nov. 15</w:t>
      </w:r>
      <w:r w:rsidRPr="00DD7BD1">
        <w:rPr>
          <w:rFonts w:ascii="Calibri" w:hAnsi="Calibri" w:cs="Calibri"/>
          <w:bCs/>
          <w:shd w:val="clear" w:color="auto" w:fill="FFFFFF"/>
        </w:rPr>
        <w:t xml:space="preserve"> and must be completed by </w:t>
      </w:r>
      <w:r w:rsidRPr="00DD7BD1">
        <w:rPr>
          <w:rFonts w:ascii="Calibri" w:hAnsi="Calibri" w:cs="Calibri"/>
          <w:bCs/>
          <w:color w:val="C00000"/>
          <w:shd w:val="clear" w:color="auto" w:fill="FFFFFF"/>
        </w:rPr>
        <w:t>Dec. 15, 2024</w:t>
      </w:r>
      <w:r w:rsidRPr="00DD7BD1">
        <w:rPr>
          <w:rFonts w:ascii="Calibri" w:hAnsi="Calibri" w:cs="Calibri"/>
          <w:bCs/>
          <w:shd w:val="clear" w:color="auto" w:fill="FFFFFF"/>
        </w:rPr>
        <w:t>.</w:t>
      </w:r>
    </w:p>
    <w:p w14:paraId="69F35F97" w14:textId="77777777" w:rsidR="003B29FD" w:rsidRPr="00DD7BD1" w:rsidRDefault="003B29FD" w:rsidP="003B29FD">
      <w:pPr>
        <w:spacing w:after="0" w:line="240" w:lineRule="auto"/>
        <w:rPr>
          <w:rFonts w:ascii="Calibri" w:hAnsi="Calibri" w:cs="Calibri"/>
          <w:b/>
          <w:bCs/>
          <w:color w:val="C00000"/>
          <w:sz w:val="16"/>
          <w:szCs w:val="16"/>
          <w:shd w:val="clear" w:color="auto" w:fill="FFFFFF"/>
        </w:rPr>
      </w:pPr>
    </w:p>
    <w:p w14:paraId="38A70A35"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Dec. 15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Covered employers must electronically complete the </w:t>
      </w:r>
      <w:r w:rsidRPr="00DD7BD1">
        <w:rPr>
          <w:rFonts w:ascii="Calibri" w:hAnsi="Calibri" w:cs="Calibri"/>
          <w:b/>
          <w:bCs/>
          <w:shd w:val="clear" w:color="auto" w:fill="FFFFFF"/>
        </w:rPr>
        <w:t>HIRD form</w:t>
      </w:r>
      <w:r w:rsidRPr="00DD7BD1">
        <w:rPr>
          <w:rFonts w:ascii="Calibri" w:hAnsi="Calibri" w:cs="Calibri"/>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Jan. 31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Employers that sponsor an employer-sponsored health plan must provide </w:t>
      </w:r>
      <w:r w:rsidRPr="00DD7BD1">
        <w:rPr>
          <w:rFonts w:ascii="Calibri" w:hAnsi="Calibri" w:cs="Calibri"/>
          <w:b/>
          <w:bCs/>
          <w:shd w:val="clear" w:color="auto" w:fill="FFFFFF"/>
        </w:rPr>
        <w:t>Form 1099-HC</w:t>
      </w:r>
      <w:r w:rsidRPr="00DD7BD1">
        <w:rPr>
          <w:rFonts w:ascii="Calibri" w:hAnsi="Calibri" w:cs="Calibri"/>
          <w:bCs/>
          <w:shd w:val="clear" w:color="auto" w:fill="FFFFFF"/>
        </w:rPr>
        <w:t xml:space="preserve"> by Jan. 31 of each year. Most carriers will issue this form on behalf of employers.</w:t>
      </w:r>
    </w:p>
    <w:p w14:paraId="4BFB3B5F" w14:textId="77777777" w:rsidR="003B29FD" w:rsidRPr="00DD7BD1" w:rsidRDefault="003B29FD" w:rsidP="003B29FD">
      <w:pPr>
        <w:spacing w:after="0" w:line="240" w:lineRule="auto"/>
        <w:rPr>
          <w:rFonts w:ascii="Calibri" w:hAnsi="Calibri" w:cs="Calibri"/>
        </w:rPr>
      </w:pPr>
      <w:r w:rsidRPr="00DD7BD1">
        <w:rPr>
          <w:rFonts w:ascii="Calibri" w:hAnsi="Calibri" w:cs="Calibri"/>
        </w:rPr>
        <w:t>Details included in the attached resource and will also be communicated in advance of the effective date</w:t>
      </w:r>
    </w:p>
    <w:p w14:paraId="22D1E9CB" w14:textId="77777777" w:rsidR="00A83553" w:rsidRPr="00DD7BD1" w:rsidRDefault="00A83553" w:rsidP="00503F70">
      <w:pPr>
        <w:spacing w:after="0" w:line="240" w:lineRule="auto"/>
        <w:rPr>
          <w:rFonts w:ascii="Calibri" w:hAnsi="Calibri" w:cs="Calibri"/>
          <w:b/>
          <w:bCs/>
          <w:sz w:val="28"/>
          <w:szCs w:val="28"/>
          <w:shd w:val="clear" w:color="auto" w:fill="FFFFFF"/>
          <w:lang w:val="en"/>
        </w:rPr>
      </w:pPr>
      <w:bookmarkStart w:id="106" w:name="_Hlk183179687"/>
      <w:bookmarkEnd w:id="105"/>
    </w:p>
    <w:p w14:paraId="5E956DBB" w14:textId="49502616" w:rsidR="00CD70B8" w:rsidRPr="00DD7BD1" w:rsidRDefault="00CD70B8" w:rsidP="00CD70B8">
      <w:pPr>
        <w:spacing w:after="0" w:line="240" w:lineRule="auto"/>
        <w:jc w:val="center"/>
        <w:rPr>
          <w:rFonts w:ascii="Calibri" w:hAnsi="Calibri" w:cs="Calibri"/>
          <w:b/>
          <w:bCs/>
          <w:color w:val="C00000"/>
          <w:sz w:val="28"/>
          <w:szCs w:val="28"/>
          <w:shd w:val="clear" w:color="auto" w:fill="FFFFFF"/>
          <w:lang w:val="en"/>
        </w:rPr>
      </w:pPr>
      <w:bookmarkStart w:id="107" w:name="_Hlk212723652"/>
      <w:r w:rsidRPr="00DD7BD1">
        <w:rPr>
          <w:rFonts w:ascii="Calibri" w:hAnsi="Calibri" w:cs="Calibri"/>
          <w:b/>
          <w:bCs/>
          <w:sz w:val="28"/>
          <w:szCs w:val="28"/>
          <w:shd w:val="clear" w:color="auto" w:fill="FFFFFF"/>
          <w:lang w:val="en"/>
        </w:rPr>
        <w:t xml:space="preserve">Amended State Earned Sick Time to Cover </w:t>
      </w:r>
      <w:r w:rsidRPr="00DD7BD1">
        <w:rPr>
          <w:rFonts w:ascii="Calibri" w:hAnsi="Calibri" w:cs="Calibri"/>
          <w:b/>
          <w:bCs/>
          <w:sz w:val="28"/>
          <w:szCs w:val="28"/>
          <w:shd w:val="clear" w:color="auto" w:fill="FFFFFF"/>
        </w:rPr>
        <w:t xml:space="preserve">Reproductive Loss – </w:t>
      </w:r>
      <w:r w:rsidRPr="00DD7BD1">
        <w:rPr>
          <w:rFonts w:ascii="Calibri" w:hAnsi="Calibri" w:cs="Calibri"/>
          <w:b/>
          <w:bCs/>
          <w:color w:val="C00000"/>
          <w:sz w:val="28"/>
          <w:szCs w:val="28"/>
          <w:shd w:val="clear" w:color="auto" w:fill="FFFFFF"/>
        </w:rPr>
        <w:t>Nov 21, 2024</w:t>
      </w:r>
    </w:p>
    <w:bookmarkEnd w:id="106"/>
    <w:p w14:paraId="259F9433"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Massachusetts has amended its earned sick time </w:t>
      </w:r>
      <w:hyperlink r:id="rId841" w:history="1">
        <w:r w:rsidRPr="00DD7BD1">
          <w:rPr>
            <w:rStyle w:val="Hyperlink"/>
            <w:rFonts w:ascii="Calibri" w:hAnsi="Calibri" w:cs="Calibri"/>
            <w:shd w:val="clear" w:color="auto" w:fill="FFFFFF"/>
          </w:rPr>
          <w:t>law</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to provide leave for employees experiencing reproductive loss. The </w:t>
      </w:r>
      <w:hyperlink r:id="rId842" w:history="1">
        <w:r w:rsidRPr="00DD7BD1">
          <w:rPr>
            <w:rStyle w:val="Hyperlink"/>
            <w:rFonts w:ascii="Calibri" w:hAnsi="Calibri" w:cs="Calibri"/>
            <w:shd w:val="clear" w:color="auto" w:fill="FFFFFF"/>
          </w:rPr>
          <w:t>amendment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takes effect Nov. 21, 2024.</w:t>
      </w:r>
    </w:p>
    <w:p w14:paraId="76052644" w14:textId="77777777" w:rsidR="00CD70B8" w:rsidRPr="00DD7BD1" w:rsidRDefault="00CD70B8" w:rsidP="00CD70B8">
      <w:pPr>
        <w:spacing w:after="0" w:line="240" w:lineRule="auto"/>
        <w:rPr>
          <w:rFonts w:ascii="Calibri" w:hAnsi="Calibri" w:cs="Calibri"/>
          <w:shd w:val="clear" w:color="auto" w:fill="FFFFFF"/>
        </w:rPr>
      </w:pPr>
    </w:p>
    <w:p w14:paraId="3E99F25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Pr="00DD7BD1" w:rsidRDefault="00CD70B8" w:rsidP="00CD70B8">
      <w:pPr>
        <w:spacing w:after="0" w:line="240" w:lineRule="auto"/>
        <w:rPr>
          <w:rFonts w:ascii="Calibri" w:hAnsi="Calibri" w:cs="Calibri"/>
          <w:color w:val="C00000"/>
          <w:shd w:val="clear" w:color="auto" w:fill="FFFFFF"/>
        </w:rPr>
      </w:pPr>
    </w:p>
    <w:p w14:paraId="1BBE3DF6" w14:textId="21B4E5C6" w:rsidR="00CD70B8" w:rsidRPr="00DD7BD1" w:rsidRDefault="00CD70B8" w:rsidP="00CD70B8">
      <w:pPr>
        <w:spacing w:after="0" w:line="240" w:lineRule="auto"/>
        <w:rPr>
          <w:rFonts w:ascii="Calibri" w:hAnsi="Calibri" w:cs="Calibri"/>
          <w:color w:val="C00000"/>
          <w:shd w:val="clear" w:color="auto" w:fill="FFFFFF"/>
        </w:rPr>
      </w:pPr>
      <w:r w:rsidRPr="00DD7BD1">
        <w:rPr>
          <w:rFonts w:ascii="Calibri" w:hAnsi="Calibri" w:cs="Calibri"/>
          <w:b/>
          <w:bCs/>
          <w:highlight w:val="lightGray"/>
          <w:shd w:val="clear" w:color="auto" w:fill="FFFFFF"/>
        </w:rPr>
        <w:t>Employer Reminder:</w:t>
      </w:r>
      <w:r w:rsidRPr="00DD7BD1">
        <w:rPr>
          <w:rFonts w:ascii="Calibri" w:hAnsi="Calibri" w:cs="Calibri"/>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DD7BD1">
        <w:rPr>
          <w:rFonts w:ascii="Calibri" w:hAnsi="Calibri" w:cs="Calibri"/>
          <w:shd w:val="clear" w:color="auto" w:fill="FFFFFF"/>
        </w:rPr>
        <w:tab/>
      </w:r>
    </w:p>
    <w:bookmarkEnd w:id="107"/>
    <w:p w14:paraId="6C5BBC50" w14:textId="09B77E80"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MA 2025 PFML Benefit to Increase – </w:t>
      </w:r>
      <w:r w:rsidRPr="00DD7BD1">
        <w:rPr>
          <w:rFonts w:ascii="Calibri" w:hAnsi="Calibri" w:cs="Calibri"/>
          <w:b/>
          <w:bCs/>
          <w:color w:val="C00000"/>
          <w:sz w:val="28"/>
          <w:szCs w:val="28"/>
          <w:shd w:val="clear" w:color="auto" w:fill="FFFFFF"/>
        </w:rPr>
        <w:t>2025</w:t>
      </w:r>
    </w:p>
    <w:p w14:paraId="2F97689F" w14:textId="5F7CA0B5" w:rsidR="00CD70B8" w:rsidRPr="00DD7BD1" w:rsidRDefault="00CD70B8"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Massachusetts paid family and medical leave (PFML) </w:t>
      </w:r>
      <w:hyperlink r:id="rId843" w:anchor="2024-" w:history="1">
        <w:r w:rsidRPr="00DD7BD1">
          <w:rPr>
            <w:rStyle w:val="Hyperlink"/>
            <w:rFonts w:ascii="Calibri" w:hAnsi="Calibri" w:cs="Calibri"/>
            <w:shd w:val="clear" w:color="auto" w:fill="FFFFFF"/>
          </w:rPr>
          <w:t>contribution</w:t>
        </w:r>
      </w:hyperlink>
      <w:r w:rsidRPr="00DD7BD1">
        <w:rPr>
          <w:rFonts w:ascii="Calibri" w:hAnsi="Calibri" w:cs="Calibri"/>
          <w:color w:val="2E74B5" w:themeColor="accent5" w:themeShade="BF"/>
          <w:u w:val="single"/>
          <w:shd w:val="clear" w:color="auto" w:fill="FFFFFF"/>
        </w:rPr>
        <w:t xml:space="preserve"> </w:t>
      </w:r>
      <w:r w:rsidRPr="00DD7BD1">
        <w:rPr>
          <w:rFonts w:ascii="Calibri" w:hAnsi="Calibri" w:cs="Calibri"/>
          <w:u w:val="single"/>
          <w:shd w:val="clear" w:color="auto" w:fill="FFFFFF"/>
        </w:rPr>
        <w:t>rates</w:t>
      </w:r>
      <w:r w:rsidRPr="00DD7BD1">
        <w:rPr>
          <w:rFonts w:ascii="Calibri" w:hAnsi="Calibri" w:cs="Calibri"/>
          <w:shd w:val="clear" w:color="auto" w:fill="FFFFFF"/>
        </w:rPr>
        <w:t xml:space="preserve"> will remain at their 2024 levels for 2025, but the maximum employee </w:t>
      </w:r>
      <w:hyperlink r:id="rId844" w:history="1">
        <w:r w:rsidRPr="00DD7BD1">
          <w:rPr>
            <w:rStyle w:val="Hyperlink"/>
            <w:rFonts w:ascii="Calibri" w:hAnsi="Calibri" w:cs="Calibri"/>
            <w:shd w:val="clear" w:color="auto" w:fill="FFFFFF"/>
          </w:rPr>
          <w:t>benefit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DD7BD1" w:rsidRDefault="00CD70B8" w:rsidP="001C5F42">
      <w:pPr>
        <w:spacing w:after="0" w:line="240" w:lineRule="auto"/>
        <w:rPr>
          <w:rFonts w:ascii="Calibri" w:hAnsi="Calibri" w:cs="Calibri"/>
          <w:color w:val="2E74B5" w:themeColor="accent5" w:themeShade="BF"/>
          <w:shd w:val="clear" w:color="auto" w:fill="FFFFFF"/>
        </w:rPr>
      </w:pPr>
    </w:p>
    <w:p w14:paraId="03963DA4" w14:textId="77777777" w:rsidR="001A2C87" w:rsidRPr="00DD7BD1" w:rsidRDefault="001A2C87" w:rsidP="001A2C87">
      <w:pPr>
        <w:pStyle w:val="MainTitle"/>
        <w:spacing w:after="0" w:line="240" w:lineRule="auto"/>
        <w:jc w:val="center"/>
        <w:rPr>
          <w:rFonts w:ascii="Calibri" w:hAnsi="Calibri" w:cs="Calibri"/>
          <w:color w:val="auto"/>
          <w:sz w:val="28"/>
          <w:szCs w:val="28"/>
        </w:rPr>
      </w:pPr>
      <w:r w:rsidRPr="00DD7BD1">
        <w:rPr>
          <w:rFonts w:ascii="Calibri" w:hAnsi="Calibri" w:cs="Calibri"/>
          <w:color w:val="auto"/>
          <w:sz w:val="28"/>
          <w:szCs w:val="28"/>
          <w:shd w:val="clear" w:color="auto" w:fill="FFFFFF"/>
          <w:lang w:val="en"/>
        </w:rPr>
        <w:t xml:space="preserve">State’s Supreme </w:t>
      </w:r>
      <w:r w:rsidRPr="00DD7BD1">
        <w:rPr>
          <w:rFonts w:ascii="Calibri" w:hAnsi="Calibri" w:cs="Calibri"/>
          <w:color w:val="auto"/>
          <w:sz w:val="28"/>
          <w:szCs w:val="28"/>
        </w:rPr>
        <w:t>Judicial Court Rules Leave Does Not Accrue During PFML</w:t>
      </w:r>
    </w:p>
    <w:p w14:paraId="35C77646" w14:textId="77777777" w:rsidR="001A2C87" w:rsidRPr="00DD7BD1" w:rsidRDefault="001A2C87" w:rsidP="001A2C87">
      <w:pPr>
        <w:pStyle w:val="Bullet"/>
        <w:numPr>
          <w:ilvl w:val="0"/>
          <w:numId w:val="0"/>
        </w:numPr>
        <w:rPr>
          <w:rFonts w:cs="Calibri"/>
          <w:color w:val="auto"/>
          <w:szCs w:val="22"/>
        </w:rPr>
      </w:pPr>
      <w:r w:rsidRPr="00DD7BD1">
        <w:rPr>
          <w:rFonts w:cs="Calibri"/>
          <w:color w:val="auto"/>
          <w:szCs w:val="22"/>
          <w:shd w:val="clear" w:color="auto" w:fill="FFFFFF"/>
          <w:lang w:val="en"/>
        </w:rPr>
        <w:t xml:space="preserve">As a </w:t>
      </w:r>
      <w:proofErr w:type="gramStart"/>
      <w:r w:rsidRPr="00DD7BD1">
        <w:rPr>
          <w:rFonts w:cs="Calibri"/>
          <w:color w:val="auto"/>
          <w:szCs w:val="22"/>
          <w:shd w:val="clear" w:color="auto" w:fill="FFFFFF"/>
          <w:lang w:val="en"/>
        </w:rPr>
        <w:t>point of clarity</w:t>
      </w:r>
      <w:proofErr w:type="gramEnd"/>
      <w:r w:rsidRPr="00DD7BD1">
        <w:rPr>
          <w:rFonts w:cs="Calibri"/>
          <w:color w:val="auto"/>
          <w:szCs w:val="22"/>
          <w:shd w:val="clear" w:color="auto" w:fill="FFFFFF"/>
          <w:lang w:val="en"/>
        </w:rPr>
        <w:t xml:space="preserve">, </w:t>
      </w:r>
      <w:r w:rsidRPr="00DD7BD1">
        <w:rPr>
          <w:rFonts w:cs="Calibri"/>
          <w:color w:val="auto"/>
          <w:szCs w:val="22"/>
        </w:rPr>
        <w:t xml:space="preserve">the Massachusetts Supreme Judicial Court ruled on September 13, 2024, that the state’s paid family and medical leave (PFML) </w:t>
      </w:r>
      <w:hyperlink r:id="rId845" w:history="1">
        <w:r w:rsidRPr="00DD7BD1">
          <w:rPr>
            <w:rStyle w:val="Hyperlink"/>
            <w:rFonts w:cs="Calibri"/>
            <w:szCs w:val="22"/>
          </w:rPr>
          <w:t>law</w:t>
        </w:r>
      </w:hyperlink>
      <w:r w:rsidRPr="00DD7BD1">
        <w:rPr>
          <w:rFonts w:cs="Calibri"/>
          <w:szCs w:val="22"/>
        </w:rPr>
        <w:t xml:space="preserve"> </w:t>
      </w:r>
      <w:r w:rsidRPr="00DD7BD1">
        <w:rPr>
          <w:rFonts w:cs="Calibri"/>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Pr="00DD7BD1" w:rsidRDefault="001A2C87" w:rsidP="001A2C87">
      <w:pPr>
        <w:pStyle w:val="Bullet"/>
        <w:numPr>
          <w:ilvl w:val="0"/>
          <w:numId w:val="0"/>
        </w:numPr>
        <w:rPr>
          <w:rFonts w:cs="Calibri"/>
          <w:color w:val="auto"/>
          <w:szCs w:val="22"/>
        </w:rPr>
      </w:pPr>
    </w:p>
    <w:p w14:paraId="7C6D502C" w14:textId="77777777" w:rsidR="001A2C87" w:rsidRPr="00DD7BD1" w:rsidRDefault="001A2C87" w:rsidP="001A2C87">
      <w:pPr>
        <w:spacing w:after="0" w:line="240" w:lineRule="auto"/>
        <w:jc w:val="center"/>
        <w:rPr>
          <w:rFonts w:ascii="Calibri" w:hAnsi="Calibri" w:cs="Calibri"/>
          <w:b/>
          <w:bCs/>
          <w:sz w:val="27"/>
          <w:szCs w:val="27"/>
          <w:shd w:val="clear" w:color="auto" w:fill="FFFFFF"/>
          <w:lang w:val="en"/>
        </w:rPr>
      </w:pPr>
      <w:r w:rsidRPr="00DD7BD1">
        <w:rPr>
          <w:rFonts w:ascii="Calibri" w:hAnsi="Calibri" w:cs="Calibri"/>
          <w:b/>
          <w:bCs/>
          <w:sz w:val="27"/>
          <w:szCs w:val="27"/>
          <w:shd w:val="clear" w:color="auto" w:fill="FFFFFF"/>
          <w:lang w:val="en"/>
        </w:rPr>
        <w:t>State Enacts Pay Transparency (</w:t>
      </w:r>
      <w:r w:rsidRPr="00DD7BD1">
        <w:rPr>
          <w:rFonts w:ascii="Calibri" w:hAnsi="Calibri" w:cs="Calibri"/>
          <w:b/>
          <w:bCs/>
          <w:color w:val="C00000"/>
          <w:sz w:val="27"/>
          <w:szCs w:val="27"/>
          <w:shd w:val="clear" w:color="auto" w:fill="FFFFFF"/>
          <w:lang w:val="en"/>
        </w:rPr>
        <w:t>July 2025</w:t>
      </w:r>
      <w:r w:rsidRPr="00DD7BD1">
        <w:rPr>
          <w:rFonts w:ascii="Calibri" w:hAnsi="Calibri" w:cs="Calibri"/>
          <w:b/>
          <w:bCs/>
          <w:sz w:val="27"/>
          <w:szCs w:val="27"/>
          <w:shd w:val="clear" w:color="auto" w:fill="FFFFFF"/>
          <w:lang w:val="en"/>
        </w:rPr>
        <w:t>) &amp; Pay Data Reporting Law (</w:t>
      </w:r>
      <w:r w:rsidRPr="00DD7BD1">
        <w:rPr>
          <w:rFonts w:ascii="Calibri" w:hAnsi="Calibri" w:cs="Calibri"/>
          <w:b/>
          <w:bCs/>
          <w:color w:val="C00000"/>
          <w:sz w:val="27"/>
          <w:szCs w:val="27"/>
          <w:shd w:val="clear" w:color="auto" w:fill="FFFFFF"/>
          <w:lang w:val="en"/>
        </w:rPr>
        <w:t>Feb 2025)</w:t>
      </w:r>
    </w:p>
    <w:p w14:paraId="08A9923D"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July 31, 2024, Massachusetts enacted the </w:t>
      </w:r>
      <w:hyperlink r:id="rId846" w:history="1">
        <w:r w:rsidRPr="00DD7BD1">
          <w:rPr>
            <w:rStyle w:val="Hyperlink"/>
            <w:rFonts w:ascii="Calibri" w:hAnsi="Calibri" w:cs="Calibri"/>
          </w:rPr>
          <w:t>Frances Perkins Workplace Equity Act</w:t>
        </w:r>
      </w:hyperlink>
      <w:r w:rsidRPr="00DD7BD1">
        <w:rPr>
          <w:rFonts w:ascii="Calibri" w:hAnsi="Calibri" w:cs="Calibri"/>
        </w:rPr>
        <w:t xml:space="preserve">. This law requires employers with 100 or more employees to provide pay data reports to the Massachusetts state secretary effective </w:t>
      </w:r>
      <w:r w:rsidRPr="00DD7BD1">
        <w:rPr>
          <w:rFonts w:ascii="Calibri" w:hAnsi="Calibri" w:cs="Calibri"/>
          <w:b/>
          <w:bCs/>
        </w:rPr>
        <w:t>Feb. 1, 2025,</w:t>
      </w:r>
      <w:r w:rsidRPr="00DD7BD1">
        <w:rPr>
          <w:rFonts w:ascii="Calibri" w:hAnsi="Calibri" w:cs="Calibri"/>
        </w:rPr>
        <w:t xml:space="preserve"> and employers with 25 or more employees to disclose the pay range in job postings effective </w:t>
      </w:r>
      <w:r w:rsidRPr="00DD7BD1">
        <w:rPr>
          <w:rFonts w:ascii="Calibri" w:hAnsi="Calibri" w:cs="Calibri"/>
          <w:b/>
          <w:bCs/>
        </w:rPr>
        <w:t>July 31, 2025.</w:t>
      </w:r>
    </w:p>
    <w:p w14:paraId="6C5BD126"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19739857"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Data Reporting Requirements</w:t>
      </w:r>
      <w:r w:rsidRPr="00DD7BD1">
        <w:rPr>
          <w:rFonts w:ascii="Calibri" w:hAnsi="Calibri" w:cs="Calibri"/>
          <w:b/>
          <w:bCs/>
          <w:color w:val="auto"/>
          <w:sz w:val="22"/>
          <w:szCs w:val="22"/>
        </w:rPr>
        <w:t xml:space="preserve"> </w:t>
      </w:r>
    </w:p>
    <w:p w14:paraId="02A80D10"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Under the new law, all employers with </w:t>
      </w:r>
      <w:r w:rsidRPr="00DD7BD1">
        <w:rPr>
          <w:rFonts w:ascii="Calibri" w:hAnsi="Calibri" w:cs="Calibri"/>
          <w:b/>
          <w:bCs/>
          <w:u w:val="single"/>
        </w:rPr>
        <w:t>100 or more employees</w:t>
      </w:r>
      <w:r w:rsidRPr="00DD7BD1">
        <w:rPr>
          <w:rFonts w:ascii="Calibri" w:hAnsi="Calibri" w:cs="Calibri"/>
        </w:rPr>
        <w:t xml:space="preserve"> who are subject to federal equal employment opportunity (EEO) reporting requirements (i.e., required to file EEO-1, EEO-3, EEO-4 or EEO-5 data reports) </w:t>
      </w:r>
      <w:r w:rsidRPr="00DD7BD1">
        <w:rPr>
          <w:rFonts w:ascii="Calibri" w:hAnsi="Calibri" w:cs="Calibri"/>
          <w:u w:val="single"/>
        </w:rPr>
        <w:t>must provide a copy of their federal EEO data reports for the prior year to the Massachusetts state secretary by Feb. 1</w:t>
      </w:r>
      <w:r w:rsidRPr="00DD7BD1">
        <w:rPr>
          <w:rFonts w:ascii="Calibri" w:hAnsi="Calibri" w:cs="Calibri"/>
        </w:rPr>
        <w:t xml:space="preserve">. The reports must contain workforce demographic and pay data categorized by race, ethnicity, sex and job category. </w:t>
      </w:r>
    </w:p>
    <w:p w14:paraId="0409CEEC"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0753D861"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Transparency Requirements</w:t>
      </w:r>
    </w:p>
    <w:p w14:paraId="36A0C4E4"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 xml:space="preserve">Effective </w:t>
      </w:r>
      <w:r w:rsidRPr="00DD7BD1">
        <w:rPr>
          <w:rFonts w:cs="Calibri"/>
          <w:b/>
          <w:bCs/>
          <w:color w:val="auto"/>
          <w:szCs w:val="22"/>
        </w:rPr>
        <w:t>July 31, 2025</w:t>
      </w:r>
      <w:r w:rsidRPr="00DD7BD1">
        <w:rPr>
          <w:rFonts w:cs="Calibri"/>
          <w:color w:val="auto"/>
          <w:szCs w:val="22"/>
        </w:rPr>
        <w:t xml:space="preserve">, employers with </w:t>
      </w:r>
      <w:r w:rsidRPr="00DD7BD1">
        <w:rPr>
          <w:rFonts w:cs="Calibri"/>
          <w:b/>
          <w:bCs/>
          <w:color w:val="auto"/>
          <w:szCs w:val="22"/>
        </w:rPr>
        <w:t>25 or more employees</w:t>
      </w:r>
      <w:r w:rsidRPr="00DD7BD1">
        <w:rPr>
          <w:rFonts w:cs="Calibri"/>
          <w:color w:val="auto"/>
          <w:szCs w:val="22"/>
        </w:rPr>
        <w:t xml:space="preserve"> will be required to:</w:t>
      </w:r>
    </w:p>
    <w:p w14:paraId="50AE2A3C"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lastRenderedPageBreak/>
        <w:t xml:space="preserve">Disclose the pay range for a specific position in the posting of the position; </w:t>
      </w:r>
    </w:p>
    <w:p w14:paraId="449716B7"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specific position to an employee who is offered a promotion or transfer to a new position with different job responsibilities; and</w:t>
      </w:r>
    </w:p>
    <w:p w14:paraId="734F38ED"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particular position to an existing employee holding such position or to an applicant for such position upon request.</w:t>
      </w:r>
    </w:p>
    <w:p w14:paraId="4147E31E"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Under the new law:</w:t>
      </w:r>
    </w:p>
    <w:p w14:paraId="7DE0DC06"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Pay range</w:t>
      </w:r>
      <w:r w:rsidRPr="00DD7BD1">
        <w:rPr>
          <w:rFonts w:cs="Calibri"/>
          <w:color w:val="auto"/>
          <w:szCs w:val="22"/>
        </w:rPr>
        <w:t>” means the annual salary or hourly wage range that the employer reasonably and in good faith expects to pay for such position; and</w:t>
      </w:r>
    </w:p>
    <w:p w14:paraId="3665C220"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Posting</w:t>
      </w:r>
      <w:r w:rsidRPr="00DD7BD1">
        <w:rPr>
          <w:rFonts w:cs="Calibri"/>
          <w:color w:val="auto"/>
          <w:szCs w:val="22"/>
        </w:rPr>
        <w:t xml:space="preserve">” means any advertisement or job posting intended to recruit job applicants, whether such recruitment is done by the employer or through a third party. </w:t>
      </w:r>
    </w:p>
    <w:p w14:paraId="09C0D2C4" w14:textId="77777777" w:rsidR="00A83553" w:rsidRPr="00DD7BD1" w:rsidRDefault="00A83553" w:rsidP="001A2C87">
      <w:pPr>
        <w:spacing w:after="0" w:line="240" w:lineRule="auto"/>
        <w:rPr>
          <w:rFonts w:ascii="Calibri" w:hAnsi="Calibri" w:cs="Calibri"/>
          <w:b/>
          <w:bCs/>
          <w:i/>
          <w:iCs/>
        </w:rPr>
      </w:pPr>
    </w:p>
    <w:p w14:paraId="1F8D134A" w14:textId="6A02D561" w:rsidR="001A2C87" w:rsidRPr="00DD7BD1" w:rsidRDefault="001A2C87" w:rsidP="001A2C87">
      <w:pPr>
        <w:spacing w:after="0" w:line="240" w:lineRule="auto"/>
        <w:rPr>
          <w:rFonts w:ascii="Calibri" w:hAnsi="Calibri" w:cs="Calibri"/>
          <w:b/>
          <w:bCs/>
          <w:i/>
          <w:iCs/>
        </w:rPr>
      </w:pPr>
      <w:r w:rsidRPr="00DD7BD1">
        <w:rPr>
          <w:rFonts w:ascii="Calibri" w:hAnsi="Calibri" w:cs="Calibri"/>
          <w:b/>
          <w:bCs/>
          <w:i/>
          <w:iCs/>
        </w:rPr>
        <w:t>No Retaliation</w:t>
      </w:r>
    </w:p>
    <w:p w14:paraId="0229BF7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6BDB7D8E"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Enforcement and Penalties</w:t>
      </w:r>
    </w:p>
    <w:p w14:paraId="5E6C8F85"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The Massachusetts attorney general has the exclusive authority to enforce the law. </w:t>
      </w:r>
    </w:p>
    <w:p w14:paraId="05CAC08E"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Employers that </w:t>
      </w:r>
      <w:r w:rsidRPr="00DD7BD1">
        <w:rPr>
          <w:rFonts w:ascii="Calibri" w:hAnsi="Calibri" w:cs="Calibri"/>
          <w:u w:val="single"/>
        </w:rPr>
        <w:t>fail to submit an annual report</w:t>
      </w:r>
      <w:r w:rsidRPr="00DD7BD1">
        <w:rPr>
          <w:rFonts w:ascii="Calibri" w:hAnsi="Calibri" w:cs="Calibri"/>
          <w:b/>
          <w:bCs/>
        </w:rPr>
        <w:t xml:space="preserve"> or</w:t>
      </w:r>
      <w:r w:rsidRPr="00DD7BD1">
        <w:rPr>
          <w:rFonts w:ascii="Calibri" w:hAnsi="Calibri" w:cs="Calibri"/>
        </w:rPr>
        <w:t xml:space="preserve"> </w:t>
      </w:r>
      <w:r w:rsidRPr="00DD7BD1">
        <w:rPr>
          <w:rFonts w:ascii="Calibri" w:hAnsi="Calibri" w:cs="Calibri"/>
          <w:u w:val="single"/>
        </w:rPr>
        <w:t>post pay ranges</w:t>
      </w:r>
      <w:r w:rsidRPr="00DD7BD1">
        <w:rPr>
          <w:rFonts w:ascii="Calibri" w:hAnsi="Calibri" w:cs="Calibri"/>
        </w:rPr>
        <w:t xml:space="preserve"> will be subject to </w:t>
      </w:r>
    </w:p>
    <w:p w14:paraId="4E49B5E4"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a warning for the first offense, </w:t>
      </w:r>
    </w:p>
    <w:p w14:paraId="7CD3CF68"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$500 for the second offense, </w:t>
      </w:r>
    </w:p>
    <w:p w14:paraId="64C8B1FB"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$1,000 for the third offense, and </w:t>
      </w:r>
    </w:p>
    <w:p w14:paraId="0260C4ED"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penalties ranging from $7,500 to $25,000 for subsequent offenses. </w:t>
      </w:r>
    </w:p>
    <w:p w14:paraId="6D8D8A3D" w14:textId="45626B97" w:rsidR="001A2C87" w:rsidRPr="00DD7BD1" w:rsidRDefault="001A2C87" w:rsidP="00A83553">
      <w:pPr>
        <w:keepNext/>
        <w:keepLines/>
        <w:spacing w:after="0" w:line="240" w:lineRule="auto"/>
        <w:rPr>
          <w:rFonts w:ascii="Calibri" w:hAnsi="Calibri" w:cs="Calibri"/>
        </w:rPr>
      </w:pPr>
      <w:r w:rsidRPr="00DD7BD1">
        <w:rPr>
          <w:rFonts w:ascii="Calibri" w:hAnsi="Calibri" w:cs="Calibri"/>
        </w:rPr>
        <w:t>For violations that occur on or prior to July 31, 2026, employers will have two business days to cure a violation before incurring a fine.</w:t>
      </w:r>
      <w:bookmarkStart w:id="108" w:name="_Hlk181117201"/>
    </w:p>
    <w:p w14:paraId="330A17BC" w14:textId="77777777" w:rsidR="00A83553" w:rsidRPr="00DD7BD1" w:rsidRDefault="00A83553" w:rsidP="00A83553">
      <w:pPr>
        <w:keepNext/>
        <w:keepLines/>
        <w:spacing w:after="0" w:line="240" w:lineRule="auto"/>
        <w:rPr>
          <w:rFonts w:ascii="Calibri" w:hAnsi="Calibri" w:cs="Calibri"/>
        </w:rPr>
      </w:pPr>
    </w:p>
    <w:p w14:paraId="3A010A19" w14:textId="0E3098E4" w:rsidR="001C5F42" w:rsidRPr="00DD7BD1" w:rsidRDefault="001C5F42" w:rsidP="001C5F42">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Requires Pay Range Disclosure and Pay Data Reporting – </w:t>
      </w:r>
      <w:r w:rsidRPr="00DD7BD1">
        <w:rPr>
          <w:rFonts w:ascii="Calibri" w:hAnsi="Calibri" w:cs="Calibri"/>
          <w:b/>
          <w:bCs/>
          <w:color w:val="C00000"/>
          <w:sz w:val="28"/>
          <w:szCs w:val="28"/>
          <w:shd w:val="clear" w:color="auto" w:fill="FFFFFF"/>
        </w:rPr>
        <w:t>Feb 2025 &amp; July 2025</w:t>
      </w:r>
    </w:p>
    <w:p w14:paraId="54ED318E"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On July 31, 2024, Massachusetts Governor Maura T. Healey </w:t>
      </w:r>
      <w:proofErr w:type="gramStart"/>
      <w:r w:rsidRPr="00DD7BD1">
        <w:rPr>
          <w:rFonts w:ascii="Calibri" w:hAnsi="Calibri" w:cs="Calibri"/>
          <w:shd w:val="clear" w:color="auto" w:fill="FFFFFF"/>
        </w:rPr>
        <w:t>signed into law</w:t>
      </w:r>
      <w:proofErr w:type="gramEnd"/>
      <w:r w:rsidRPr="00DD7BD1">
        <w:rPr>
          <w:rFonts w:ascii="Calibri" w:hAnsi="Calibri" w:cs="Calibri"/>
          <w:shd w:val="clear" w:color="auto" w:fill="FFFFFF"/>
        </w:rPr>
        <w:t xml:space="preserve"> regulations requiring employers to disclose pay range information.</w:t>
      </w:r>
    </w:p>
    <w:p w14:paraId="2A92F193"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58"/>
        <w:gridCol w:w="4509"/>
        <w:gridCol w:w="3598"/>
      </w:tblGrid>
      <w:tr w:rsidR="001C5F42" w:rsidRPr="00DD7BD1" w14:paraId="52BA262F" w14:textId="77777777" w:rsidTr="005A061B">
        <w:tc>
          <w:tcPr>
            <w:tcW w:w="0" w:type="auto"/>
            <w:tcMar>
              <w:top w:w="150" w:type="dxa"/>
              <w:left w:w="150" w:type="dxa"/>
              <w:bottom w:w="150" w:type="dxa"/>
              <w:right w:w="150" w:type="dxa"/>
            </w:tcMar>
            <w:hideMark/>
          </w:tcPr>
          <w:p w14:paraId="624A57D6"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Date</w:t>
            </w:r>
          </w:p>
        </w:tc>
        <w:tc>
          <w:tcPr>
            <w:tcW w:w="0" w:type="auto"/>
            <w:tcMar>
              <w:top w:w="150" w:type="dxa"/>
              <w:left w:w="150" w:type="dxa"/>
              <w:bottom w:w="150" w:type="dxa"/>
              <w:right w:w="150" w:type="dxa"/>
            </w:tcMar>
            <w:hideMark/>
          </w:tcPr>
          <w:p w14:paraId="591898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Obligation</w:t>
            </w:r>
          </w:p>
        </w:tc>
      </w:tr>
      <w:tr w:rsidR="001C5F42" w:rsidRPr="00DD7BD1" w14:paraId="43C1627C" w14:textId="77777777" w:rsidTr="005A061B">
        <w:tc>
          <w:tcPr>
            <w:tcW w:w="0" w:type="auto"/>
            <w:tcMar>
              <w:top w:w="150" w:type="dxa"/>
              <w:left w:w="150" w:type="dxa"/>
              <w:bottom w:w="150" w:type="dxa"/>
              <w:right w:w="150" w:type="dxa"/>
            </w:tcMar>
            <w:hideMark/>
          </w:tcPr>
          <w:p w14:paraId="4A57B5FC"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Submit demographic and pay data to the Secretary of the Commonwealth</w:t>
            </w:r>
          </w:p>
        </w:tc>
      </w:tr>
      <w:tr w:rsidR="001C5F42" w:rsidRPr="00DD7BD1" w14:paraId="77DDA251" w14:textId="77777777" w:rsidTr="005A061B">
        <w:tc>
          <w:tcPr>
            <w:tcW w:w="0" w:type="auto"/>
            <w:tcMar>
              <w:top w:w="150" w:type="dxa"/>
              <w:left w:w="150" w:type="dxa"/>
              <w:bottom w:w="150" w:type="dxa"/>
              <w:right w:w="150" w:type="dxa"/>
            </w:tcMar>
            <w:hideMark/>
          </w:tcPr>
          <w:p w14:paraId="6CEC03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Pay range disclosure obligations go into effect</w:t>
            </w:r>
          </w:p>
        </w:tc>
      </w:tr>
    </w:tbl>
    <w:p w14:paraId="458C1568" w14:textId="03A74F78" w:rsidR="009040C5" w:rsidRPr="00DD7BD1" w:rsidRDefault="001C5F42" w:rsidP="00CD70B8">
      <w:pPr>
        <w:spacing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Employer-away:</w:t>
      </w:r>
      <w:r w:rsidRPr="00DD7BD1">
        <w:rPr>
          <w:rFonts w:ascii="Calibri" w:hAnsi="Calibri" w:cs="Calibri"/>
          <w:b/>
          <w:bCs/>
          <w:shd w:val="clear" w:color="auto" w:fill="FFFFFF"/>
        </w:rPr>
        <w:t xml:space="preserve"> T</w:t>
      </w:r>
      <w:r w:rsidRPr="00DD7BD1">
        <w:rPr>
          <w:rFonts w:ascii="Calibri" w:hAnsi="Calibri" w:cs="Calibri"/>
          <w:shd w:val="clear" w:color="auto" w:fill="FFFFFF"/>
        </w:rPr>
        <w:t>o prepare for this new requirement, Covered Employers with 25 or more employees in Massachusetts should take measures to comply </w:t>
      </w:r>
      <w:r w:rsidRPr="00DD7BD1">
        <w:rPr>
          <w:rFonts w:ascii="Calibri" w:hAnsi="Calibri" w:cs="Calibri"/>
          <w:i/>
          <w:iCs/>
          <w:shd w:val="clear" w:color="auto" w:fill="FFFFFF"/>
        </w:rPr>
        <w:t>before</w:t>
      </w:r>
      <w:r w:rsidRPr="00DD7BD1">
        <w:rPr>
          <w:rFonts w:ascii="Calibri" w:hAnsi="Calibri" w:cs="Calibri"/>
          <w:shd w:val="clear" w:color="auto" w:fill="FFFFFF"/>
        </w:rPr>
        <w:t> July 31, 2025. More to come as the effective date approaches</w:t>
      </w:r>
      <w:bookmarkEnd w:id="108"/>
    </w:p>
    <w:p w14:paraId="40B00CFF" w14:textId="77777777"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Michigan</w:t>
      </w:r>
    </w:p>
    <w:p w14:paraId="39DA89B8" w14:textId="64C69E35" w:rsidR="00F23A3A" w:rsidRPr="00DD7BD1" w:rsidRDefault="00F23A3A" w:rsidP="00F23A3A">
      <w:pPr>
        <w:spacing w:after="0" w:line="240" w:lineRule="auto"/>
        <w:jc w:val="center"/>
        <w:rPr>
          <w:rFonts w:ascii="Calibri" w:hAnsi="Calibri" w:cs="Calibri"/>
          <w:b/>
          <w:bCs/>
          <w:sz w:val="28"/>
          <w:szCs w:val="28"/>
          <w:shd w:val="clear" w:color="auto" w:fill="FFFFFF"/>
          <w:lang w:val="en"/>
        </w:rPr>
      </w:pPr>
      <w:bookmarkStart w:id="109" w:name="_Hlk213054563"/>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2025</w:t>
      </w:r>
    </w:p>
    <w:p w14:paraId="33FADC19" w14:textId="6C1767E3" w:rsidR="00F23A3A" w:rsidRPr="00DD7BD1" w:rsidRDefault="00F23A3A" w:rsidP="00F23A3A">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On January 1, 2026, Michigan’s minimum wage will increase to $13.73 per hour. The minimum base wage for tipped employees will increase to $5.49 per hour. Michigan’s minimum wage applies to employers that have two or more employees.</w:t>
      </w:r>
    </w:p>
    <w:p w14:paraId="5FB57820" w14:textId="77777777" w:rsidR="00F23A3A" w:rsidRPr="00DD7BD1" w:rsidRDefault="00F23A3A" w:rsidP="00F23A3A">
      <w:pPr>
        <w:spacing w:after="0" w:line="240" w:lineRule="auto"/>
        <w:ind w:right="-270"/>
        <w:jc w:val="center"/>
        <w:rPr>
          <w:rFonts w:ascii="Calibri" w:hAnsi="Calibri" w:cs="Calibri"/>
          <w:b/>
          <w:spacing w:val="-6"/>
        </w:rPr>
      </w:pPr>
    </w:p>
    <w:p w14:paraId="30EE7F9A" w14:textId="15F47EE9" w:rsidR="003A22A9" w:rsidRPr="00DD7BD1" w:rsidRDefault="003A22A9" w:rsidP="00F23A3A">
      <w:pPr>
        <w:spacing w:after="0" w:line="240" w:lineRule="auto"/>
        <w:ind w:right="-270"/>
        <w:jc w:val="center"/>
        <w:rPr>
          <w:rFonts w:ascii="Calibri" w:hAnsi="Calibri" w:cs="Calibri"/>
          <w:b/>
          <w:sz w:val="28"/>
        </w:rPr>
      </w:pPr>
      <w:r w:rsidRPr="00DD7BD1">
        <w:rPr>
          <w:rFonts w:ascii="Calibri" w:hAnsi="Calibri" w:cs="Calibri"/>
          <w:b/>
          <w:spacing w:val="-6"/>
          <w:sz w:val="28"/>
        </w:rPr>
        <w:t>Updated</w:t>
      </w:r>
      <w:r w:rsidRPr="00DD7BD1">
        <w:rPr>
          <w:rFonts w:ascii="Calibri" w:hAnsi="Calibri" w:cs="Calibri"/>
          <w:b/>
          <w:spacing w:val="-13"/>
          <w:sz w:val="28"/>
        </w:rPr>
        <w:t xml:space="preserve"> </w:t>
      </w:r>
      <w:r w:rsidRPr="00DD7BD1">
        <w:rPr>
          <w:rFonts w:ascii="Calibri" w:hAnsi="Calibri" w:cs="Calibri"/>
          <w:b/>
          <w:spacing w:val="-6"/>
          <w:sz w:val="28"/>
        </w:rPr>
        <w:t>Paid</w:t>
      </w:r>
      <w:r w:rsidRPr="00DD7BD1">
        <w:rPr>
          <w:rFonts w:ascii="Calibri" w:hAnsi="Calibri" w:cs="Calibri"/>
          <w:b/>
          <w:spacing w:val="-11"/>
          <w:sz w:val="28"/>
        </w:rPr>
        <w:t xml:space="preserve"> </w:t>
      </w:r>
      <w:r w:rsidRPr="00DD7BD1">
        <w:rPr>
          <w:rFonts w:ascii="Calibri" w:hAnsi="Calibri" w:cs="Calibri"/>
          <w:b/>
          <w:spacing w:val="-6"/>
          <w:sz w:val="28"/>
        </w:rPr>
        <w:t>Sick</w:t>
      </w:r>
      <w:r w:rsidRPr="00DD7BD1">
        <w:rPr>
          <w:rFonts w:ascii="Calibri" w:hAnsi="Calibri" w:cs="Calibri"/>
          <w:b/>
          <w:spacing w:val="-12"/>
          <w:sz w:val="28"/>
        </w:rPr>
        <w:t xml:space="preserve"> </w:t>
      </w:r>
      <w:r w:rsidRPr="00DD7BD1">
        <w:rPr>
          <w:rFonts w:ascii="Calibri" w:hAnsi="Calibri" w:cs="Calibri"/>
          <w:b/>
          <w:spacing w:val="-6"/>
          <w:sz w:val="28"/>
        </w:rPr>
        <w:t>Leave</w:t>
      </w:r>
      <w:r w:rsidRPr="00DD7BD1">
        <w:rPr>
          <w:rFonts w:ascii="Calibri" w:hAnsi="Calibri" w:cs="Calibri"/>
          <w:b/>
          <w:spacing w:val="-13"/>
          <w:sz w:val="28"/>
        </w:rPr>
        <w:t xml:space="preserve"> </w:t>
      </w:r>
      <w:r w:rsidRPr="00DD7BD1">
        <w:rPr>
          <w:rFonts w:ascii="Calibri" w:hAnsi="Calibri" w:cs="Calibri"/>
          <w:b/>
          <w:spacing w:val="-6"/>
          <w:sz w:val="28"/>
        </w:rPr>
        <w:t>for</w:t>
      </w:r>
      <w:r w:rsidRPr="00DD7BD1">
        <w:rPr>
          <w:rFonts w:ascii="Calibri" w:hAnsi="Calibri" w:cs="Calibri"/>
          <w:b/>
          <w:spacing w:val="-11"/>
          <w:sz w:val="28"/>
        </w:rPr>
        <w:t xml:space="preserve"> </w:t>
      </w:r>
      <w:r w:rsidRPr="00DD7BD1">
        <w:rPr>
          <w:rFonts w:ascii="Calibri" w:hAnsi="Calibri" w:cs="Calibri"/>
          <w:b/>
          <w:spacing w:val="-6"/>
          <w:sz w:val="28"/>
        </w:rPr>
        <w:t>Small</w:t>
      </w:r>
      <w:r w:rsidRPr="00DD7BD1">
        <w:rPr>
          <w:rFonts w:ascii="Calibri" w:hAnsi="Calibri" w:cs="Calibri"/>
          <w:b/>
          <w:spacing w:val="-14"/>
          <w:sz w:val="28"/>
        </w:rPr>
        <w:t xml:space="preserve"> </w:t>
      </w:r>
      <w:r w:rsidRPr="00DD7BD1">
        <w:rPr>
          <w:rFonts w:ascii="Calibri" w:hAnsi="Calibri" w:cs="Calibri"/>
          <w:b/>
          <w:spacing w:val="-6"/>
          <w:sz w:val="28"/>
        </w:rPr>
        <w:t>Employers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March</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23</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&amp;</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Oct</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2025</w:t>
      </w:r>
    </w:p>
    <w:p w14:paraId="48A212CF" w14:textId="77777777" w:rsidR="003A22A9" w:rsidRPr="00DD7BD1" w:rsidRDefault="003A22A9" w:rsidP="003A22A9">
      <w:pPr>
        <w:pStyle w:val="Heading4"/>
        <w:spacing w:before="0" w:line="240" w:lineRule="auto"/>
        <w:ind w:right="-270"/>
        <w:jc w:val="both"/>
        <w:rPr>
          <w:rFonts w:ascii="Calibri" w:hAnsi="Calibri" w:cs="Calibri"/>
          <w:b/>
          <w:bCs/>
          <w:i w:val="0"/>
          <w:iCs w:val="0"/>
          <w:color w:val="auto"/>
        </w:rPr>
      </w:pPr>
      <w:r w:rsidRPr="00DD7BD1">
        <w:rPr>
          <w:rFonts w:ascii="Calibri" w:hAnsi="Calibri" w:cs="Calibri"/>
          <w:b/>
          <w:bCs/>
          <w:i w:val="0"/>
          <w:iCs w:val="0"/>
          <w:color w:val="auto"/>
          <w:spacing w:val="-2"/>
          <w:w w:val="90"/>
        </w:rPr>
        <w:t>PAID</w:t>
      </w:r>
      <w:r w:rsidRPr="00DD7BD1">
        <w:rPr>
          <w:rFonts w:ascii="Calibri" w:hAnsi="Calibri" w:cs="Calibri"/>
          <w:b/>
          <w:bCs/>
          <w:i w:val="0"/>
          <w:iCs w:val="0"/>
          <w:color w:val="auto"/>
          <w:spacing w:val="-3"/>
          <w:w w:val="90"/>
        </w:rPr>
        <w:t xml:space="preserve"> </w:t>
      </w:r>
      <w:r w:rsidRPr="00DD7BD1">
        <w:rPr>
          <w:rFonts w:ascii="Calibri" w:hAnsi="Calibri" w:cs="Calibri"/>
          <w:b/>
          <w:bCs/>
          <w:i w:val="0"/>
          <w:iCs w:val="0"/>
          <w:color w:val="auto"/>
          <w:spacing w:val="-2"/>
          <w:w w:val="90"/>
        </w:rPr>
        <w:t>SICK</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w w:val="90"/>
        </w:rPr>
        <w:t>LEAVE</w:t>
      </w:r>
    </w:p>
    <w:p w14:paraId="0CB85D34" w14:textId="77777777" w:rsidR="003A22A9" w:rsidRPr="00DD7BD1" w:rsidRDefault="003A22A9" w:rsidP="003A22A9">
      <w:pPr>
        <w:pStyle w:val="BodyText"/>
        <w:spacing w:after="0" w:line="240" w:lineRule="auto"/>
        <w:ind w:right="-270"/>
        <w:rPr>
          <w:rFonts w:cs="Calibri"/>
          <w:color w:val="auto"/>
          <w:szCs w:val="22"/>
        </w:rPr>
      </w:pP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legislature</w:t>
      </w:r>
      <w:r w:rsidRPr="00DD7BD1">
        <w:rPr>
          <w:rFonts w:cs="Calibri"/>
          <w:color w:val="auto"/>
          <w:spacing w:val="40"/>
          <w:w w:val="110"/>
          <w:szCs w:val="22"/>
        </w:rPr>
        <w:t xml:space="preserve"> </w:t>
      </w:r>
      <w:r w:rsidRPr="00DD7BD1">
        <w:rPr>
          <w:rFonts w:cs="Calibri"/>
          <w:color w:val="auto"/>
          <w:w w:val="110"/>
          <w:szCs w:val="22"/>
        </w:rPr>
        <w:t>did</w:t>
      </w:r>
      <w:r w:rsidRPr="00DD7BD1">
        <w:rPr>
          <w:rFonts w:cs="Calibri"/>
          <w:color w:val="auto"/>
          <w:spacing w:val="-10"/>
          <w:w w:val="110"/>
          <w:szCs w:val="22"/>
        </w:rPr>
        <w:t xml:space="preserve"> </w:t>
      </w:r>
      <w:r w:rsidRPr="00DD7BD1">
        <w:rPr>
          <w:rFonts w:cs="Calibri"/>
          <w:color w:val="auto"/>
          <w:w w:val="110"/>
          <w:szCs w:val="22"/>
        </w:rPr>
        <w:t>make</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little</w:t>
      </w:r>
      <w:r w:rsidRPr="00DD7BD1">
        <w:rPr>
          <w:rFonts w:cs="Calibri"/>
          <w:color w:val="auto"/>
          <w:spacing w:val="-6"/>
          <w:w w:val="110"/>
          <w:szCs w:val="22"/>
        </w:rPr>
        <w:t xml:space="preserve"> </w:t>
      </w:r>
      <w:r w:rsidRPr="00DD7BD1">
        <w:rPr>
          <w:rFonts w:cs="Calibri"/>
          <w:color w:val="auto"/>
          <w:w w:val="110"/>
          <w:szCs w:val="22"/>
        </w:rPr>
        <w:t>easier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manage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small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back</w:t>
      </w:r>
      <w:r w:rsidRPr="00DD7BD1">
        <w:rPr>
          <w:rFonts w:cs="Calibri"/>
          <w:color w:val="auto"/>
          <w:spacing w:val="-6"/>
          <w:w w:val="110"/>
          <w:szCs w:val="22"/>
        </w:rPr>
        <w:t xml:space="preserve"> </w:t>
      </w:r>
      <w:proofErr w:type="spellStart"/>
      <w:r w:rsidRPr="00DD7BD1">
        <w:rPr>
          <w:rFonts w:cs="Calibri"/>
          <w:color w:val="auto"/>
          <w:w w:val="110"/>
          <w:szCs w:val="22"/>
        </w:rPr>
        <w:t>ion</w:t>
      </w:r>
      <w:proofErr w:type="spellEnd"/>
      <w:r w:rsidRPr="00DD7BD1">
        <w:rPr>
          <w:rFonts w:cs="Calibri"/>
          <w:color w:val="auto"/>
          <w:spacing w:val="-6"/>
          <w:w w:val="110"/>
          <w:szCs w:val="22"/>
        </w:rPr>
        <w:t xml:space="preserve"> </w:t>
      </w:r>
      <w:r w:rsidRPr="00DD7BD1">
        <w:rPr>
          <w:rFonts w:cs="Calibri"/>
          <w:color w:val="auto"/>
          <w:w w:val="110"/>
          <w:szCs w:val="22"/>
        </w:rPr>
        <w:t>February.</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9"/>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added</w:t>
      </w:r>
      <w:r w:rsidRPr="00DD7BD1">
        <w:rPr>
          <w:rFonts w:cs="Calibri"/>
          <w:color w:val="auto"/>
          <w:spacing w:val="-6"/>
          <w:w w:val="110"/>
          <w:szCs w:val="22"/>
        </w:rPr>
        <w:t xml:space="preserve"> </w:t>
      </w:r>
      <w:r w:rsidRPr="00DD7BD1">
        <w:rPr>
          <w:rFonts w:cs="Calibri"/>
          <w:color w:val="auto"/>
          <w:w w:val="110"/>
          <w:szCs w:val="22"/>
        </w:rPr>
        <w:t xml:space="preserve">to </w:t>
      </w:r>
      <w:r w:rsidRPr="00DD7BD1">
        <w:rPr>
          <w:rFonts w:cs="Calibri"/>
          <w:color w:val="auto"/>
          <w:w w:val="115"/>
          <w:szCs w:val="22"/>
        </w:rPr>
        <w:t>or</w:t>
      </w:r>
      <w:r w:rsidRPr="00DD7BD1">
        <w:rPr>
          <w:rFonts w:cs="Calibri"/>
          <w:color w:val="auto"/>
          <w:spacing w:val="-2"/>
          <w:w w:val="115"/>
          <w:szCs w:val="22"/>
        </w:rPr>
        <w:t xml:space="preserve"> </w:t>
      </w:r>
      <w:r w:rsidRPr="00DD7BD1">
        <w:rPr>
          <w:rFonts w:cs="Calibri"/>
          <w:color w:val="auto"/>
          <w:w w:val="115"/>
          <w:szCs w:val="22"/>
        </w:rPr>
        <w:t>clarified a</w:t>
      </w:r>
      <w:r w:rsidRPr="00DD7BD1">
        <w:rPr>
          <w:rFonts w:cs="Calibri"/>
          <w:color w:val="auto"/>
          <w:spacing w:val="-4"/>
          <w:w w:val="115"/>
          <w:szCs w:val="22"/>
        </w:rPr>
        <w:t xml:space="preserve"> </w:t>
      </w:r>
      <w:r w:rsidRPr="00DD7BD1">
        <w:rPr>
          <w:rFonts w:cs="Calibri"/>
          <w:color w:val="auto"/>
          <w:w w:val="115"/>
          <w:szCs w:val="22"/>
        </w:rPr>
        <w:t>few</w:t>
      </w:r>
      <w:r w:rsidRPr="00DD7BD1">
        <w:rPr>
          <w:rFonts w:cs="Calibri"/>
          <w:color w:val="auto"/>
          <w:spacing w:val="-4"/>
          <w:w w:val="115"/>
          <w:szCs w:val="22"/>
        </w:rPr>
        <w:t xml:space="preserve"> </w:t>
      </w:r>
      <w:r w:rsidRPr="00DD7BD1">
        <w:rPr>
          <w:rFonts w:cs="Calibri"/>
          <w:color w:val="auto"/>
          <w:w w:val="115"/>
          <w:szCs w:val="22"/>
        </w:rPr>
        <w:t>aspects</w:t>
      </w:r>
      <w:r w:rsidRPr="00DD7BD1">
        <w:rPr>
          <w:rFonts w:cs="Calibri"/>
          <w:color w:val="auto"/>
          <w:spacing w:val="-3"/>
          <w:w w:val="115"/>
          <w:szCs w:val="22"/>
        </w:rPr>
        <w:t xml:space="preserve"> </w:t>
      </w:r>
      <w:r w:rsidRPr="00DD7BD1">
        <w:rPr>
          <w:rFonts w:cs="Calibri"/>
          <w:color w:val="auto"/>
          <w:w w:val="115"/>
          <w:szCs w:val="22"/>
        </w:rPr>
        <w:t>of</w:t>
      </w:r>
      <w:r w:rsidRPr="00DD7BD1">
        <w:rPr>
          <w:rFonts w:cs="Calibri"/>
          <w:color w:val="auto"/>
          <w:spacing w:val="-2"/>
          <w:w w:val="115"/>
          <w:szCs w:val="22"/>
        </w:rPr>
        <w:t xml:space="preserve"> </w:t>
      </w:r>
      <w:r w:rsidRPr="00DD7BD1">
        <w:rPr>
          <w:rFonts w:cs="Calibri"/>
          <w:color w:val="auto"/>
          <w:w w:val="115"/>
          <w:szCs w:val="22"/>
        </w:rPr>
        <w:t>the law.</w:t>
      </w:r>
    </w:p>
    <w:p w14:paraId="17DC4ABE" w14:textId="77777777" w:rsidR="003A22A9" w:rsidRPr="00DD7BD1" w:rsidRDefault="003A22A9" w:rsidP="003A22A9">
      <w:pPr>
        <w:pStyle w:val="Heading4"/>
        <w:spacing w:before="0"/>
        <w:ind w:right="-270"/>
        <w:rPr>
          <w:rFonts w:ascii="Calibri" w:hAnsi="Calibri" w:cs="Calibri"/>
          <w:b/>
          <w:bCs/>
          <w:i w:val="0"/>
          <w:iCs w:val="0"/>
          <w:color w:val="auto"/>
          <w:spacing w:val="-9"/>
        </w:rPr>
      </w:pPr>
    </w:p>
    <w:p w14:paraId="792C0CFF" w14:textId="77777777" w:rsidR="003A22A9" w:rsidRPr="00DD7BD1" w:rsidRDefault="003A22A9" w:rsidP="003A22A9">
      <w:pPr>
        <w:pStyle w:val="Heading4"/>
        <w:spacing w:before="0" w:line="240" w:lineRule="auto"/>
        <w:ind w:right="-270"/>
        <w:rPr>
          <w:rFonts w:ascii="Calibri" w:hAnsi="Calibri" w:cs="Calibri"/>
          <w:b/>
          <w:bCs/>
          <w:i w:val="0"/>
          <w:iCs w:val="0"/>
          <w:color w:val="auto"/>
        </w:rPr>
      </w:pPr>
      <w:r w:rsidRPr="00DD7BD1">
        <w:rPr>
          <w:rFonts w:ascii="Calibri" w:hAnsi="Calibri" w:cs="Calibri"/>
          <w:b/>
          <w:bCs/>
          <w:i w:val="0"/>
          <w:iCs w:val="0"/>
          <w:color w:val="auto"/>
          <w:spacing w:val="-9"/>
        </w:rPr>
        <w:t>Key</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rPr>
        <w:t>changes:</w:t>
      </w:r>
    </w:p>
    <w:p w14:paraId="29FB98C3"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definition</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“small</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7"/>
          <w:w w:val="110"/>
        </w:rPr>
        <w:t xml:space="preserve"> </w:t>
      </w:r>
      <w:r w:rsidRPr="00DD7BD1">
        <w:rPr>
          <w:rFonts w:ascii="Calibri" w:hAnsi="Calibri" w:cs="Calibri"/>
          <w:w w:val="110"/>
        </w:rPr>
        <w:t>an</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u w:val="single"/>
        </w:rPr>
        <w:t>with</w:t>
      </w:r>
      <w:r w:rsidRPr="00DD7BD1">
        <w:rPr>
          <w:rFonts w:ascii="Calibri" w:hAnsi="Calibri" w:cs="Calibri"/>
          <w:spacing w:val="-17"/>
          <w:w w:val="110"/>
          <w:u w:val="single"/>
        </w:rPr>
        <w:t xml:space="preserve"> </w:t>
      </w:r>
      <w:r w:rsidRPr="00DD7BD1">
        <w:rPr>
          <w:rFonts w:ascii="Calibri" w:hAnsi="Calibri" w:cs="Calibri"/>
          <w:w w:val="110"/>
          <w:u w:val="single"/>
        </w:rPr>
        <w:t>10</w:t>
      </w:r>
      <w:r w:rsidRPr="00DD7BD1">
        <w:rPr>
          <w:rFonts w:ascii="Calibri" w:hAnsi="Calibri" w:cs="Calibri"/>
          <w:spacing w:val="-16"/>
          <w:w w:val="110"/>
          <w:u w:val="single"/>
        </w:rPr>
        <w:t xml:space="preserve"> </w:t>
      </w:r>
      <w:r w:rsidRPr="00DD7BD1">
        <w:rPr>
          <w:rFonts w:ascii="Calibri" w:hAnsi="Calibri" w:cs="Calibri"/>
          <w:w w:val="110"/>
          <w:u w:val="single"/>
        </w:rPr>
        <w:t>or</w:t>
      </w:r>
      <w:r w:rsidRPr="00DD7BD1">
        <w:rPr>
          <w:rFonts w:ascii="Calibri" w:hAnsi="Calibri" w:cs="Calibri"/>
          <w:spacing w:val="-17"/>
          <w:w w:val="110"/>
          <w:u w:val="single"/>
        </w:rPr>
        <w:t xml:space="preserve"> </w:t>
      </w:r>
      <w:r w:rsidRPr="00DD7BD1">
        <w:rPr>
          <w:rFonts w:ascii="Calibri" w:hAnsi="Calibri" w:cs="Calibri"/>
          <w:w w:val="110"/>
          <w:u w:val="single"/>
        </w:rPr>
        <w:t>fewer</w:t>
      </w:r>
      <w:r w:rsidRPr="00DD7BD1">
        <w:rPr>
          <w:rFonts w:ascii="Calibri" w:hAnsi="Calibri" w:cs="Calibri"/>
          <w:spacing w:val="-17"/>
          <w:w w:val="110"/>
          <w:u w:val="single"/>
        </w:rPr>
        <w:t xml:space="preserve"> </w:t>
      </w:r>
      <w:r w:rsidRPr="00DD7BD1">
        <w:rPr>
          <w:rFonts w:ascii="Calibri" w:hAnsi="Calibri" w:cs="Calibri"/>
          <w:w w:val="110"/>
          <w:u w:val="single"/>
        </w:rPr>
        <w:t>employees</w:t>
      </w:r>
      <w:r w:rsidRPr="00DD7BD1">
        <w:rPr>
          <w:rFonts w:ascii="Calibri" w:hAnsi="Calibri" w:cs="Calibri"/>
          <w:spacing w:val="-17"/>
          <w:w w:val="110"/>
        </w:rPr>
        <w:t xml:space="preserve"> </w:t>
      </w:r>
      <w:r w:rsidRPr="00DD7BD1">
        <w:rPr>
          <w:rFonts w:ascii="Calibri" w:hAnsi="Calibri" w:cs="Calibri"/>
          <w:w w:val="110"/>
        </w:rPr>
        <w:t>(instead</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nine</w:t>
      </w:r>
      <w:r w:rsidRPr="00DD7BD1">
        <w:rPr>
          <w:rFonts w:ascii="Calibri" w:hAnsi="Calibri" w:cs="Calibri"/>
          <w:spacing w:val="-17"/>
          <w:w w:val="110"/>
        </w:rPr>
        <w:t xml:space="preserve"> </w:t>
      </w:r>
      <w:r w:rsidRPr="00DD7BD1">
        <w:rPr>
          <w:rFonts w:ascii="Calibri" w:hAnsi="Calibri" w:cs="Calibri"/>
          <w:w w:val="110"/>
        </w:rPr>
        <w:t xml:space="preserve">or </w:t>
      </w:r>
      <w:r w:rsidRPr="00DD7BD1">
        <w:rPr>
          <w:rFonts w:ascii="Calibri" w:hAnsi="Calibri" w:cs="Calibri"/>
          <w:spacing w:val="-2"/>
          <w:w w:val="110"/>
        </w:rPr>
        <w:t>fewer)</w:t>
      </w:r>
    </w:p>
    <w:p w14:paraId="342029B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Calibri" w:hAnsi="Calibri" w:cs="Calibri"/>
        </w:rPr>
      </w:pPr>
      <w:r w:rsidRPr="00DD7BD1">
        <w:rPr>
          <w:rFonts w:ascii="Calibri" w:hAnsi="Calibri" w:cs="Calibri"/>
          <w:u w:val="single"/>
        </w:rPr>
        <w:t>Small</w:t>
      </w:r>
      <w:r w:rsidRPr="00DD7BD1">
        <w:rPr>
          <w:rFonts w:ascii="Calibri" w:hAnsi="Calibri" w:cs="Calibri"/>
          <w:spacing w:val="28"/>
          <w:u w:val="single"/>
        </w:rPr>
        <w:t xml:space="preserve"> </w:t>
      </w:r>
      <w:r w:rsidRPr="00DD7BD1">
        <w:rPr>
          <w:rFonts w:ascii="Calibri" w:hAnsi="Calibri" w:cs="Calibri"/>
          <w:u w:val="single"/>
        </w:rPr>
        <w:t>employers</w:t>
      </w:r>
      <w:r w:rsidRPr="00DD7BD1">
        <w:rPr>
          <w:rFonts w:ascii="Calibri" w:hAnsi="Calibri" w:cs="Calibri"/>
          <w:spacing w:val="33"/>
          <w:u w:val="single"/>
        </w:rPr>
        <w:t xml:space="preserve"> </w:t>
      </w:r>
      <w:r w:rsidRPr="00DD7BD1">
        <w:rPr>
          <w:rFonts w:ascii="Calibri" w:hAnsi="Calibri" w:cs="Calibri"/>
          <w:u w:val="single"/>
        </w:rPr>
        <w:t>don’t</w:t>
      </w:r>
      <w:r w:rsidRPr="00DD7BD1">
        <w:rPr>
          <w:rFonts w:ascii="Calibri" w:hAnsi="Calibri" w:cs="Calibri"/>
          <w:spacing w:val="25"/>
          <w:u w:val="single"/>
        </w:rPr>
        <w:t xml:space="preserve"> </w:t>
      </w:r>
      <w:r w:rsidRPr="00DD7BD1">
        <w:rPr>
          <w:rFonts w:ascii="Calibri" w:hAnsi="Calibri" w:cs="Calibri"/>
          <w:u w:val="single"/>
        </w:rPr>
        <w:t>have</w:t>
      </w:r>
      <w:r w:rsidRPr="00DD7BD1">
        <w:rPr>
          <w:rFonts w:ascii="Calibri" w:hAnsi="Calibri" w:cs="Calibri"/>
          <w:spacing w:val="32"/>
          <w:u w:val="single"/>
        </w:rPr>
        <w:t xml:space="preserve"> </w:t>
      </w:r>
      <w:r w:rsidRPr="00DD7BD1">
        <w:rPr>
          <w:rFonts w:ascii="Calibri" w:hAnsi="Calibri" w:cs="Calibri"/>
          <w:u w:val="single"/>
        </w:rPr>
        <w:t>to</w:t>
      </w:r>
      <w:r w:rsidRPr="00DD7BD1">
        <w:rPr>
          <w:rFonts w:ascii="Calibri" w:hAnsi="Calibri" w:cs="Calibri"/>
          <w:spacing w:val="32"/>
          <w:u w:val="single"/>
        </w:rPr>
        <w:t xml:space="preserve"> </w:t>
      </w:r>
      <w:r w:rsidRPr="00DD7BD1">
        <w:rPr>
          <w:rFonts w:ascii="Calibri" w:hAnsi="Calibri" w:cs="Calibri"/>
          <w:u w:val="single"/>
        </w:rPr>
        <w:t>comply</w:t>
      </w:r>
      <w:r w:rsidRPr="00DD7BD1">
        <w:rPr>
          <w:rFonts w:ascii="Calibri" w:hAnsi="Calibri" w:cs="Calibri"/>
          <w:spacing w:val="33"/>
          <w:u w:val="single"/>
        </w:rPr>
        <w:t xml:space="preserve"> </w:t>
      </w:r>
      <w:r w:rsidRPr="00DD7BD1">
        <w:rPr>
          <w:rFonts w:ascii="Calibri" w:hAnsi="Calibri" w:cs="Calibri"/>
          <w:u w:val="single"/>
        </w:rPr>
        <w:t>until</w:t>
      </w:r>
      <w:r w:rsidRPr="00DD7BD1">
        <w:rPr>
          <w:rFonts w:ascii="Calibri" w:hAnsi="Calibri" w:cs="Calibri"/>
          <w:spacing w:val="35"/>
          <w:u w:val="single"/>
        </w:rPr>
        <w:t xml:space="preserve"> </w:t>
      </w:r>
      <w:r w:rsidRPr="00DD7BD1">
        <w:rPr>
          <w:rFonts w:ascii="Calibri" w:hAnsi="Calibri" w:cs="Calibri"/>
          <w:color w:val="C00000"/>
          <w:u w:val="single" w:color="C00000"/>
        </w:rPr>
        <w:t>October</w:t>
      </w:r>
      <w:r w:rsidRPr="00DD7BD1">
        <w:rPr>
          <w:rFonts w:ascii="Calibri" w:hAnsi="Calibri" w:cs="Calibri"/>
          <w:color w:val="C00000"/>
          <w:spacing w:val="27"/>
          <w:u w:val="single" w:color="C00000"/>
        </w:rPr>
        <w:t xml:space="preserve"> </w:t>
      </w:r>
      <w:r w:rsidRPr="00DD7BD1">
        <w:rPr>
          <w:rFonts w:ascii="Calibri" w:hAnsi="Calibri" w:cs="Calibri"/>
          <w:color w:val="C00000"/>
          <w:u w:val="single" w:color="C00000"/>
        </w:rPr>
        <w:t>1,</w:t>
      </w:r>
      <w:r w:rsidRPr="00DD7BD1">
        <w:rPr>
          <w:rFonts w:ascii="Calibri" w:hAnsi="Calibri" w:cs="Calibri"/>
          <w:color w:val="C00000"/>
          <w:spacing w:val="31"/>
          <w:u w:val="single" w:color="C00000"/>
        </w:rPr>
        <w:t xml:space="preserve"> </w:t>
      </w:r>
      <w:r w:rsidRPr="00DD7BD1">
        <w:rPr>
          <w:rFonts w:ascii="Calibri" w:hAnsi="Calibri" w:cs="Calibri"/>
          <w:color w:val="C00000"/>
          <w:spacing w:val="-4"/>
          <w:u w:val="single" w:color="C00000"/>
        </w:rPr>
        <w:t>2025</w:t>
      </w:r>
    </w:p>
    <w:p w14:paraId="50ECFF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Small</w:t>
      </w:r>
      <w:r w:rsidRPr="00DD7BD1">
        <w:rPr>
          <w:rFonts w:ascii="Calibri" w:hAnsi="Calibri" w:cs="Calibri"/>
          <w:spacing w:val="-13"/>
          <w:w w:val="110"/>
        </w:rPr>
        <w:t xml:space="preserve"> </w:t>
      </w:r>
      <w:r w:rsidRPr="00DD7BD1">
        <w:rPr>
          <w:rFonts w:ascii="Calibri" w:hAnsi="Calibri" w:cs="Calibri"/>
          <w:w w:val="110"/>
        </w:rPr>
        <w:t>employers</w:t>
      </w:r>
      <w:r w:rsidRPr="00DD7BD1">
        <w:rPr>
          <w:rFonts w:ascii="Calibri" w:hAnsi="Calibri" w:cs="Calibri"/>
          <w:spacing w:val="-13"/>
          <w:w w:val="110"/>
        </w:rPr>
        <w:t xml:space="preserve"> </w:t>
      </w:r>
      <w:r w:rsidRPr="00DD7BD1">
        <w:rPr>
          <w:rFonts w:ascii="Calibri" w:hAnsi="Calibri" w:cs="Calibri"/>
          <w:w w:val="110"/>
        </w:rPr>
        <w:t>only</w:t>
      </w:r>
      <w:r w:rsidRPr="00DD7BD1">
        <w:rPr>
          <w:rFonts w:ascii="Calibri" w:hAnsi="Calibri" w:cs="Calibri"/>
          <w:spacing w:val="-13"/>
          <w:w w:val="110"/>
        </w:rPr>
        <w:t xml:space="preserve"> </w:t>
      </w:r>
      <w:r w:rsidRPr="00DD7BD1">
        <w:rPr>
          <w:rFonts w:ascii="Calibri" w:hAnsi="Calibri" w:cs="Calibri"/>
          <w:w w:val="110"/>
        </w:rPr>
        <w:t>need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provide</w:t>
      </w:r>
      <w:r w:rsidRPr="00DD7BD1">
        <w:rPr>
          <w:rFonts w:ascii="Calibri" w:hAnsi="Calibri" w:cs="Calibri"/>
          <w:spacing w:val="-10"/>
          <w:w w:val="110"/>
        </w:rPr>
        <w:t xml:space="preserve"> </w:t>
      </w:r>
      <w:r w:rsidRPr="00DD7BD1">
        <w:rPr>
          <w:rFonts w:ascii="Calibri" w:hAnsi="Calibri" w:cs="Calibri"/>
          <w:w w:val="110"/>
          <w:u w:val="single"/>
        </w:rPr>
        <w:t>40</w:t>
      </w:r>
      <w:r w:rsidRPr="00DD7BD1">
        <w:rPr>
          <w:rFonts w:ascii="Calibri" w:hAnsi="Calibri" w:cs="Calibri"/>
          <w:spacing w:val="-14"/>
          <w:w w:val="110"/>
          <w:u w:val="single"/>
        </w:rPr>
        <w:t xml:space="preserve"> </w:t>
      </w:r>
      <w:r w:rsidRPr="00DD7BD1">
        <w:rPr>
          <w:rFonts w:ascii="Calibri" w:hAnsi="Calibri" w:cs="Calibri"/>
          <w:w w:val="110"/>
          <w:u w:val="single"/>
        </w:rPr>
        <w:t>hours</w:t>
      </w:r>
      <w:r w:rsidRPr="00DD7BD1">
        <w:rPr>
          <w:rFonts w:ascii="Calibri" w:hAnsi="Calibri" w:cs="Calibri"/>
          <w:spacing w:val="-13"/>
          <w:w w:val="110"/>
          <w:u w:val="single"/>
        </w:rPr>
        <w:t xml:space="preserve"> </w:t>
      </w:r>
      <w:r w:rsidRPr="00DD7BD1">
        <w:rPr>
          <w:rFonts w:ascii="Calibri" w:hAnsi="Calibri" w:cs="Calibri"/>
          <w:w w:val="110"/>
          <w:u w:val="single"/>
        </w:rPr>
        <w:t>of</w:t>
      </w:r>
      <w:r w:rsidRPr="00DD7BD1">
        <w:rPr>
          <w:rFonts w:ascii="Calibri" w:hAnsi="Calibri" w:cs="Calibri"/>
          <w:spacing w:val="-14"/>
          <w:w w:val="110"/>
          <w:u w:val="single"/>
        </w:rPr>
        <w:t xml:space="preserve"> </w:t>
      </w:r>
      <w:r w:rsidRPr="00DD7BD1">
        <w:rPr>
          <w:rFonts w:ascii="Calibri" w:hAnsi="Calibri" w:cs="Calibri"/>
          <w:w w:val="110"/>
          <w:u w:val="single"/>
        </w:rPr>
        <w:t>paid</w:t>
      </w:r>
      <w:r w:rsidRPr="00DD7BD1">
        <w:rPr>
          <w:rFonts w:ascii="Calibri" w:hAnsi="Calibri" w:cs="Calibri"/>
          <w:spacing w:val="-14"/>
          <w:w w:val="110"/>
          <w:u w:val="single"/>
        </w:rPr>
        <w:t xml:space="preserve"> </w:t>
      </w:r>
      <w:r w:rsidRPr="00DD7BD1">
        <w:rPr>
          <w:rFonts w:ascii="Calibri" w:hAnsi="Calibri" w:cs="Calibri"/>
          <w:w w:val="110"/>
          <w:u w:val="single"/>
        </w:rPr>
        <w:t>sick</w:t>
      </w:r>
      <w:r w:rsidRPr="00DD7BD1">
        <w:rPr>
          <w:rFonts w:ascii="Calibri" w:hAnsi="Calibri" w:cs="Calibri"/>
          <w:spacing w:val="-11"/>
          <w:w w:val="110"/>
          <w:u w:val="single"/>
        </w:rPr>
        <w:t xml:space="preserve"> </w:t>
      </w:r>
      <w:r w:rsidRPr="00DD7BD1">
        <w:rPr>
          <w:rFonts w:ascii="Calibri" w:hAnsi="Calibri" w:cs="Calibri"/>
          <w:w w:val="110"/>
          <w:u w:val="single"/>
        </w:rPr>
        <w:t>leave</w:t>
      </w:r>
      <w:r w:rsidRPr="00DD7BD1">
        <w:rPr>
          <w:rFonts w:ascii="Calibri" w:hAnsi="Calibri" w:cs="Calibri"/>
          <w:spacing w:val="-11"/>
          <w:w w:val="110"/>
          <w:u w:val="single"/>
        </w:rPr>
        <w:t xml:space="preserve"> </w:t>
      </w:r>
      <w:r w:rsidRPr="00DD7BD1">
        <w:rPr>
          <w:rFonts w:ascii="Calibri" w:hAnsi="Calibri" w:cs="Calibri"/>
          <w:w w:val="110"/>
          <w:u w:val="single"/>
        </w:rPr>
        <w:t>per</w:t>
      </w:r>
      <w:r w:rsidRPr="00DD7BD1">
        <w:rPr>
          <w:rFonts w:ascii="Calibri" w:hAnsi="Calibri" w:cs="Calibri"/>
          <w:spacing w:val="-14"/>
          <w:w w:val="110"/>
          <w:u w:val="single"/>
        </w:rPr>
        <w:t xml:space="preserve"> </w:t>
      </w:r>
      <w:r w:rsidRPr="00DD7BD1">
        <w:rPr>
          <w:rFonts w:ascii="Calibri" w:hAnsi="Calibri" w:cs="Calibri"/>
          <w:w w:val="110"/>
          <w:u w:val="single"/>
        </w:rPr>
        <w:t>year</w:t>
      </w:r>
      <w:r w:rsidRPr="00DD7BD1">
        <w:rPr>
          <w:rFonts w:ascii="Calibri" w:hAnsi="Calibri" w:cs="Calibri"/>
          <w:spacing w:val="-11"/>
          <w:w w:val="110"/>
        </w:rPr>
        <w:t xml:space="preserve"> </w:t>
      </w:r>
      <w:r w:rsidRPr="00DD7BD1">
        <w:rPr>
          <w:rFonts w:ascii="Calibri" w:hAnsi="Calibri" w:cs="Calibri"/>
          <w:w w:val="110"/>
        </w:rPr>
        <w:t>(</w:t>
      </w:r>
      <w:proofErr w:type="gramStart"/>
      <w:r w:rsidRPr="00DD7BD1">
        <w:rPr>
          <w:rFonts w:ascii="Calibri" w:hAnsi="Calibri" w:cs="Calibri"/>
          <w:w w:val="110"/>
        </w:rPr>
        <w:t>the</w:t>
      </w:r>
      <w:proofErr w:type="gramEnd"/>
      <w:r w:rsidRPr="00DD7BD1">
        <w:rPr>
          <w:rFonts w:ascii="Calibri" w:hAnsi="Calibri" w:cs="Calibri"/>
          <w:spacing w:val="-11"/>
          <w:w w:val="110"/>
        </w:rPr>
        <w:t xml:space="preserve"> </w:t>
      </w:r>
      <w:r w:rsidRPr="00DD7BD1">
        <w:rPr>
          <w:rFonts w:ascii="Calibri" w:hAnsi="Calibri" w:cs="Calibri"/>
          <w:w w:val="110"/>
        </w:rPr>
        <w:t>additional</w:t>
      </w:r>
      <w:r w:rsidRPr="00DD7BD1">
        <w:rPr>
          <w:rFonts w:ascii="Calibri" w:hAnsi="Calibri" w:cs="Calibri"/>
          <w:spacing w:val="-14"/>
          <w:w w:val="110"/>
        </w:rPr>
        <w:t xml:space="preserve"> </w:t>
      </w:r>
      <w:r w:rsidRPr="00DD7BD1">
        <w:rPr>
          <w:rFonts w:ascii="Calibri" w:hAnsi="Calibri" w:cs="Calibri"/>
          <w:w w:val="110"/>
        </w:rPr>
        <w:t>32</w:t>
      </w:r>
      <w:r w:rsidRPr="00DD7BD1">
        <w:rPr>
          <w:rFonts w:ascii="Calibri" w:hAnsi="Calibri" w:cs="Calibri"/>
          <w:spacing w:val="-14"/>
          <w:w w:val="110"/>
        </w:rPr>
        <w:t xml:space="preserve"> </w:t>
      </w:r>
      <w:r w:rsidRPr="00DD7BD1">
        <w:rPr>
          <w:rFonts w:ascii="Calibri" w:hAnsi="Calibri" w:cs="Calibri"/>
          <w:w w:val="110"/>
        </w:rPr>
        <w:t xml:space="preserve">hours of </w:t>
      </w:r>
      <w:r w:rsidRPr="00DD7BD1">
        <w:rPr>
          <w:rFonts w:ascii="Calibri" w:hAnsi="Calibri" w:cs="Calibri"/>
          <w:i/>
          <w:w w:val="110"/>
        </w:rPr>
        <w:t xml:space="preserve">unpaid </w:t>
      </w:r>
      <w:r w:rsidRPr="00DD7BD1">
        <w:rPr>
          <w:rFonts w:ascii="Calibri" w:hAnsi="Calibri" w:cs="Calibri"/>
          <w:w w:val="110"/>
        </w:rPr>
        <w:t xml:space="preserve">sick leave is </w:t>
      </w:r>
      <w:r w:rsidRPr="00DD7BD1">
        <w:rPr>
          <w:rFonts w:ascii="Calibri" w:hAnsi="Calibri" w:cs="Calibri"/>
          <w:b/>
          <w:w w:val="110"/>
        </w:rPr>
        <w:t xml:space="preserve">not </w:t>
      </w:r>
      <w:r w:rsidRPr="00DD7BD1">
        <w:rPr>
          <w:rFonts w:ascii="Calibri" w:hAnsi="Calibri" w:cs="Calibri"/>
          <w:w w:val="110"/>
        </w:rPr>
        <w:t>required)</w:t>
      </w:r>
    </w:p>
    <w:p w14:paraId="2F1DA59A"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2"/>
          <w:w w:val="110"/>
        </w:rPr>
        <w:t xml:space="preserve"> </w:t>
      </w:r>
      <w:r w:rsidRPr="00DD7BD1">
        <w:rPr>
          <w:rFonts w:ascii="Calibri" w:hAnsi="Calibri" w:cs="Calibri"/>
          <w:w w:val="110"/>
        </w:rPr>
        <w:t>can</w:t>
      </w:r>
      <w:r w:rsidRPr="00DD7BD1">
        <w:rPr>
          <w:rFonts w:ascii="Calibri" w:hAnsi="Calibri" w:cs="Calibri"/>
          <w:spacing w:val="-14"/>
          <w:w w:val="110"/>
        </w:rPr>
        <w:t xml:space="preserve"> </w:t>
      </w:r>
      <w:r w:rsidRPr="00DD7BD1">
        <w:rPr>
          <w:rFonts w:ascii="Calibri" w:hAnsi="Calibri" w:cs="Calibri"/>
          <w:w w:val="110"/>
        </w:rPr>
        <w:t>make</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hires</w:t>
      </w:r>
      <w:r w:rsidRPr="00DD7BD1">
        <w:rPr>
          <w:rFonts w:ascii="Calibri" w:hAnsi="Calibri" w:cs="Calibri"/>
          <w:spacing w:val="-12"/>
          <w:w w:val="110"/>
        </w:rPr>
        <w:t xml:space="preserve"> </w:t>
      </w:r>
      <w:r w:rsidRPr="00DD7BD1">
        <w:rPr>
          <w:rFonts w:ascii="Calibri" w:hAnsi="Calibri" w:cs="Calibri"/>
          <w:w w:val="110"/>
        </w:rPr>
        <w:t>wait</w:t>
      </w:r>
      <w:r w:rsidRPr="00DD7BD1">
        <w:rPr>
          <w:rFonts w:ascii="Calibri" w:hAnsi="Calibri" w:cs="Calibri"/>
          <w:spacing w:val="-15"/>
          <w:w w:val="110"/>
        </w:rPr>
        <w:t xml:space="preserve"> </w:t>
      </w:r>
      <w:r w:rsidRPr="00DD7BD1">
        <w:rPr>
          <w:rFonts w:ascii="Calibri" w:hAnsi="Calibri" w:cs="Calibri"/>
          <w:w w:val="110"/>
        </w:rPr>
        <w:t>until</w:t>
      </w:r>
      <w:r w:rsidRPr="00DD7BD1">
        <w:rPr>
          <w:rFonts w:ascii="Calibri" w:hAnsi="Calibri" w:cs="Calibri"/>
          <w:spacing w:val="-14"/>
          <w:w w:val="110"/>
        </w:rPr>
        <w:t xml:space="preserve"> </w:t>
      </w:r>
      <w:r w:rsidRPr="00DD7BD1">
        <w:rPr>
          <w:rFonts w:ascii="Calibri" w:hAnsi="Calibri" w:cs="Calibri"/>
          <w:w w:val="110"/>
        </w:rPr>
        <w:t>their</w:t>
      </w:r>
      <w:r w:rsidRPr="00DD7BD1">
        <w:rPr>
          <w:rFonts w:ascii="Calibri" w:hAnsi="Calibri" w:cs="Calibri"/>
          <w:spacing w:val="-13"/>
          <w:w w:val="110"/>
        </w:rPr>
        <w:t xml:space="preserve"> </w:t>
      </w:r>
      <w:r w:rsidRPr="00DD7BD1">
        <w:rPr>
          <w:rFonts w:ascii="Calibri" w:hAnsi="Calibri" w:cs="Calibri"/>
          <w:w w:val="110"/>
        </w:rPr>
        <w:t>120th</w:t>
      </w:r>
      <w:r w:rsidRPr="00DD7BD1">
        <w:rPr>
          <w:rFonts w:ascii="Calibri" w:hAnsi="Calibri" w:cs="Calibri"/>
          <w:spacing w:val="-14"/>
          <w:w w:val="110"/>
        </w:rPr>
        <w:t xml:space="preserve"> </w:t>
      </w:r>
      <w:r w:rsidRPr="00DD7BD1">
        <w:rPr>
          <w:rFonts w:ascii="Calibri" w:hAnsi="Calibri" w:cs="Calibri"/>
          <w:w w:val="110"/>
        </w:rPr>
        <w:t>day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work</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use</w:t>
      </w:r>
      <w:r w:rsidRPr="00DD7BD1">
        <w:rPr>
          <w:rFonts w:ascii="Calibri" w:hAnsi="Calibri" w:cs="Calibri"/>
          <w:spacing w:val="-12"/>
          <w:w w:val="110"/>
        </w:rPr>
        <w:t xml:space="preserve"> </w:t>
      </w:r>
      <w:r w:rsidRPr="00DD7BD1">
        <w:rPr>
          <w:rFonts w:ascii="Calibri" w:hAnsi="Calibri" w:cs="Calibri"/>
          <w:w w:val="110"/>
        </w:rPr>
        <w:t>accrued</w:t>
      </w:r>
      <w:r w:rsidRPr="00DD7BD1">
        <w:rPr>
          <w:rFonts w:ascii="Calibri" w:hAnsi="Calibri" w:cs="Calibri"/>
          <w:spacing w:val="-14"/>
          <w:w w:val="110"/>
        </w:rPr>
        <w:t xml:space="preserve"> </w:t>
      </w:r>
      <w:r w:rsidRPr="00DD7BD1">
        <w:rPr>
          <w:rFonts w:ascii="Calibri" w:hAnsi="Calibri" w:cs="Calibri"/>
          <w:w w:val="110"/>
        </w:rPr>
        <w:t>earned</w:t>
      </w:r>
      <w:r w:rsidRPr="00DD7BD1">
        <w:rPr>
          <w:rFonts w:ascii="Calibri" w:hAnsi="Calibri" w:cs="Calibri"/>
          <w:spacing w:val="-14"/>
          <w:w w:val="110"/>
        </w:rPr>
        <w:t xml:space="preserve"> </w:t>
      </w:r>
      <w:r w:rsidRPr="00DD7BD1">
        <w:rPr>
          <w:rFonts w:ascii="Calibri" w:hAnsi="Calibri" w:cs="Calibri"/>
          <w:w w:val="110"/>
        </w:rPr>
        <w:t>sick</w:t>
      </w:r>
      <w:r w:rsidRPr="00DD7BD1">
        <w:rPr>
          <w:rFonts w:ascii="Calibri" w:hAnsi="Calibri" w:cs="Calibri"/>
          <w:spacing w:val="-12"/>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(EST) (instead of their 90th day)</w:t>
      </w:r>
    </w:p>
    <w:p w14:paraId="1F66C7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until</w:t>
      </w:r>
      <w:r w:rsidRPr="00DD7BD1">
        <w:rPr>
          <w:rFonts w:ascii="Calibri" w:hAnsi="Calibri" w:cs="Calibri"/>
          <w:spacing w:val="-15"/>
          <w:w w:val="110"/>
        </w:rPr>
        <w:t xml:space="preserve"> </w:t>
      </w:r>
      <w:r w:rsidRPr="00DD7BD1">
        <w:rPr>
          <w:rFonts w:ascii="Calibri" w:hAnsi="Calibri" w:cs="Calibri"/>
          <w:color w:val="C00000"/>
          <w:w w:val="110"/>
        </w:rPr>
        <w:t>March</w:t>
      </w:r>
      <w:r w:rsidRPr="00DD7BD1">
        <w:rPr>
          <w:rFonts w:ascii="Calibri" w:hAnsi="Calibri" w:cs="Calibri"/>
          <w:color w:val="C00000"/>
          <w:spacing w:val="-14"/>
          <w:w w:val="110"/>
        </w:rPr>
        <w:t xml:space="preserve"> </w:t>
      </w:r>
      <w:r w:rsidRPr="00DD7BD1">
        <w:rPr>
          <w:rFonts w:ascii="Calibri" w:hAnsi="Calibri" w:cs="Calibri"/>
          <w:color w:val="C00000"/>
          <w:w w:val="110"/>
        </w:rPr>
        <w:t>23</w:t>
      </w:r>
      <w:r w:rsidRPr="00DD7BD1">
        <w:rPr>
          <w:rFonts w:ascii="Calibri" w:hAnsi="Calibri" w:cs="Calibri"/>
          <w:color w:val="C00000"/>
          <w:spacing w:val="-13"/>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employees</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EST</w:t>
      </w:r>
      <w:r w:rsidRPr="00DD7BD1">
        <w:rPr>
          <w:rFonts w:ascii="Calibri" w:hAnsi="Calibri" w:cs="Calibri"/>
          <w:spacing w:val="-15"/>
          <w:w w:val="110"/>
        </w:rPr>
        <w:t xml:space="preserve"> </w:t>
      </w:r>
      <w:r w:rsidRPr="00DD7BD1">
        <w:rPr>
          <w:rFonts w:ascii="Calibri" w:hAnsi="Calibri" w:cs="Calibri"/>
          <w:w w:val="110"/>
        </w:rPr>
        <w:t>rights</w:t>
      </w:r>
      <w:r w:rsidRPr="00DD7BD1">
        <w:rPr>
          <w:rFonts w:ascii="Calibri" w:hAnsi="Calibri" w:cs="Calibri"/>
          <w:spacing w:val="-16"/>
          <w:w w:val="110"/>
        </w:rPr>
        <w:t xml:space="preserve"> </w:t>
      </w:r>
      <w:r w:rsidRPr="00DD7BD1">
        <w:rPr>
          <w:rFonts w:ascii="Calibri" w:hAnsi="Calibri" w:cs="Calibri"/>
          <w:w w:val="110"/>
        </w:rPr>
        <w:t>(instead</w:t>
      </w:r>
      <w:r w:rsidRPr="00DD7BD1">
        <w:rPr>
          <w:rFonts w:ascii="Calibri" w:hAnsi="Calibri" w:cs="Calibri"/>
          <w:spacing w:val="-16"/>
          <w:w w:val="110"/>
        </w:rPr>
        <w:t xml:space="preserve"> </w:t>
      </w:r>
      <w:r w:rsidRPr="00DD7BD1">
        <w:rPr>
          <w:rFonts w:ascii="Calibri" w:hAnsi="Calibri" w:cs="Calibri"/>
          <w:w w:val="110"/>
        </w:rPr>
        <w:t>of February</w:t>
      </w:r>
      <w:r w:rsidRPr="00DD7BD1">
        <w:rPr>
          <w:rFonts w:ascii="Calibri" w:hAnsi="Calibri" w:cs="Calibri"/>
          <w:spacing w:val="-4"/>
          <w:w w:val="110"/>
        </w:rPr>
        <w:t xml:space="preserve"> </w:t>
      </w:r>
      <w:r w:rsidRPr="00DD7BD1">
        <w:rPr>
          <w:rFonts w:ascii="Calibri" w:hAnsi="Calibri" w:cs="Calibri"/>
          <w:w w:val="110"/>
        </w:rPr>
        <w:t>21)</w:t>
      </w:r>
    </w:p>
    <w:p w14:paraId="450B1E65"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who</w:t>
      </w:r>
      <w:r w:rsidRPr="00DD7BD1">
        <w:rPr>
          <w:rFonts w:ascii="Calibri" w:hAnsi="Calibri" w:cs="Calibri"/>
          <w:spacing w:val="-10"/>
          <w:w w:val="110"/>
        </w:rPr>
        <w:t xml:space="preserve"> </w:t>
      </w:r>
      <w:r w:rsidRPr="00DD7BD1">
        <w:rPr>
          <w:rFonts w:ascii="Calibri" w:hAnsi="Calibri" w:cs="Calibri"/>
          <w:spacing w:val="-2"/>
          <w:w w:val="110"/>
        </w:rPr>
        <w:t>are</w:t>
      </w:r>
      <w:r w:rsidRPr="00DD7BD1">
        <w:rPr>
          <w:rFonts w:ascii="Calibri" w:hAnsi="Calibri" w:cs="Calibri"/>
          <w:spacing w:val="-9"/>
          <w:w w:val="110"/>
        </w:rPr>
        <w:t xml:space="preserve"> </w:t>
      </w:r>
      <w:r w:rsidRPr="00DD7BD1">
        <w:rPr>
          <w:rFonts w:ascii="Calibri" w:hAnsi="Calibri" w:cs="Calibri"/>
          <w:spacing w:val="-2"/>
          <w:w w:val="110"/>
        </w:rPr>
        <w:t>rehired</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11"/>
          <w:w w:val="110"/>
        </w:rPr>
        <w:t xml:space="preserve"> </w:t>
      </w:r>
      <w:r w:rsidRPr="00DD7BD1">
        <w:rPr>
          <w:rFonts w:ascii="Calibri" w:hAnsi="Calibri" w:cs="Calibri"/>
          <w:spacing w:val="-2"/>
          <w:w w:val="110"/>
        </w:rPr>
        <w:t>two</w:t>
      </w:r>
      <w:r w:rsidRPr="00DD7BD1">
        <w:rPr>
          <w:rFonts w:ascii="Calibri" w:hAnsi="Calibri" w:cs="Calibri"/>
          <w:spacing w:val="-10"/>
          <w:w w:val="110"/>
        </w:rPr>
        <w:t xml:space="preserve"> </w:t>
      </w:r>
      <w:r w:rsidRPr="00DD7BD1">
        <w:rPr>
          <w:rFonts w:ascii="Calibri" w:hAnsi="Calibri" w:cs="Calibri"/>
          <w:spacing w:val="-2"/>
          <w:w w:val="110"/>
        </w:rPr>
        <w:t>months</w:t>
      </w:r>
      <w:r w:rsidRPr="00DD7BD1">
        <w:rPr>
          <w:rFonts w:ascii="Calibri" w:hAnsi="Calibri" w:cs="Calibri"/>
          <w:spacing w:val="-10"/>
          <w:w w:val="110"/>
        </w:rPr>
        <w:t xml:space="preserve"> </w:t>
      </w:r>
      <w:r w:rsidRPr="00DD7BD1">
        <w:rPr>
          <w:rFonts w:ascii="Calibri" w:hAnsi="Calibri" w:cs="Calibri"/>
          <w:spacing w:val="-2"/>
          <w:w w:val="110"/>
        </w:rPr>
        <w:t>(instead</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six)</w:t>
      </w:r>
      <w:r w:rsidRPr="00DD7BD1">
        <w:rPr>
          <w:rFonts w:ascii="Calibri" w:hAnsi="Calibri" w:cs="Calibri"/>
          <w:spacing w:val="-11"/>
          <w:w w:val="110"/>
        </w:rPr>
        <w:t xml:space="preserve"> </w:t>
      </w:r>
      <w:r w:rsidRPr="00DD7BD1">
        <w:rPr>
          <w:rFonts w:ascii="Calibri" w:hAnsi="Calibri" w:cs="Calibri"/>
          <w:spacing w:val="-2"/>
          <w:w w:val="110"/>
        </w:rPr>
        <w:t>need</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have</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9"/>
          <w:w w:val="110"/>
        </w:rPr>
        <w:t xml:space="preserve"> </w:t>
      </w:r>
      <w:r w:rsidRPr="00DD7BD1">
        <w:rPr>
          <w:rFonts w:ascii="Calibri" w:hAnsi="Calibri" w:cs="Calibri"/>
          <w:spacing w:val="-2"/>
          <w:w w:val="110"/>
        </w:rPr>
        <w:t>unused</w:t>
      </w:r>
      <w:r w:rsidRPr="00DD7BD1">
        <w:rPr>
          <w:rFonts w:ascii="Calibri" w:hAnsi="Calibri" w:cs="Calibri"/>
          <w:spacing w:val="-8"/>
          <w:w w:val="110"/>
        </w:rPr>
        <w:t xml:space="preserve"> </w:t>
      </w:r>
      <w:r w:rsidRPr="00DD7BD1">
        <w:rPr>
          <w:rFonts w:ascii="Calibri" w:hAnsi="Calibri" w:cs="Calibri"/>
          <w:spacing w:val="-2"/>
          <w:w w:val="110"/>
        </w:rPr>
        <w:t>EST</w:t>
      </w:r>
      <w:r w:rsidRPr="00DD7BD1">
        <w:rPr>
          <w:rFonts w:ascii="Calibri" w:hAnsi="Calibri" w:cs="Calibri"/>
          <w:spacing w:val="-9"/>
          <w:w w:val="110"/>
        </w:rPr>
        <w:t xml:space="preserve"> </w:t>
      </w:r>
      <w:r w:rsidRPr="00DD7BD1">
        <w:rPr>
          <w:rFonts w:ascii="Calibri" w:hAnsi="Calibri" w:cs="Calibri"/>
          <w:spacing w:val="-2"/>
          <w:w w:val="110"/>
        </w:rPr>
        <w:t xml:space="preserve">restored, </w:t>
      </w:r>
      <w:r w:rsidRPr="00DD7BD1">
        <w:rPr>
          <w:rFonts w:ascii="Calibri" w:hAnsi="Calibri" w:cs="Calibri"/>
          <w:w w:val="110"/>
        </w:rPr>
        <w:t>unless it was paid out at termination</w:t>
      </w:r>
    </w:p>
    <w:p w14:paraId="5699E141" w14:textId="77777777" w:rsidR="003A22A9" w:rsidRPr="00DD7BD1" w:rsidRDefault="003A22A9" w:rsidP="003A22A9">
      <w:pPr>
        <w:pStyle w:val="BodyText"/>
        <w:spacing w:after="0" w:line="240" w:lineRule="auto"/>
        <w:ind w:right="-270"/>
        <w:rPr>
          <w:rFonts w:cs="Calibri"/>
          <w:w w:val="110"/>
          <w:sz w:val="16"/>
          <w:szCs w:val="16"/>
        </w:rPr>
      </w:pPr>
    </w:p>
    <w:p w14:paraId="54B7F994" w14:textId="68636F46" w:rsidR="003A22A9" w:rsidRPr="00DD7BD1" w:rsidRDefault="003A22A9" w:rsidP="003A22A9">
      <w:pPr>
        <w:spacing w:after="0" w:line="240" w:lineRule="auto"/>
        <w:jc w:val="center"/>
        <w:rPr>
          <w:rFonts w:ascii="Calibri" w:hAnsi="Calibri" w:cs="Calibri"/>
          <w:b/>
          <w:bCs/>
          <w:sz w:val="28"/>
          <w:szCs w:val="28"/>
          <w:shd w:val="clear" w:color="auto" w:fill="FFFFFF"/>
        </w:rPr>
      </w:pPr>
      <w:r w:rsidRPr="00DD7BD1">
        <w:rPr>
          <w:rFonts w:ascii="Calibri" w:hAnsi="Calibri" w:cs="Calibri"/>
          <w:w w:val="110"/>
        </w:rPr>
        <w:t>The</w:t>
      </w:r>
      <w:r w:rsidRPr="00DD7BD1">
        <w:rPr>
          <w:rFonts w:ascii="Calibri" w:hAnsi="Calibri" w:cs="Calibri"/>
          <w:spacing w:val="-16"/>
          <w:w w:val="110"/>
        </w:rPr>
        <w:t xml:space="preserve"> </w:t>
      </w:r>
      <w:hyperlink r:id="rId847">
        <w:r w:rsidRPr="00DD7BD1">
          <w:rPr>
            <w:rFonts w:ascii="Calibri" w:hAnsi="Calibri" w:cs="Calibri"/>
            <w:color w:val="0000FF"/>
            <w:w w:val="110"/>
            <w:u w:val="single" w:color="0000FF"/>
          </w:rPr>
          <w:t>notice</w:t>
        </w:r>
        <w:r w:rsidRPr="00DD7BD1">
          <w:rPr>
            <w:rFonts w:ascii="Calibri" w:hAnsi="Calibri" w:cs="Calibri"/>
            <w:color w:val="0000FF"/>
            <w:spacing w:val="-13"/>
            <w:w w:val="110"/>
            <w:u w:val="single" w:color="0000FF"/>
          </w:rPr>
          <w:t xml:space="preserve"> </w:t>
        </w:r>
        <w:r w:rsidRPr="00DD7BD1">
          <w:rPr>
            <w:rFonts w:ascii="Calibri" w:hAnsi="Calibri" w:cs="Calibri"/>
            <w:color w:val="0000FF"/>
            <w:w w:val="110"/>
            <w:u w:val="single" w:color="0000FF"/>
          </w:rPr>
          <w:t>poster</w:t>
        </w:r>
      </w:hyperlink>
      <w:r w:rsidRPr="00DD7BD1">
        <w:rPr>
          <w:rFonts w:ascii="Calibri" w:hAnsi="Calibri" w:cs="Calibri"/>
          <w:color w:val="0000FF"/>
          <w:spacing w:val="-15"/>
          <w:w w:val="110"/>
        </w:rPr>
        <w:t xml:space="preserve"> </w:t>
      </w:r>
      <w:r w:rsidRPr="00DD7BD1">
        <w:rPr>
          <w:rFonts w:ascii="Calibri" w:hAnsi="Calibri" w:cs="Calibri"/>
          <w:w w:val="110"/>
        </w:rPr>
        <w:t>provided</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5"/>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been</w:t>
      </w:r>
      <w:r w:rsidRPr="00DD7BD1">
        <w:rPr>
          <w:rFonts w:ascii="Calibri" w:hAnsi="Calibri" w:cs="Calibri"/>
          <w:spacing w:val="-18"/>
          <w:w w:val="110"/>
        </w:rPr>
        <w:t xml:space="preserve"> </w:t>
      </w:r>
      <w:r w:rsidRPr="00DD7BD1">
        <w:rPr>
          <w:rFonts w:ascii="Calibri" w:hAnsi="Calibri" w:cs="Calibri"/>
          <w:w w:val="110"/>
        </w:rPr>
        <w:t>updated,</w:t>
      </w:r>
      <w:r w:rsidRPr="00DD7BD1">
        <w:rPr>
          <w:rFonts w:ascii="Calibri" w:hAnsi="Calibri" w:cs="Calibri"/>
          <w:spacing w:val="-14"/>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have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1"/>
          <w:w w:val="110"/>
        </w:rPr>
        <w:t xml:space="preserve"> </w:t>
      </w:r>
      <w:hyperlink r:id="rId848">
        <w:r w:rsidRPr="00DD7BD1">
          <w:rPr>
            <w:rFonts w:ascii="Calibri" w:hAnsi="Calibri" w:cs="Calibri"/>
            <w:color w:val="0000FF"/>
            <w:w w:val="110"/>
            <w:u w:val="single" w:color="0000FF"/>
          </w:rPr>
          <w:t>FAQs</w:t>
        </w:r>
      </w:hyperlink>
      <w:r w:rsidRPr="00DD7BD1">
        <w:rPr>
          <w:rFonts w:ascii="Calibri" w:hAnsi="Calibri" w:cs="Calibri"/>
          <w:w w:val="110"/>
        </w:rPr>
        <w:t>. Access the amended</w:t>
      </w:r>
    </w:p>
    <w:bookmarkEnd w:id="109"/>
    <w:p w14:paraId="20AA46A5" w14:textId="6B87D309" w:rsidR="00BB4530" w:rsidRPr="00DD7BD1" w:rsidRDefault="00BB4530" w:rsidP="00BB4530">
      <w:pPr>
        <w:spacing w:after="0" w:line="240" w:lineRule="auto"/>
        <w:jc w:val="center"/>
        <w:rPr>
          <w:rFonts w:ascii="Calibri" w:hAnsi="Calibri" w:cs="Calibri"/>
          <w:color w:val="000000" w:themeColor="text1"/>
          <w:sz w:val="28"/>
          <w:szCs w:val="28"/>
          <w:shd w:val="clear" w:color="auto" w:fill="FFFFFF"/>
        </w:rPr>
      </w:pPr>
      <w:r w:rsidRPr="00DD7BD1">
        <w:rPr>
          <w:rFonts w:ascii="Calibri" w:hAnsi="Calibri" w:cs="Calibri"/>
          <w:b/>
          <w:bCs/>
          <w:sz w:val="28"/>
          <w:szCs w:val="28"/>
          <w:shd w:val="clear" w:color="auto" w:fill="FFFFFF"/>
        </w:rPr>
        <w:t xml:space="preserve">Updated </w:t>
      </w:r>
      <w:r w:rsidRPr="00DD7BD1">
        <w:rPr>
          <w:rFonts w:ascii="Calibri" w:hAnsi="Calibri" w:cs="Calibri"/>
          <w:b/>
          <w:bCs/>
          <w:color w:val="000000" w:themeColor="text1"/>
          <w:sz w:val="28"/>
          <w:szCs w:val="28"/>
          <w:shd w:val="clear" w:color="auto" w:fill="FFFFFF"/>
        </w:rPr>
        <w:t>Paid Sick Leave –</w:t>
      </w:r>
      <w:r w:rsidRPr="00DD7BD1">
        <w:rPr>
          <w:rFonts w:ascii="Calibri" w:hAnsi="Calibri" w:cs="Calibri"/>
          <w:b/>
          <w:bCs/>
          <w:color w:val="C00000"/>
          <w:sz w:val="28"/>
          <w:szCs w:val="28"/>
          <w:shd w:val="clear" w:color="auto" w:fill="FFFFFF"/>
        </w:rPr>
        <w:t>Eff 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DD7BD1"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Just hours before the new laws were to take effect on February 21, Michigan passed amendments (</w:t>
            </w:r>
            <w:hyperlink r:id="rId849" w:tgtFrame="_blank" w:history="1">
              <w:r w:rsidRPr="00DD7BD1">
                <w:rPr>
                  <w:rStyle w:val="Hyperlink"/>
                  <w:rFonts w:ascii="Calibri" w:hAnsi="Calibri" w:cs="Calibri"/>
                  <w:shd w:val="clear" w:color="auto" w:fill="FFFFFF"/>
                </w:rPr>
                <w:t>SB 8</w:t>
              </w:r>
            </w:hyperlink>
            <w:r w:rsidRPr="00DD7BD1">
              <w:rPr>
                <w:rFonts w:ascii="Calibri" w:hAnsi="Calibri" w:cs="Calibri"/>
                <w:color w:val="000000" w:themeColor="text1"/>
                <w:shd w:val="clear" w:color="auto" w:fill="FFFFFF"/>
              </w:rPr>
              <w:t> and </w:t>
            </w:r>
            <w:hyperlink r:id="rId850" w:tgtFrame="_blank" w:history="1">
              <w:r w:rsidRPr="00DD7BD1">
                <w:rPr>
                  <w:rStyle w:val="Hyperlink"/>
                  <w:rFonts w:ascii="Calibri" w:hAnsi="Calibri" w:cs="Calibri"/>
                  <w:shd w:val="clear" w:color="auto" w:fill="FFFFFF"/>
                </w:rPr>
                <w:t>HB 4002</w:t>
              </w:r>
            </w:hyperlink>
            <w:r w:rsidRPr="00DD7BD1">
              <w:rPr>
                <w:rFonts w:ascii="Calibri" w:hAnsi="Calibri" w:cs="Calibri"/>
                <w:color w:val="000000" w:themeColor="text1"/>
                <w:shd w:val="clear" w:color="auto" w:fill="FFFFFF"/>
              </w:rPr>
              <w:t xml:space="preserve">) to both minimum wage and sick leave. The changes took effect immediately when signed by the governor a few hours later. The key changes and clarifications </w:t>
            </w:r>
            <w:proofErr w:type="gramStart"/>
            <w:r w:rsidRPr="00DD7BD1">
              <w:rPr>
                <w:rFonts w:ascii="Calibri" w:hAnsi="Calibri" w:cs="Calibri"/>
                <w:color w:val="000000" w:themeColor="text1"/>
                <w:shd w:val="clear" w:color="auto" w:fill="FFFFFF"/>
              </w:rPr>
              <w:t>included</w:t>
            </w:r>
            <w:proofErr w:type="gramEnd"/>
            <w:r w:rsidRPr="00DD7BD1">
              <w:rPr>
                <w:rFonts w:ascii="Calibri" w:hAnsi="Calibri" w:cs="Calibri"/>
                <w:color w:val="000000" w:themeColor="text1"/>
                <w:shd w:val="clear" w:color="auto" w:fill="FFFFFF"/>
              </w:rPr>
              <w:t xml:space="preserve"> below:</w:t>
            </w:r>
          </w:p>
          <w:p w14:paraId="1D2B138F"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189A244D"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The future minimum wage increases are now a little bigger and coming a little sooner. </w:t>
            </w:r>
          </w:p>
          <w:p w14:paraId="6C6F5F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Min Wage Rates are now:</w:t>
            </w:r>
          </w:p>
          <w:p w14:paraId="07A282C9"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$13.73 per hour starting January 1, 2026</w:t>
            </w:r>
          </w:p>
          <w:p w14:paraId="0080193D"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$15 per hour starting January 1, 2027</w:t>
            </w:r>
          </w:p>
          <w:p w14:paraId="4D54DFD3"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p>
          <w:p w14:paraId="4C1B7101"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851" w:tgtFrame="_blank" w:history="1">
              <w:r w:rsidRPr="00DD7BD1">
                <w:rPr>
                  <w:rStyle w:val="Hyperlink"/>
                  <w:rFonts w:ascii="Calibri" w:hAnsi="Calibri" w:cs="Calibri"/>
                  <w:shd w:val="clear" w:color="auto" w:fill="FFFFFF"/>
                </w:rPr>
                <w:t>FAQ</w:t>
              </w:r>
            </w:hyperlink>
            <w:r w:rsidRPr="00DD7BD1">
              <w:rPr>
                <w:rFonts w:ascii="Calibri" w:hAnsi="Calibri" w:cs="Calibri"/>
                <w:color w:val="000000" w:themeColor="text1"/>
                <w:shd w:val="clear" w:color="auto" w:fill="FFFFFF"/>
              </w:rPr>
              <w:t>. </w:t>
            </w:r>
          </w:p>
          <w:p w14:paraId="53CB0004"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DCC6C53" w14:textId="77777777" w:rsidR="00BB4530" w:rsidRPr="00DD7BD1" w:rsidRDefault="00BB4530" w:rsidP="00FF1D47">
            <w:pPr>
              <w:tabs>
                <w:tab w:val="left" w:pos="10890"/>
              </w:tabs>
              <w:spacing w:after="0"/>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PAID SICK LEAVE</w:t>
            </w:r>
            <w:r w:rsidRPr="00DD7BD1">
              <w:rPr>
                <w:rFonts w:ascii="Calibri" w:hAnsi="Calibri" w:cs="Calibri"/>
                <w:color w:val="000000" w:themeColor="text1"/>
                <w:shd w:val="clear" w:color="auto" w:fill="FFFFFF"/>
              </w:rPr>
              <w:br/>
              <w:t>The legislature did </w:t>
            </w:r>
            <w:r w:rsidRPr="00DD7BD1">
              <w:rPr>
                <w:rFonts w:ascii="Calibri" w:hAnsi="Calibri" w:cs="Calibri"/>
                <w:bCs/>
                <w:i/>
                <w:iCs/>
                <w:color w:val="000000" w:themeColor="text1"/>
                <w:shd w:val="clear" w:color="auto" w:fill="FFFFFF"/>
              </w:rPr>
              <w:t>not</w:t>
            </w:r>
            <w:r w:rsidRPr="00DD7BD1">
              <w:rPr>
                <w:rFonts w:ascii="Calibri" w:hAnsi="Calibri" w:cs="Calibri"/>
                <w:color w:val="000000" w:themeColor="text1"/>
                <w:shd w:val="clear" w:color="auto" w:fill="FFFFFF"/>
              </w:rPr>
              <w:t> drastically overhaul the sick leave law (like they did back in 2018</w:t>
            </w:r>
            <w:proofErr w:type="gramStart"/>
            <w:r w:rsidRPr="00DD7BD1">
              <w:rPr>
                <w:rFonts w:ascii="Calibri" w:hAnsi="Calibri" w:cs="Calibri"/>
                <w:color w:val="000000" w:themeColor="text1"/>
                <w:shd w:val="clear" w:color="auto" w:fill="FFFFFF"/>
              </w:rPr>
              <w:t>), but</w:t>
            </w:r>
            <w:proofErr w:type="gramEnd"/>
            <w:r w:rsidRPr="00DD7BD1">
              <w:rPr>
                <w:rFonts w:ascii="Calibri" w:hAnsi="Calibri" w:cs="Calibri"/>
                <w:color w:val="000000" w:themeColor="text1"/>
                <w:shd w:val="clear" w:color="auto" w:fill="FFFFFF"/>
              </w:rPr>
              <w:t xml:space="preserve"> did make it a little easier to manage for small employers. They also added to or clarified a few aspects of the law. </w:t>
            </w:r>
          </w:p>
          <w:p w14:paraId="166481F3"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8D9F9EE"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hd w:val="clear" w:color="auto" w:fill="FFFFFF"/>
              </w:rPr>
            </w:pPr>
            <w:r w:rsidRPr="00DD7BD1">
              <w:rPr>
                <w:rFonts w:ascii="Calibri" w:hAnsi="Calibri" w:cs="Calibri"/>
                <w:b/>
                <w:bCs/>
                <w:color w:val="000000" w:themeColor="text1"/>
                <w:shd w:val="clear" w:color="auto" w:fill="FFFFFF"/>
              </w:rPr>
              <w:t>Key changes:</w:t>
            </w:r>
          </w:p>
          <w:p w14:paraId="4D55F13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definition of “small employer” is now an employer with 10 or fewer employees (instead of nine or fewer)</w:t>
            </w:r>
          </w:p>
          <w:p w14:paraId="75135E9C"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Small employers don’t have to comply until </w:t>
            </w:r>
            <w:r w:rsidRPr="00DD7BD1">
              <w:rPr>
                <w:rFonts w:ascii="Calibri" w:hAnsi="Calibri" w:cs="Calibri"/>
                <w:color w:val="C00000"/>
                <w:shd w:val="clear" w:color="auto" w:fill="FFFFFF"/>
              </w:rPr>
              <w:t>October 1, 2025</w:t>
            </w:r>
          </w:p>
          <w:p w14:paraId="0321772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Small employers only need to provide 40 hours of paid sick leave per year (</w:t>
            </w:r>
            <w:proofErr w:type="gramStart"/>
            <w:r w:rsidRPr="00DD7BD1">
              <w:rPr>
                <w:rFonts w:ascii="Calibri" w:hAnsi="Calibri" w:cs="Calibri"/>
                <w:color w:val="000000" w:themeColor="text1"/>
                <w:shd w:val="clear" w:color="auto" w:fill="FFFFFF"/>
              </w:rPr>
              <w:t>the</w:t>
            </w:r>
            <w:proofErr w:type="gramEnd"/>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additional 32 hours of </w:t>
            </w:r>
            <w:r w:rsidRPr="00DD7BD1">
              <w:rPr>
                <w:rFonts w:ascii="Calibri" w:hAnsi="Calibri" w:cs="Calibri"/>
                <w:i/>
                <w:iCs/>
                <w:color w:val="000000" w:themeColor="text1"/>
                <w:shd w:val="clear" w:color="auto" w:fill="FFFFFF"/>
              </w:rPr>
              <w:t>unpaid</w:t>
            </w:r>
            <w:r w:rsidRPr="00DD7BD1">
              <w:rPr>
                <w:rFonts w:ascii="Calibri" w:hAnsi="Calibri" w:cs="Calibri"/>
                <w:color w:val="000000" w:themeColor="text1"/>
                <w:shd w:val="clear" w:color="auto" w:fill="FFFFFF"/>
              </w:rPr>
              <w:t> sick leave is not required)</w:t>
            </w:r>
          </w:p>
          <w:p w14:paraId="35E46C48"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can make new hires wait until their 120th day of work to use accrued earned sick time (EST) (instead of their 90th day)</w:t>
            </w:r>
          </w:p>
          <w:p w14:paraId="171AD596"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Employers now have until </w:t>
            </w:r>
            <w:r w:rsidRPr="00DD7BD1">
              <w:rPr>
                <w:rFonts w:ascii="Calibri" w:hAnsi="Calibri" w:cs="Calibri"/>
                <w:color w:val="C00000"/>
                <w:shd w:val="clear" w:color="auto" w:fill="FFFFFF"/>
              </w:rPr>
              <w:t xml:space="preserve">March 23 </w:t>
            </w:r>
            <w:r w:rsidRPr="00DD7BD1">
              <w:rPr>
                <w:rFonts w:ascii="Calibri" w:hAnsi="Calibri" w:cs="Calibri"/>
                <w:color w:val="000000" w:themeColor="text1"/>
                <w:shd w:val="clear" w:color="auto" w:fill="FFFFFF"/>
              </w:rPr>
              <w:t>to provide employees with notice of their EST rights (instead of February 21)</w:t>
            </w:r>
          </w:p>
          <w:p w14:paraId="7B809449"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4FE143E7"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Key clarifications</w:t>
            </w:r>
            <w:r w:rsidRPr="00DD7BD1">
              <w:rPr>
                <w:rFonts w:ascii="Calibri" w:hAnsi="Calibri" w:cs="Calibri"/>
                <w:color w:val="000000" w:themeColor="text1"/>
                <w:shd w:val="clear" w:color="auto" w:fill="FFFFFF"/>
              </w:rPr>
              <w:t>—many of these provisions would have been assumed even though they were omitted, but now they are crystal clear:</w:t>
            </w:r>
          </w:p>
          <w:p w14:paraId="0FF6E4B7"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Frontloading is expressly allowed and alleviates the need for carryover</w:t>
            </w:r>
          </w:p>
          <w:p w14:paraId="0DB0F442"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lastRenderedPageBreak/>
              <w:t xml:space="preserve">When EST is used, it should be paid at the employee’s regular hourly rate or minimum wage (whichever is </w:t>
            </w:r>
            <w:proofErr w:type="gramStart"/>
            <w:r w:rsidRPr="00DD7BD1">
              <w:rPr>
                <w:rFonts w:ascii="Calibri" w:hAnsi="Calibri" w:cs="Calibri"/>
                <w:color w:val="000000" w:themeColor="text1"/>
                <w:shd w:val="clear" w:color="auto" w:fill="FFFFFF"/>
              </w:rPr>
              <w:t>greater)—</w:t>
            </w:r>
            <w:proofErr w:type="gramEnd"/>
            <w:r w:rsidRPr="00DD7BD1">
              <w:rPr>
                <w:rFonts w:ascii="Calibri" w:hAnsi="Calibri" w:cs="Calibri"/>
                <w:color w:val="000000" w:themeColor="text1"/>
                <w:shd w:val="clear" w:color="auto" w:fill="FFFFFF"/>
              </w:rPr>
              <w:t>overtime, commissions, tips, and bonuses are expressly excluded</w:t>
            </w:r>
          </w:p>
          <w:p w14:paraId="58974F28"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are expressly allowed to take disciplinary action against employees who use EST for inappropriate purposes</w:t>
            </w:r>
          </w:p>
          <w:p w14:paraId="3FC4A0CD"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who opt to have a single bank of paid time off only need to treat 72 hours of it like EST (or 40 for small employers)</w:t>
            </w:r>
          </w:p>
          <w:p w14:paraId="7559A832" w14:textId="77777777" w:rsidR="00BB4530" w:rsidRPr="00DD7BD1" w:rsidRDefault="00BB4530" w:rsidP="00FF1D47">
            <w:pPr>
              <w:tabs>
                <w:tab w:val="left" w:pos="10890"/>
              </w:tabs>
              <w:spacing w:after="0" w:line="240" w:lineRule="auto"/>
              <w:ind w:left="360" w:right="180"/>
              <w:rPr>
                <w:rFonts w:ascii="Calibri" w:hAnsi="Calibri" w:cs="Calibri"/>
                <w:color w:val="000000" w:themeColor="text1"/>
                <w:shd w:val="clear" w:color="auto" w:fill="FFFFFF"/>
              </w:rPr>
            </w:pPr>
          </w:p>
          <w:p w14:paraId="0B966A32"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w:t>
            </w:r>
            <w:hyperlink r:id="rId852" w:tgtFrame="_blank" w:history="1">
              <w:r w:rsidRPr="00DD7BD1">
                <w:rPr>
                  <w:rStyle w:val="Hyperlink"/>
                  <w:rFonts w:ascii="Calibri" w:hAnsi="Calibri" w:cs="Calibri"/>
                  <w:shd w:val="clear" w:color="auto" w:fill="FFFFFF"/>
                </w:rPr>
                <w:t>notice poster</w:t>
              </w:r>
            </w:hyperlink>
            <w:r w:rsidRPr="00DD7BD1">
              <w:rPr>
                <w:rFonts w:ascii="Calibri" w:hAnsi="Calibri" w:cs="Calibri"/>
                <w:color w:val="000000" w:themeColor="text1"/>
                <w:shd w:val="clear" w:color="auto" w:fill="FFFFFF"/>
              </w:rPr>
              <w:t> provided by the state has been updated, as have the </w:t>
            </w:r>
            <w:hyperlink r:id="rId853" w:tgtFrame="_blank" w:history="1">
              <w:r w:rsidRPr="00DD7BD1">
                <w:rPr>
                  <w:rStyle w:val="Hyperlink"/>
                  <w:rFonts w:ascii="Calibri" w:hAnsi="Calibri" w:cs="Calibri"/>
                  <w:shd w:val="clear" w:color="auto" w:fill="FFFFFF"/>
                </w:rPr>
                <w:t>FAQs</w:t>
              </w:r>
            </w:hyperlink>
            <w:r w:rsidRPr="00DD7BD1">
              <w:rPr>
                <w:rFonts w:ascii="Calibri" w:hAnsi="Calibri" w:cs="Calibri"/>
                <w:color w:val="000000" w:themeColor="text1"/>
                <w:shd w:val="clear" w:color="auto" w:fill="FFFFFF"/>
              </w:rPr>
              <w:t xml:space="preserve">. </w:t>
            </w:r>
          </w:p>
          <w:p w14:paraId="2474C686"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Access the amended law </w:t>
            </w:r>
            <w:hyperlink r:id="rId854" w:tgtFrame="_blank" w:history="1">
              <w:r w:rsidRPr="00DD7BD1">
                <w:rPr>
                  <w:rStyle w:val="Hyperlink"/>
                  <w:rFonts w:ascii="Calibri" w:hAnsi="Calibri" w:cs="Calibri"/>
                  <w:shd w:val="clear" w:color="auto" w:fill="FFFFFF"/>
                </w:rPr>
                <w:t>here</w:t>
              </w:r>
            </w:hyperlink>
            <w:r w:rsidRPr="00DD7BD1">
              <w:rPr>
                <w:rFonts w:ascii="Calibri" w:hAnsi="Calibri" w:cs="Calibri"/>
                <w:color w:val="000000" w:themeColor="text1"/>
                <w:shd w:val="clear" w:color="auto" w:fill="FFFFFF"/>
              </w:rPr>
              <w:t>.</w:t>
            </w:r>
          </w:p>
          <w:p w14:paraId="53749041" w14:textId="77777777" w:rsidR="00BB4530" w:rsidRPr="00DD7BD1" w:rsidRDefault="00BB4530" w:rsidP="00BB4530">
            <w:pPr>
              <w:spacing w:after="0" w:line="240" w:lineRule="auto"/>
              <w:rPr>
                <w:rFonts w:ascii="Calibri" w:hAnsi="Calibri" w:cs="Calibri"/>
                <w:color w:val="000000" w:themeColor="text1"/>
                <w:shd w:val="clear" w:color="auto" w:fill="FFFFFF"/>
              </w:rPr>
            </w:pPr>
          </w:p>
        </w:tc>
      </w:tr>
    </w:tbl>
    <w:p w14:paraId="45AB9400" w14:textId="169014BF" w:rsidR="00BD445F" w:rsidRPr="00DD7BD1" w:rsidRDefault="00BD445F" w:rsidP="00BB453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Expands Child Labor Protections – </w:t>
      </w:r>
      <w:r w:rsidRPr="00DD7BD1">
        <w:rPr>
          <w:rFonts w:ascii="Calibri" w:hAnsi="Calibri" w:cs="Calibri"/>
          <w:b/>
          <w:bCs/>
          <w:color w:val="C00000"/>
          <w:sz w:val="28"/>
          <w:szCs w:val="28"/>
          <w:shd w:val="clear" w:color="auto" w:fill="FFFFFF"/>
          <w:lang w:val="en"/>
        </w:rPr>
        <w:t>April 2, 2025 &amp; Oct 2, 2026</w:t>
      </w:r>
    </w:p>
    <w:p w14:paraId="62599B3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take effect April 2, 2025, though some provisions, including the registration system requirements, are effective October 2, 2026. </w:t>
      </w:r>
      <w:hyperlink r:id="rId855" w:tgtFrame="_blank" w:history="1">
        <w:r w:rsidRPr="00DD7BD1">
          <w:rPr>
            <w:rStyle w:val="Hyperlink"/>
            <w:rFonts w:ascii="Calibri" w:hAnsi="Calibri" w:cs="Calibri"/>
            <w:shd w:val="clear" w:color="auto" w:fill="FFFFFF"/>
          </w:rPr>
          <w:t>MI HB 5594</w:t>
        </w:r>
      </w:hyperlink>
      <w:r w:rsidRPr="00DD7BD1">
        <w:rPr>
          <w:rFonts w:ascii="Calibri" w:hAnsi="Calibri" w:cs="Calibri"/>
          <w:shd w:val="clear" w:color="auto" w:fill="FFFFFF"/>
        </w:rPr>
        <w:t> was signed by the governor on January 16, 2025.</w:t>
      </w:r>
    </w:p>
    <w:p w14:paraId="1A81BB83" w14:textId="77777777" w:rsidR="00BD445F" w:rsidRPr="00DD7BD1" w:rsidRDefault="00BD445F" w:rsidP="00BD445F">
      <w:pPr>
        <w:spacing w:after="0" w:line="240" w:lineRule="auto"/>
        <w:jc w:val="center"/>
        <w:rPr>
          <w:rFonts w:ascii="Calibri" w:hAnsi="Calibri" w:cs="Calibri"/>
          <w:sz w:val="20"/>
          <w:szCs w:val="20"/>
          <w:shd w:val="clear" w:color="auto" w:fill="FFFFFF"/>
        </w:rPr>
      </w:pPr>
    </w:p>
    <w:p w14:paraId="7E0351B3" w14:textId="77777777" w:rsidR="00BD445F" w:rsidRPr="00DD7BD1" w:rsidRDefault="00BD445F" w:rsidP="00BD445F">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10" w:name="_Hlk190083637"/>
      <w:r w:rsidRPr="00DD7BD1">
        <w:rPr>
          <w:rFonts w:ascii="Calibri" w:hAnsi="Calibri" w:cs="Calibri"/>
          <w:b/>
          <w:bCs/>
          <w:sz w:val="28"/>
          <w:szCs w:val="28"/>
          <w:shd w:val="clear" w:color="auto" w:fill="FFFFFF"/>
          <w:lang w:val="en"/>
        </w:rPr>
        <w:t xml:space="preserve">State’s Earned Sick Time in Effect - </w:t>
      </w:r>
      <w:r w:rsidRPr="00DD7BD1">
        <w:rPr>
          <w:rFonts w:ascii="Calibri" w:hAnsi="Calibri" w:cs="Calibri"/>
          <w:b/>
          <w:bCs/>
          <w:color w:val="C00000"/>
          <w:sz w:val="28"/>
          <w:szCs w:val="28"/>
          <w:shd w:val="clear" w:color="auto" w:fill="FFFFFF"/>
          <w:lang w:val="en"/>
        </w:rPr>
        <w:t>Feb 21, 2025</w:t>
      </w:r>
    </w:p>
    <w:bookmarkEnd w:id="110"/>
    <w:p w14:paraId="60623A4F"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Earned Sick Time Act requires employers of </w:t>
      </w:r>
      <w:r w:rsidRPr="00DD7BD1">
        <w:rPr>
          <w:rFonts w:ascii="Calibri" w:hAnsi="Calibri" w:cs="Calibri"/>
          <w:i/>
          <w:iCs/>
          <w:shd w:val="clear" w:color="auto" w:fill="FFFFFF"/>
        </w:rPr>
        <w:t>all sizes</w:t>
      </w:r>
      <w:r w:rsidRPr="00DD7BD1">
        <w:rPr>
          <w:rFonts w:ascii="Calibri" w:hAnsi="Calibri" w:cs="Calibri"/>
          <w:shd w:val="clear" w:color="auto" w:fill="FFFFFF"/>
        </w:rPr>
        <w:t xml:space="preserve"> to provide paid earned sick time (EST) to all Michigan employees, up to 72 hours per year. There </w:t>
      </w:r>
      <w:proofErr w:type="gramStart"/>
      <w:r w:rsidRPr="00DD7BD1">
        <w:rPr>
          <w:rFonts w:ascii="Calibri" w:hAnsi="Calibri" w:cs="Calibri"/>
          <w:shd w:val="clear" w:color="auto" w:fill="FFFFFF"/>
        </w:rPr>
        <w:t>are</w:t>
      </w:r>
      <w:proofErr w:type="gramEnd"/>
      <w:r w:rsidRPr="00DD7BD1">
        <w:rPr>
          <w:rFonts w:ascii="Calibri" w:hAnsi="Calibri" w:cs="Calibri"/>
          <w:shd w:val="clear" w:color="auto" w:fill="FFFFFF"/>
        </w:rPr>
        <w:t xml:space="preserve"> no exemption for small employers; however, those with nine or fewer employees only </w:t>
      </w:r>
      <w:proofErr w:type="gramStart"/>
      <w:r w:rsidRPr="00DD7BD1">
        <w:rPr>
          <w:rFonts w:ascii="Calibri" w:hAnsi="Calibri" w:cs="Calibri"/>
          <w:shd w:val="clear" w:color="auto" w:fill="FFFFFF"/>
        </w:rPr>
        <w:t>have to</w:t>
      </w:r>
      <w:proofErr w:type="gramEnd"/>
      <w:r w:rsidRPr="00DD7BD1">
        <w:rPr>
          <w:rFonts w:ascii="Calibri" w:hAnsi="Calibri" w:cs="Calibri"/>
          <w:shd w:val="clear" w:color="auto" w:fill="FFFFFF"/>
        </w:rPr>
        <w:t xml:space="preserve"> pay for the first 40 hours of EST used—any remaining hours can be unpaid.</w:t>
      </w:r>
    </w:p>
    <w:p w14:paraId="3363D353"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17AEDCD7"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79A005B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Accrual and Carryover</w:t>
      </w:r>
      <w:r w:rsidRPr="00DD7BD1">
        <w:rPr>
          <w:rFonts w:ascii="Calibri" w:hAnsi="Calibri" w:cs="Calibri"/>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According to FAQs from LEO, employers are permitted to frontload all 72 hours (or more) at the beginning of the benefit year. Prorating is not addressed.</w:t>
      </w:r>
    </w:p>
    <w:p w14:paraId="50DAF1E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Carryover of unused, accrued EST must be allowed from year to year, even if frontloaded.</w:t>
      </w:r>
    </w:p>
    <w:p w14:paraId="7A7E2A30"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Use</w:t>
      </w:r>
      <w:r w:rsidRPr="00DD7BD1">
        <w:rPr>
          <w:rFonts w:ascii="Calibri" w:hAnsi="Calibri" w:cs="Calibri"/>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Their own or their family member’s mental or physical illness, injury, or health condition, including medical diagnosis, care, treatment, or preventive medical care</w:t>
      </w:r>
    </w:p>
    <w:p w14:paraId="187BF035"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domestic violence or sexual assault</w:t>
      </w:r>
    </w:p>
    <w:p w14:paraId="65BAE3CA"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Meetings at their child’s school or place of care related to the child’s health, disability, or the effects of domestic violence or sexual assault on the child</w:t>
      </w:r>
    </w:p>
    <w:p w14:paraId="4DC1A19C"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closure of their workplace or their child’s school or place of care by a public health official because of a public health emergency</w:t>
      </w:r>
    </w:p>
    <w:p w14:paraId="1861C6B9"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limiting the spread of a communicable disease</w:t>
      </w:r>
    </w:p>
    <w:p w14:paraId="7A11740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can cap annual use of EST at 72 hours.</w:t>
      </w:r>
    </w:p>
    <w:p w14:paraId="0A9C518A"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29F0C252"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Documentation</w:t>
      </w:r>
      <w:r w:rsidRPr="00DD7BD1">
        <w:rPr>
          <w:rFonts w:ascii="Calibri" w:hAnsi="Calibri" w:cs="Calibri"/>
          <w:shd w:val="clear" w:color="auto" w:fill="FFFFFF"/>
        </w:rPr>
        <w:br/>
        <w:t>When employees use EST for </w:t>
      </w:r>
      <w:r w:rsidRPr="00DD7BD1">
        <w:rPr>
          <w:rFonts w:ascii="Calibri" w:hAnsi="Calibri" w:cs="Calibri"/>
          <w:i/>
          <w:iCs/>
          <w:shd w:val="clear" w:color="auto" w:fill="FFFFFF"/>
        </w:rPr>
        <w:t>more</w:t>
      </w:r>
      <w:r w:rsidRPr="00DD7BD1">
        <w:rPr>
          <w:rFonts w:ascii="Calibri" w:hAnsi="Calibri" w:cs="Calibri"/>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19B81B4B"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Notice</w:t>
      </w:r>
      <w:r w:rsidRPr="00DD7BD1">
        <w:rPr>
          <w:rFonts w:ascii="Calibri" w:hAnsi="Calibri" w:cs="Calibri"/>
          <w:shd w:val="clear" w:color="auto" w:fill="FFFFFF"/>
        </w:rPr>
        <w:br/>
        <w:t xml:space="preserve">Employers need to give written notice to employees about their EST rights by February 21, 2025, or upon hire—whichever is later. </w:t>
      </w:r>
      <w:r w:rsidRPr="00DD7BD1">
        <w:rPr>
          <w:rFonts w:ascii="Calibri" w:hAnsi="Calibri" w:cs="Calibri"/>
          <w:shd w:val="clear" w:color="auto" w:fill="FFFFFF"/>
        </w:rPr>
        <w:lastRenderedPageBreak/>
        <w:t>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856"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46FBC365"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4383C78B"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More Information</w:t>
      </w:r>
      <w:r w:rsidRPr="00DD7BD1">
        <w:rPr>
          <w:rFonts w:ascii="Calibri" w:hAnsi="Calibri" w:cs="Calibri"/>
          <w:b/>
          <w:bCs/>
          <w:shd w:val="clear" w:color="auto" w:fill="FFFFFF"/>
        </w:rPr>
        <w:br/>
      </w:r>
      <w:r w:rsidRPr="00DD7BD1">
        <w:rPr>
          <w:rFonts w:ascii="Calibri" w:hAnsi="Calibri" w:cs="Calibri"/>
          <w:shd w:val="clear" w:color="auto" w:fill="FFFFFF"/>
        </w:rPr>
        <w:t>LEO has created an </w:t>
      </w:r>
      <w:hyperlink r:id="rId857" w:tgtFrame="_blank" w:history="1">
        <w:r w:rsidRPr="00DD7BD1">
          <w:rPr>
            <w:rStyle w:val="Hyperlink"/>
            <w:rFonts w:ascii="Calibri" w:hAnsi="Calibri" w:cs="Calibri"/>
            <w:shd w:val="clear" w:color="auto" w:fill="FFFFFF"/>
          </w:rPr>
          <w:t>EST website</w:t>
        </w:r>
      </w:hyperlink>
      <w:r w:rsidRPr="00DD7BD1">
        <w:rPr>
          <w:rFonts w:ascii="Calibri" w:hAnsi="Calibri" w:cs="Calibri"/>
          <w:shd w:val="clear" w:color="auto" w:fill="FFFFFF"/>
        </w:rPr>
        <w:t> with FAQs, informational slides, postings, and more.</w:t>
      </w:r>
    </w:p>
    <w:p w14:paraId="318AEEC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Note that legislation is currently pending that could make additional changes to these laws, if passed. These changes </w:t>
      </w:r>
      <w:r w:rsidRPr="00DD7BD1">
        <w:rPr>
          <w:rFonts w:ascii="Calibri" w:hAnsi="Calibri" w:cs="Calibri"/>
          <w:i/>
          <w:iCs/>
          <w:shd w:val="clear" w:color="auto" w:fill="FFFFFF"/>
        </w:rPr>
        <w:t>could</w:t>
      </w:r>
      <w:r w:rsidRPr="00DD7BD1">
        <w:rPr>
          <w:rFonts w:ascii="Calibri" w:hAnsi="Calibri" w:cs="Calibri"/>
          <w:shd w:val="clear" w:color="auto" w:fill="FFFFFF"/>
        </w:rPr>
        <w:t> take effect before February 21, though that appears unlikely. We’ll be monitoring the situation closely and will provide updates as needed.</w:t>
      </w:r>
    </w:p>
    <w:p w14:paraId="7C2E47F2" w14:textId="77777777" w:rsidR="00BD445F" w:rsidRPr="00DD7BD1" w:rsidRDefault="00BD445F" w:rsidP="00CD70B8">
      <w:pPr>
        <w:spacing w:after="0" w:line="240" w:lineRule="auto"/>
        <w:jc w:val="center"/>
        <w:rPr>
          <w:rFonts w:ascii="Calibri" w:hAnsi="Calibri" w:cs="Calibri"/>
          <w:b/>
          <w:bCs/>
          <w:sz w:val="20"/>
          <w:szCs w:val="20"/>
          <w:shd w:val="clear" w:color="auto" w:fill="FFFFFF"/>
        </w:rPr>
      </w:pPr>
    </w:p>
    <w:p w14:paraId="05BAA641" w14:textId="3DBC4EF8"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State Issues FAQs and Other Materials for Earned Sick Time Act – </w:t>
      </w:r>
      <w:r w:rsidRPr="00DD7BD1">
        <w:rPr>
          <w:rFonts w:ascii="Calibri" w:hAnsi="Calibri" w:cs="Calibri"/>
          <w:b/>
          <w:bCs/>
          <w:color w:val="C00000"/>
          <w:sz w:val="28"/>
          <w:szCs w:val="28"/>
          <w:shd w:val="clear" w:color="auto" w:fill="FFFFFF"/>
        </w:rPr>
        <w:t>Feb 21, 2025</w:t>
      </w:r>
    </w:p>
    <w:p w14:paraId="6488B8B8" w14:textId="77777777" w:rsidR="00CD70B8" w:rsidRPr="00DD7BD1" w:rsidRDefault="00CD70B8" w:rsidP="00CD70B8">
      <w:pPr>
        <w:spacing w:after="0" w:line="240" w:lineRule="auto"/>
        <w:rPr>
          <w:rFonts w:ascii="Calibri" w:hAnsi="Calibri" w:cs="Calibri"/>
        </w:rPr>
      </w:pPr>
      <w:r w:rsidRPr="00DD7BD1">
        <w:rPr>
          <w:rFonts w:ascii="Calibri" w:hAnsi="Calibri" w:cs="Calibri"/>
        </w:rPr>
        <w:t>The Michigan Department of Labor and Economic Opportunity has published answers to frequently asked questions (</w:t>
      </w:r>
      <w:hyperlink r:id="rId858" w:history="1">
        <w:r w:rsidRPr="00DD7BD1">
          <w:rPr>
            <w:rStyle w:val="Hyperlink"/>
            <w:rFonts w:ascii="Calibri" w:hAnsi="Calibri" w:cs="Calibri"/>
          </w:rPr>
          <w:t>FAQs</w:t>
        </w:r>
      </w:hyperlink>
      <w:r w:rsidRPr="00DD7BD1">
        <w:rPr>
          <w:rFonts w:ascii="Calibri" w:hAnsi="Calibri" w:cs="Calibri"/>
        </w:rPr>
        <w:t xml:space="preserve">) about the upcoming </w:t>
      </w:r>
      <w:hyperlink r:id="rId859" w:history="1">
        <w:r w:rsidRPr="00DD7BD1">
          <w:rPr>
            <w:rStyle w:val="Hyperlink"/>
            <w:rFonts w:ascii="Calibri" w:hAnsi="Calibri" w:cs="Calibri"/>
          </w:rPr>
          <w:t>Earned Sick Time Act</w:t>
        </w:r>
      </w:hyperlink>
      <w:r w:rsidRPr="00DD7BD1">
        <w:rPr>
          <w:rFonts w:ascii="Calibri" w:hAnsi="Calibri" w:cs="Calibri"/>
        </w:rPr>
        <w:t xml:space="preserve"> (ESTA) that will take effect Feb. 21, 2025. The department has also posted a </w:t>
      </w:r>
      <w:hyperlink r:id="rId860" w:history="1">
        <w:r w:rsidRPr="00DD7BD1">
          <w:rPr>
            <w:rStyle w:val="Hyperlink"/>
            <w:rFonts w:ascii="Calibri" w:hAnsi="Calibri" w:cs="Calibri"/>
          </w:rPr>
          <w:t>brochure</w:t>
        </w:r>
      </w:hyperlink>
      <w:r w:rsidRPr="00DD7BD1">
        <w:rPr>
          <w:rFonts w:ascii="Calibri" w:hAnsi="Calibri" w:cs="Calibri"/>
        </w:rPr>
        <w:t xml:space="preserve"> and sample </w:t>
      </w:r>
      <w:hyperlink r:id="rId861" w:history="1">
        <w:r w:rsidRPr="00DD7BD1">
          <w:rPr>
            <w:rStyle w:val="Hyperlink"/>
            <w:rFonts w:ascii="Calibri" w:hAnsi="Calibri" w:cs="Calibri"/>
          </w:rPr>
          <w:t>workplace poster</w:t>
        </w:r>
      </w:hyperlink>
      <w:r w:rsidRPr="00DD7BD1">
        <w:rPr>
          <w:rFonts w:ascii="Calibri" w:hAnsi="Calibri" w:cs="Calibri"/>
        </w:rPr>
        <w:t xml:space="preserve"> on its website, along with a recorded webinar discussing the law. </w:t>
      </w:r>
    </w:p>
    <w:p w14:paraId="2102DBE5" w14:textId="77777777" w:rsidR="00CD70B8" w:rsidRPr="00DD7BD1" w:rsidRDefault="00CD70B8" w:rsidP="00837139">
      <w:pPr>
        <w:spacing w:after="0" w:line="240" w:lineRule="auto"/>
        <w:jc w:val="center"/>
        <w:rPr>
          <w:rFonts w:ascii="Calibri" w:hAnsi="Calibri" w:cs="Calibri"/>
          <w:b/>
          <w:bCs/>
          <w:shd w:val="clear" w:color="auto" w:fill="FFFFFF"/>
        </w:rPr>
      </w:pPr>
    </w:p>
    <w:p w14:paraId="6B6245CD" w14:textId="7EF53BC4" w:rsidR="00837139" w:rsidRPr="00DD7BD1" w:rsidRDefault="00837139" w:rsidP="00837139">
      <w:pPr>
        <w:spacing w:after="0" w:line="240" w:lineRule="auto"/>
        <w:jc w:val="center"/>
        <w:rPr>
          <w:rFonts w:ascii="Calibri" w:hAnsi="Calibri" w:cs="Calibri"/>
          <w:b/>
          <w:bCs/>
          <w:sz w:val="28"/>
          <w:szCs w:val="28"/>
          <w:shd w:val="clear" w:color="auto" w:fill="FFFFFF"/>
        </w:rPr>
      </w:pPr>
      <w:bookmarkStart w:id="111" w:name="_Hlk183166567"/>
      <w:r w:rsidRPr="00DD7BD1">
        <w:rPr>
          <w:rFonts w:ascii="Calibri" w:hAnsi="Calibri" w:cs="Calibri"/>
          <w:b/>
          <w:bCs/>
          <w:sz w:val="28"/>
          <w:szCs w:val="28"/>
          <w:shd w:val="clear" w:color="auto" w:fill="FFFFFF"/>
        </w:rPr>
        <w:t xml:space="preserve">State Supreme Court Increases Minimum Wage and Paid Leave – </w:t>
      </w:r>
      <w:r w:rsidRPr="00DD7BD1">
        <w:rPr>
          <w:rFonts w:ascii="Calibri" w:hAnsi="Calibri" w:cs="Calibri"/>
          <w:b/>
          <w:bCs/>
          <w:color w:val="C00000"/>
          <w:sz w:val="28"/>
          <w:szCs w:val="28"/>
          <w:shd w:val="clear" w:color="auto" w:fill="FFFFFF"/>
        </w:rPr>
        <w:t>Feb 2025</w:t>
      </w:r>
    </w:p>
    <w:bookmarkEnd w:id="111"/>
    <w:p w14:paraId="341CBC30" w14:textId="77777777" w:rsidR="00837139" w:rsidRPr="00DD7BD1" w:rsidRDefault="00837139" w:rsidP="00837139">
      <w:pPr>
        <w:pStyle w:val="Bullet"/>
        <w:numPr>
          <w:ilvl w:val="0"/>
          <w:numId w:val="0"/>
        </w:numPr>
        <w:spacing w:line="240" w:lineRule="auto"/>
        <w:rPr>
          <w:rStyle w:val="Hyperlink"/>
          <w:rFonts w:cs="Calibri"/>
          <w:color w:val="auto"/>
          <w:u w:val="none"/>
        </w:rPr>
      </w:pPr>
      <w:r w:rsidRPr="00DD7BD1">
        <w:rPr>
          <w:rFonts w:cs="Calibri"/>
          <w:color w:val="auto"/>
        </w:rPr>
        <w:t xml:space="preserve">Michigan Supreme Court </w:t>
      </w:r>
      <w:r w:rsidRPr="00DD7BD1">
        <w:rPr>
          <w:rFonts w:cs="Calibri"/>
          <w:color w:val="auto"/>
          <w:u w:val="single"/>
        </w:rPr>
        <w:t>reversed</w:t>
      </w:r>
      <w:r w:rsidRPr="00DD7BD1">
        <w:rPr>
          <w:rFonts w:cs="Calibri"/>
          <w:color w:val="auto"/>
        </w:rPr>
        <w:t xml:space="preserve"> a lower court decision, reinstating wage and paid sick leave laws presented as 2018 ballot initiatives. This means significant changes to Michigan’s minimum wage and paid sick leave requirements, including the eventual elimination of the tipped minimum wage. The ruling was issued in the case </w:t>
      </w:r>
      <w:r w:rsidRPr="00DD7BD1">
        <w:rPr>
          <w:rFonts w:cs="Calibri"/>
          <w:i/>
          <w:iCs/>
          <w:color w:val="auto"/>
        </w:rPr>
        <w:t>Mothering Justice v. Attorney General</w:t>
      </w:r>
      <w:r w:rsidRPr="00DD7BD1">
        <w:rPr>
          <w:rStyle w:val="Hyperlink"/>
          <w:rFonts w:cs="Calibri"/>
          <w:color w:val="auto"/>
          <w:u w:val="none"/>
        </w:rPr>
        <w:t>.</w:t>
      </w:r>
    </w:p>
    <w:p w14:paraId="4D6C5ADF" w14:textId="77777777" w:rsidR="00837139" w:rsidRPr="00DD7BD1" w:rsidRDefault="00837139" w:rsidP="00837139">
      <w:pPr>
        <w:pStyle w:val="Bullet"/>
        <w:numPr>
          <w:ilvl w:val="0"/>
          <w:numId w:val="0"/>
        </w:numPr>
        <w:spacing w:line="240" w:lineRule="auto"/>
        <w:rPr>
          <w:rStyle w:val="Hyperlink"/>
          <w:rFonts w:cs="Calibri"/>
          <w:color w:val="auto"/>
          <w:sz w:val="16"/>
          <w:szCs w:val="16"/>
          <w:u w:val="none"/>
        </w:rPr>
      </w:pPr>
    </w:p>
    <w:p w14:paraId="50E70A42" w14:textId="77777777" w:rsidR="00837139" w:rsidRPr="00DD7BD1" w:rsidRDefault="00837139" w:rsidP="00837139">
      <w:pPr>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w:t>
      </w:r>
      <w:r w:rsidRPr="00DD7BD1">
        <w:rPr>
          <w:rFonts w:ascii="Calibri" w:hAnsi="Calibri" w:cs="Calibri"/>
        </w:rPr>
        <w:t xml:space="preserve"> Employers should review the new minimum wage, comp time and expanded paid sick leave requirements to ensure compliance by Feb. 21, 2025. </w:t>
      </w:r>
    </w:p>
    <w:p w14:paraId="4A81595F" w14:textId="77777777" w:rsidR="00837139" w:rsidRPr="00DD7BD1" w:rsidRDefault="00837139" w:rsidP="00837139">
      <w:pPr>
        <w:pStyle w:val="Heading2"/>
        <w:rPr>
          <w:rFonts w:ascii="Calibri" w:hAnsi="Calibri" w:cs="Calibri"/>
          <w:b/>
          <w:bCs/>
          <w:color w:val="auto"/>
        </w:rPr>
      </w:pPr>
      <w:r w:rsidRPr="00DD7BD1">
        <w:rPr>
          <w:rFonts w:ascii="Calibri" w:hAnsi="Calibri" w:cs="Calibri"/>
          <w:b/>
          <w:bCs/>
          <w:color w:val="auto"/>
          <w:highlight w:val="lightGray"/>
        </w:rPr>
        <w:t>Paid Sick Leave Expansion</w:t>
      </w:r>
    </w:p>
    <w:p w14:paraId="5F4E71B8"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original paid sick leave provisions of the 2018 ballot initiative will take effect </w:t>
      </w:r>
      <w:r w:rsidRPr="00DD7BD1">
        <w:rPr>
          <w:rFonts w:ascii="Calibri" w:hAnsi="Calibri" w:cs="Calibri"/>
          <w:b/>
          <w:bCs/>
        </w:rPr>
        <w:t>Feb. 21, 2025</w:t>
      </w:r>
      <w:r w:rsidRPr="00DD7BD1">
        <w:rPr>
          <w:rFonts w:ascii="Calibri" w:hAnsi="Calibri" w:cs="Calibri"/>
        </w:rPr>
        <w:t xml:space="preserve">. </w:t>
      </w:r>
    </w:p>
    <w:p w14:paraId="5F6D825F"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legislature’s amendments to the ESTA significantly </w:t>
      </w:r>
      <w:r w:rsidRPr="00DD7BD1">
        <w:rPr>
          <w:rFonts w:ascii="Calibri" w:hAnsi="Calibri" w:cs="Calibri"/>
          <w:u w:val="single"/>
        </w:rPr>
        <w:t>narrowed employee benefits</w:t>
      </w:r>
      <w:r w:rsidRPr="00DD7BD1">
        <w:rPr>
          <w:rFonts w:ascii="Calibri" w:hAnsi="Calibri" w:cs="Calibri"/>
        </w:rPr>
        <w:t xml:space="preserve">, and they renamed the law the </w:t>
      </w:r>
      <w:hyperlink r:id="rId862" w:anchor=":~:text=AN%20ACT%20to%20require%20certain,and%20duties%20of%20certain%20state" w:history="1">
        <w:r w:rsidRPr="00DD7BD1">
          <w:rPr>
            <w:rStyle w:val="Hyperlink"/>
            <w:rFonts w:ascii="Calibri" w:hAnsi="Calibri" w:cs="Calibri"/>
          </w:rPr>
          <w:t>Paid Medical Leave Act</w:t>
        </w:r>
      </w:hyperlink>
      <w:r w:rsidRPr="00DD7BD1">
        <w:rPr>
          <w:rFonts w:ascii="Calibri" w:hAnsi="Calibri" w:cs="Calibri"/>
        </w:rPr>
        <w:t xml:space="preserve"> (PMLA), which is currently in effect. </w:t>
      </w:r>
    </w:p>
    <w:p w14:paraId="072F714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Key differences between the laws </w:t>
      </w:r>
      <w:proofErr w:type="gramStart"/>
      <w:r w:rsidRPr="00DD7BD1">
        <w:rPr>
          <w:rFonts w:ascii="Calibri" w:hAnsi="Calibri" w:cs="Calibri"/>
        </w:rPr>
        <w:t>include that</w:t>
      </w:r>
      <w:proofErr w:type="gramEnd"/>
      <w:r w:rsidRPr="00DD7BD1">
        <w:rPr>
          <w:rFonts w:ascii="Calibri" w:hAnsi="Calibri" w:cs="Calibri"/>
        </w:rPr>
        <w:t xml:space="preserve"> the more generous ESTA:</w:t>
      </w:r>
    </w:p>
    <w:p w14:paraId="42184598"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employers (the PMLA exempts employers with fewer than 50 employees);</w:t>
      </w:r>
    </w:p>
    <w:p w14:paraId="3832AB8A"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employees (the PMLA contains employee exemptions);</w:t>
      </w:r>
    </w:p>
    <w:p w14:paraId="0AEBA66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Requires accrual of one hour of leave per every 30 (not 35) hours worked;</w:t>
      </w:r>
    </w:p>
    <w:p w14:paraId="0D5A712B"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Allows employees to use 72 hours of leave annually instead of 40; and</w:t>
      </w:r>
    </w:p>
    <w:p w14:paraId="61B42C4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Prohibits employers from taking retaliatory action against employees.</w:t>
      </w:r>
    </w:p>
    <w:p w14:paraId="581284D7" w14:textId="77777777" w:rsidR="00837139" w:rsidRPr="00DD7BD1" w:rsidRDefault="00837139" w:rsidP="00837139">
      <w:pPr>
        <w:pStyle w:val="Bullet"/>
        <w:numPr>
          <w:ilvl w:val="0"/>
          <w:numId w:val="0"/>
        </w:numPr>
        <w:spacing w:line="240" w:lineRule="auto"/>
        <w:ind w:left="576"/>
        <w:rPr>
          <w:rFonts w:cs="Calibri"/>
          <w:color w:val="auto"/>
          <w:sz w:val="16"/>
          <w:szCs w:val="16"/>
        </w:rPr>
      </w:pPr>
    </w:p>
    <w:p w14:paraId="597F1408" w14:textId="77777777" w:rsidR="00837139" w:rsidRPr="00DD7BD1" w:rsidRDefault="00837139" w:rsidP="00837139">
      <w:pPr>
        <w:pStyle w:val="Heading2"/>
        <w:rPr>
          <w:rFonts w:ascii="Calibri" w:hAnsi="Calibri" w:cs="Calibri"/>
          <w:b/>
          <w:bCs/>
          <w:color w:val="auto"/>
          <w:highlight w:val="lightGray"/>
        </w:rPr>
      </w:pPr>
      <w:r w:rsidRPr="00DD7BD1">
        <w:rPr>
          <w:rFonts w:ascii="Calibri" w:hAnsi="Calibri" w:cs="Calibri"/>
          <w:b/>
          <w:bCs/>
          <w:color w:val="auto"/>
          <w:highlight w:val="lightGray"/>
        </w:rPr>
        <w:t>Minimum Wage Increases</w:t>
      </w:r>
    </w:p>
    <w:p w14:paraId="7B304E45" w14:textId="77777777" w:rsidR="00837139" w:rsidRPr="00DD7BD1" w:rsidRDefault="00837139" w:rsidP="00837139">
      <w:pPr>
        <w:pStyle w:val="BodyText"/>
        <w:spacing w:after="0" w:line="240" w:lineRule="auto"/>
        <w:rPr>
          <w:rFonts w:cs="Calibri"/>
          <w:color w:val="auto"/>
        </w:rPr>
      </w:pPr>
      <w:r w:rsidRPr="00DD7BD1">
        <w:rPr>
          <w:rFonts w:cs="Calibri"/>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2025</w:t>
      </w:r>
      <w:r w:rsidRPr="00DD7BD1">
        <w:rPr>
          <w:rFonts w:cs="Calibri"/>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2026</w:t>
      </w:r>
      <w:r w:rsidRPr="00DD7BD1">
        <w:rPr>
          <w:rFonts w:cs="Calibri"/>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2027</w:t>
      </w:r>
      <w:r w:rsidRPr="00DD7BD1">
        <w:rPr>
          <w:rFonts w:cs="Calibri"/>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2028</w:t>
      </w:r>
      <w:r w:rsidRPr="00DD7BD1">
        <w:rPr>
          <w:rFonts w:cs="Calibri"/>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2029, and thereafter</w:t>
      </w:r>
      <w:r w:rsidRPr="00DD7BD1">
        <w:rPr>
          <w:rFonts w:cs="Calibri"/>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Pr="00DD7BD1" w:rsidRDefault="00837139" w:rsidP="00837139">
      <w:pPr>
        <w:pStyle w:val="Bullet"/>
        <w:numPr>
          <w:ilvl w:val="0"/>
          <w:numId w:val="0"/>
        </w:numPr>
        <w:spacing w:line="240" w:lineRule="auto"/>
        <w:ind w:left="90"/>
        <w:rPr>
          <w:rFonts w:cs="Calibri"/>
          <w:color w:val="auto"/>
        </w:rPr>
      </w:pPr>
      <w:r w:rsidRPr="00DD7BD1">
        <w:rPr>
          <w:rFonts w:cs="Calibri"/>
          <w:color w:val="auto"/>
        </w:rPr>
        <w:t xml:space="preserve">In addition, on </w:t>
      </w:r>
      <w:r w:rsidRPr="00DD7BD1">
        <w:rPr>
          <w:rFonts w:cs="Calibri"/>
          <w:b/>
          <w:bCs/>
          <w:color w:val="auto"/>
        </w:rPr>
        <w:t>Feb. 21, 2025</w:t>
      </w:r>
      <w:r w:rsidRPr="00DD7BD1">
        <w:rPr>
          <w:rFonts w:cs="Calibri"/>
          <w:color w:val="auto"/>
        </w:rPr>
        <w:t xml:space="preserve">, another provision of the original Wage Act takes effect. Employees will be allowed to accrue 1.5 hours of paid time off for every hour of overtime worked in lieu of compensation (“comp time”), up to a maximum of 240 hours. </w:t>
      </w:r>
      <w:r w:rsidRPr="00DD7BD1">
        <w:rPr>
          <w:rFonts w:cs="Calibri"/>
          <w:color w:val="auto"/>
        </w:rPr>
        <w:lastRenderedPageBreak/>
        <w:t xml:space="preserve">The law allows employees to later convert the comp time back into compensation at the same wage they were earning when the hours accrued. </w:t>
      </w:r>
    </w:p>
    <w:p w14:paraId="252A60EA" w14:textId="77777777" w:rsidR="00837139" w:rsidRPr="00DD7BD1" w:rsidRDefault="00837139" w:rsidP="00837139">
      <w:pPr>
        <w:pStyle w:val="Bullet"/>
        <w:numPr>
          <w:ilvl w:val="0"/>
          <w:numId w:val="0"/>
        </w:numPr>
        <w:spacing w:line="240" w:lineRule="auto"/>
        <w:ind w:left="90"/>
        <w:rPr>
          <w:rFonts w:cs="Calibri"/>
          <w:color w:val="auto"/>
        </w:rPr>
      </w:pPr>
    </w:p>
    <w:p w14:paraId="5869BC1B" w14:textId="77777777" w:rsidR="00837139" w:rsidRPr="00DD7BD1" w:rsidRDefault="00837139" w:rsidP="00837139">
      <w:pPr>
        <w:spacing w:after="0" w:line="240" w:lineRule="auto"/>
        <w:rPr>
          <w:rStyle w:val="Strong"/>
          <w:rFonts w:ascii="Calibri" w:eastAsia="Times New Roman" w:hAnsi="Calibri" w:cs="Calibri"/>
          <w:sz w:val="2"/>
          <w:szCs w:val="2"/>
        </w:rPr>
      </w:pPr>
    </w:p>
    <w:p w14:paraId="3CEF6D9A" w14:textId="3EEAFFF2" w:rsidR="009040C5" w:rsidRPr="00DD7BD1" w:rsidRDefault="009040C5" w:rsidP="009040C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Michigan Expands Antidiscrimination Protections</w:t>
      </w:r>
    </w:p>
    <w:p w14:paraId="484C740D"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 xml:space="preserve">As of </w:t>
      </w:r>
      <w:r w:rsidRPr="00DD7BD1">
        <w:rPr>
          <w:rFonts w:ascii="Calibri" w:hAnsi="Calibri" w:cs="Calibri"/>
          <w:color w:val="C00000"/>
          <w:sz w:val="22"/>
          <w:szCs w:val="22"/>
        </w:rPr>
        <w:t>February 13, 2024</w:t>
      </w:r>
      <w:r w:rsidRPr="00DD7BD1">
        <w:rPr>
          <w:rFonts w:ascii="Calibri" w:hAnsi="Calibri" w:cs="Calibri"/>
          <w:color w:val="282828"/>
          <w:sz w:val="22"/>
          <w:szCs w:val="22"/>
        </w:rPr>
        <w:t xml:space="preserve">, Michigan has expanded its </w:t>
      </w:r>
      <w:proofErr w:type="gramStart"/>
      <w:r w:rsidRPr="00DD7BD1">
        <w:rPr>
          <w:rFonts w:ascii="Calibri" w:hAnsi="Calibri" w:cs="Calibri"/>
          <w:color w:val="282828"/>
          <w:sz w:val="22"/>
          <w:szCs w:val="22"/>
        </w:rPr>
        <w:t>antidiscrimination</w:t>
      </w:r>
      <w:proofErr w:type="gramEnd"/>
      <w:r w:rsidRPr="00DD7BD1">
        <w:rPr>
          <w:rFonts w:ascii="Calibri" w:hAnsi="Calibri" w:cs="Calibri"/>
          <w:color w:val="282828"/>
          <w:sz w:val="22"/>
          <w:szCs w:val="22"/>
        </w:rPr>
        <w:t xml:space="preserve"> law to prohibit discrimination against employees and applicants on two fronts. This law applies to employers of </w:t>
      </w:r>
      <w:r w:rsidRPr="00DD7BD1">
        <w:rPr>
          <w:rFonts w:ascii="Calibri" w:hAnsi="Calibri" w:cs="Calibri"/>
          <w:b/>
          <w:bCs/>
          <w:color w:val="282828"/>
          <w:sz w:val="22"/>
          <w:szCs w:val="22"/>
        </w:rPr>
        <w:t>all sizes</w:t>
      </w:r>
      <w:r w:rsidRPr="00DD7BD1">
        <w:rPr>
          <w:rFonts w:ascii="Calibri" w:hAnsi="Calibri" w:cs="Calibri"/>
          <w:color w:val="282828"/>
          <w:sz w:val="22"/>
          <w:szCs w:val="22"/>
        </w:rPr>
        <w:t>.</w:t>
      </w:r>
    </w:p>
    <w:p w14:paraId="380CFF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Expanded the definition of “sex” to include </w:t>
      </w:r>
      <w:r w:rsidRPr="00DD7BD1">
        <w:rPr>
          <w:rFonts w:ascii="Calibri" w:hAnsi="Calibri" w:cs="Calibri"/>
          <w:i/>
          <w:iCs/>
          <w:color w:val="282828"/>
          <w:sz w:val="22"/>
          <w:szCs w:val="22"/>
        </w:rPr>
        <w:t>all </w:t>
      </w:r>
      <w:r w:rsidRPr="00DD7BD1">
        <w:rPr>
          <w:rFonts w:ascii="Calibri" w:hAnsi="Calibri" w:cs="Calibri"/>
          <w:color w:val="282828"/>
          <w:sz w:val="22"/>
          <w:szCs w:val="22"/>
        </w:rPr>
        <w:t xml:space="preserve">terminations of pregnancy and related medical conditions. </w:t>
      </w:r>
    </w:p>
    <w:p w14:paraId="65A05D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State added </w:t>
      </w:r>
      <w:r w:rsidRPr="00DD7BD1">
        <w:rPr>
          <w:rFonts w:ascii="Calibri" w:hAnsi="Calibri" w:cs="Calibri"/>
          <w:b/>
          <w:bCs/>
          <w:sz w:val="22"/>
          <w:szCs w:val="22"/>
        </w:rPr>
        <w:t>sexual orientation</w:t>
      </w:r>
      <w:r w:rsidRPr="00DD7BD1">
        <w:rPr>
          <w:rFonts w:ascii="Calibri" w:hAnsi="Calibri" w:cs="Calibri"/>
          <w:sz w:val="22"/>
          <w:szCs w:val="22"/>
        </w:rPr>
        <w:t xml:space="preserve"> and </w:t>
      </w:r>
      <w:r w:rsidRPr="00DD7BD1">
        <w:rPr>
          <w:rFonts w:ascii="Calibri" w:hAnsi="Calibri" w:cs="Calibri"/>
          <w:b/>
          <w:bCs/>
          <w:sz w:val="22"/>
          <w:szCs w:val="22"/>
        </w:rPr>
        <w:t>gender identity or expression</w:t>
      </w:r>
      <w:r w:rsidRPr="00DD7BD1">
        <w:rPr>
          <w:rFonts w:ascii="Calibri" w:hAnsi="Calibri" w:cs="Calibri"/>
          <w:sz w:val="22"/>
          <w:szCs w:val="22"/>
        </w:rPr>
        <w:t xml:space="preserve"> as protected categories under the statute. </w:t>
      </w:r>
    </w:p>
    <w:p w14:paraId="541D92D5" w14:textId="77777777" w:rsidR="009040C5" w:rsidRPr="00DD7BD1" w:rsidRDefault="009040C5" w:rsidP="009040C5">
      <w:pPr>
        <w:pStyle w:val="NormalWeb"/>
        <w:shd w:val="clear" w:color="auto" w:fill="FFFFFF"/>
        <w:spacing w:before="0" w:beforeAutospacing="0" w:after="0" w:afterAutospacing="0"/>
        <w:jc w:val="both"/>
        <w:rPr>
          <w:rStyle w:val="Strong"/>
          <w:rFonts w:ascii="Calibri" w:hAnsi="Calibri" w:cs="Calibri"/>
          <w:sz w:val="16"/>
          <w:szCs w:val="16"/>
        </w:rPr>
      </w:pPr>
    </w:p>
    <w:p w14:paraId="5ED23109" w14:textId="62E815FE" w:rsidR="009040C5" w:rsidRPr="00DD7BD1" w:rsidRDefault="009040C5" w:rsidP="009040C5">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Employer Take Away:</w:t>
      </w:r>
      <w:r w:rsidRPr="00DD7BD1">
        <w:rPr>
          <w:rFonts w:ascii="Calibri" w:hAnsi="Calibri" w:cs="Calibri"/>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DD7BD1" w:rsidRDefault="00F85B67" w:rsidP="009040C5">
      <w:pPr>
        <w:pStyle w:val="NormalWeb"/>
        <w:shd w:val="clear" w:color="auto" w:fill="FFFFFF"/>
        <w:spacing w:before="0" w:beforeAutospacing="0" w:after="0" w:afterAutospacing="0"/>
        <w:rPr>
          <w:rFonts w:ascii="Calibri" w:hAnsi="Calibri" w:cs="Calibri"/>
          <w:sz w:val="16"/>
          <w:szCs w:val="16"/>
        </w:rPr>
      </w:pPr>
    </w:p>
    <w:p w14:paraId="39B17CE5" w14:textId="7B51B48B" w:rsidR="00584C3C" w:rsidRPr="00DD7BD1" w:rsidRDefault="00F85B67" w:rsidP="00F85B67">
      <w:pPr>
        <w:spacing w:after="0" w:line="240" w:lineRule="auto"/>
        <w:jc w:val="both"/>
        <w:rPr>
          <w:rFonts w:ascii="Calibri" w:hAnsi="Calibri" w:cs="Calibri"/>
          <w:b/>
          <w:bCs/>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Minnesota</w:t>
      </w:r>
    </w:p>
    <w:p w14:paraId="161BEC25" w14:textId="77777777" w:rsidR="00914E5D" w:rsidRDefault="00914E5D" w:rsidP="00914E5D">
      <w:pPr>
        <w:spacing w:after="0" w:line="240" w:lineRule="auto"/>
        <w:rPr>
          <w:b/>
          <w:bCs/>
          <w:caps/>
          <w:color w:val="0070C0"/>
          <w:sz w:val="28"/>
          <w:szCs w:val="28"/>
        </w:rPr>
      </w:pPr>
      <w:r w:rsidRPr="00D22628">
        <w:rPr>
          <w:b/>
          <w:bCs/>
          <w:caps/>
          <w:color w:val="0070C0"/>
          <w:sz w:val="28"/>
          <w:szCs w:val="28"/>
        </w:rPr>
        <w:t>New!</w:t>
      </w:r>
      <w:r w:rsidRPr="00D22628">
        <w:rPr>
          <w:b/>
          <w:bCs/>
          <w:caps/>
          <w:noProof/>
          <w:color w:val="0E425C"/>
          <w:sz w:val="28"/>
          <w:szCs w:val="28"/>
        </w:rPr>
        <w:t xml:space="preserve"> State Adopts New Paid Sick &amp; Safe Time Rules Effective</w:t>
      </w:r>
      <w:r w:rsidRPr="00D22628">
        <w:rPr>
          <w:b/>
          <w:bCs/>
          <w:caps/>
          <w:color w:val="0070C0"/>
          <w:sz w:val="28"/>
          <w:szCs w:val="28"/>
        </w:rPr>
        <w:t xml:space="preserve"> July 6, 2026</w:t>
      </w:r>
    </w:p>
    <w:p w14:paraId="483F069B" w14:textId="77777777" w:rsidR="00914E5D" w:rsidRPr="00AA509A" w:rsidRDefault="00914E5D" w:rsidP="00914E5D">
      <w:pPr>
        <w:spacing w:after="0" w:line="240" w:lineRule="auto"/>
        <w:rPr>
          <w:rFonts w:eastAsia="Times New Roman"/>
          <w:b/>
          <w:bCs/>
          <w:sz w:val="26"/>
          <w:szCs w:val="26"/>
        </w:rPr>
      </w:pPr>
      <w:r>
        <w:rPr>
          <w:rFonts w:eastAsia="Times New Roman"/>
          <w:b/>
          <w:bCs/>
          <w:sz w:val="26"/>
          <w:szCs w:val="26"/>
        </w:rPr>
        <w:t>Overview</w:t>
      </w:r>
      <w:r w:rsidRPr="00AA509A">
        <w:rPr>
          <w:rFonts w:eastAsia="Times New Roman"/>
          <w:b/>
          <w:bCs/>
          <w:sz w:val="26"/>
          <w:szCs w:val="26"/>
        </w:rPr>
        <w:t>:</w:t>
      </w:r>
    </w:p>
    <w:p w14:paraId="34ED46DE" w14:textId="77777777" w:rsidR="00914E5D" w:rsidRPr="00AA509A" w:rsidRDefault="00914E5D">
      <w:pPr>
        <w:numPr>
          <w:ilvl w:val="0"/>
          <w:numId w:val="389"/>
        </w:numPr>
        <w:spacing w:after="0" w:line="240" w:lineRule="auto"/>
        <w:rPr>
          <w:rFonts w:eastAsia="Times New Roman"/>
          <w:sz w:val="26"/>
          <w:szCs w:val="26"/>
        </w:rPr>
      </w:pPr>
      <w:r w:rsidRPr="00AA509A">
        <w:rPr>
          <w:rFonts w:eastAsia="Times New Roman"/>
          <w:sz w:val="26"/>
          <w:szCs w:val="26"/>
        </w:rPr>
        <w:t>New rules clarify various statutory requirements</w:t>
      </w:r>
    </w:p>
    <w:p w14:paraId="0DC49555" w14:textId="77777777" w:rsidR="00914E5D" w:rsidRPr="00AA509A" w:rsidRDefault="00914E5D">
      <w:pPr>
        <w:numPr>
          <w:ilvl w:val="0"/>
          <w:numId w:val="389"/>
        </w:numPr>
        <w:spacing w:after="0" w:line="240" w:lineRule="auto"/>
        <w:rPr>
          <w:rFonts w:eastAsia="Times New Roman"/>
          <w:sz w:val="26"/>
          <w:szCs w:val="26"/>
        </w:rPr>
      </w:pPr>
      <w:proofErr w:type="gramStart"/>
      <w:r w:rsidRPr="00AA509A">
        <w:rPr>
          <w:rFonts w:eastAsia="Times New Roman"/>
          <w:sz w:val="26"/>
          <w:szCs w:val="26"/>
        </w:rPr>
        <w:t>Of note</w:t>
      </w:r>
      <w:proofErr w:type="gramEnd"/>
      <w:r w:rsidRPr="00AA509A">
        <w:rPr>
          <w:rFonts w:eastAsia="Times New Roman"/>
          <w:sz w:val="26"/>
          <w:szCs w:val="26"/>
        </w:rPr>
        <w:t>, employers can continue to offer attendance-based incentives but cannot require employees to use leave</w:t>
      </w:r>
    </w:p>
    <w:p w14:paraId="49A199D2" w14:textId="77777777" w:rsidR="00914E5D" w:rsidRPr="00AA509A" w:rsidRDefault="00914E5D">
      <w:pPr>
        <w:numPr>
          <w:ilvl w:val="0"/>
          <w:numId w:val="389"/>
        </w:numPr>
        <w:spacing w:after="0" w:line="240" w:lineRule="auto"/>
        <w:rPr>
          <w:rFonts w:eastAsia="Times New Roman"/>
          <w:sz w:val="26"/>
          <w:szCs w:val="26"/>
        </w:rPr>
      </w:pPr>
      <w:r w:rsidRPr="00AA509A">
        <w:rPr>
          <w:rFonts w:eastAsia="Times New Roman"/>
          <w:sz w:val="26"/>
          <w:szCs w:val="26"/>
        </w:rPr>
        <w:t>Rules also address exceptions to when employers can request documentation, when leave is deemed “accrued,” and how the law affects employers that offer generous paid leave benefits</w:t>
      </w:r>
    </w:p>
    <w:p w14:paraId="5796F31E" w14:textId="77777777" w:rsidR="00914E5D" w:rsidRPr="00AA509A" w:rsidRDefault="00914E5D" w:rsidP="00914E5D">
      <w:pPr>
        <w:spacing w:after="0" w:line="240" w:lineRule="auto"/>
        <w:rPr>
          <w:rFonts w:eastAsia="Times New Roman"/>
          <w:b/>
          <w:bCs/>
          <w:sz w:val="26"/>
          <w:szCs w:val="26"/>
        </w:rPr>
      </w:pPr>
      <w:r w:rsidRPr="00AA509A">
        <w:rPr>
          <w:rFonts w:eastAsia="Times New Roman"/>
          <w:b/>
          <w:bCs/>
          <w:sz w:val="26"/>
          <w:szCs w:val="26"/>
          <w:highlight w:val="lightGray"/>
        </w:rPr>
        <w:t>Employer Takeaways:</w:t>
      </w:r>
    </w:p>
    <w:p w14:paraId="54F999F8" w14:textId="77777777" w:rsidR="00914E5D" w:rsidRPr="00AA509A" w:rsidRDefault="00914E5D" w:rsidP="00914E5D">
      <w:pPr>
        <w:spacing w:after="0" w:line="240" w:lineRule="auto"/>
        <w:rPr>
          <w:rFonts w:eastAsia="Times New Roman"/>
          <w:sz w:val="26"/>
          <w:szCs w:val="26"/>
        </w:rPr>
      </w:pPr>
      <w:r w:rsidRPr="00AA509A">
        <w:rPr>
          <w:rFonts w:eastAsia="Times New Roman"/>
          <w:sz w:val="26"/>
          <w:szCs w:val="26"/>
        </w:rPr>
        <w:t>Employers should determine whether the rules affect their paid sick and safe time (or other paid leave) policies, procedures, and practices, and respond accordingly by reviewing the Department of Labor &amp; Industry (DLI)’s published FAQs.</w:t>
      </w:r>
    </w:p>
    <w:p w14:paraId="0694914B" w14:textId="77777777" w:rsidR="00914E5D" w:rsidRPr="00530B66" w:rsidRDefault="00914E5D" w:rsidP="00914E5D">
      <w:pPr>
        <w:spacing w:after="0" w:line="240" w:lineRule="auto"/>
        <w:rPr>
          <w:b/>
          <w:bCs/>
          <w:caps/>
          <w:color w:val="0070C0"/>
          <w:sz w:val="28"/>
          <w:szCs w:val="28"/>
        </w:rPr>
      </w:pPr>
      <w:r w:rsidRPr="00AA509A">
        <w:rPr>
          <w:rFonts w:eastAsia="Times New Roman"/>
          <w:sz w:val="26"/>
          <w:szCs w:val="26"/>
        </w:rPr>
        <w:t xml:space="preserve">Because more information about the new rules </w:t>
      </w:r>
      <w:r w:rsidRPr="00D72911">
        <w:rPr>
          <w:sz w:val="26"/>
          <w:szCs w:val="26"/>
        </w:rPr>
        <w:t>may be published</w:t>
      </w:r>
      <w:r w:rsidRPr="00AA509A">
        <w:rPr>
          <w:rFonts w:eastAsia="Times New Roman"/>
          <w:sz w:val="26"/>
          <w:szCs w:val="26"/>
        </w:rPr>
        <w:t xml:space="preserve"> online, employers are encouraged to monitor Minnesota DLI’s </w:t>
      </w:r>
      <w:hyperlink r:id="rId863" w:tgtFrame="_blank" w:history="1">
        <w:r w:rsidRPr="00AA509A">
          <w:rPr>
            <w:rFonts w:eastAsia="Times New Roman"/>
            <w:b/>
            <w:sz w:val="26"/>
            <w:szCs w:val="26"/>
          </w:rPr>
          <w:t>earned sick and safe time webpage</w:t>
        </w:r>
      </w:hyperlink>
      <w:r w:rsidRPr="00AA509A">
        <w:rPr>
          <w:rFonts w:eastAsia="Times New Roman"/>
          <w:sz w:val="26"/>
          <w:szCs w:val="26"/>
        </w:rPr>
        <w:t xml:space="preserve">. The Department of Labor &amp; </w:t>
      </w:r>
      <w:r w:rsidRPr="00D72911">
        <w:rPr>
          <w:sz w:val="26"/>
          <w:szCs w:val="26"/>
        </w:rPr>
        <w:t xml:space="preserve">Industry’s </w:t>
      </w:r>
      <w:r w:rsidRPr="00AA509A">
        <w:rPr>
          <w:rFonts w:eastAsia="Times New Roman"/>
          <w:sz w:val="26"/>
          <w:szCs w:val="26"/>
        </w:rPr>
        <w:t>finalized </w:t>
      </w:r>
      <w:hyperlink r:id="rId864" w:tgtFrame="_blank" w:history="1">
        <w:r w:rsidRPr="00D72911">
          <w:rPr>
            <w:rStyle w:val="Hyperlink"/>
            <w:sz w:val="26"/>
            <w:szCs w:val="26"/>
          </w:rPr>
          <w:t>rules</w:t>
        </w:r>
      </w:hyperlink>
      <w:r w:rsidRPr="00AA509A">
        <w:rPr>
          <w:rFonts w:eastAsia="Times New Roman"/>
          <w:sz w:val="26"/>
          <w:szCs w:val="26"/>
        </w:rPr>
        <w:t xml:space="preserve"> can also be </w:t>
      </w:r>
      <w:r w:rsidRPr="00D72911">
        <w:rPr>
          <w:sz w:val="26"/>
          <w:szCs w:val="26"/>
        </w:rPr>
        <w:t>reviewed</w:t>
      </w:r>
      <w:r w:rsidRPr="00AA509A">
        <w:rPr>
          <w:rFonts w:eastAsia="Times New Roman"/>
          <w:sz w:val="26"/>
          <w:szCs w:val="26"/>
        </w:rPr>
        <w:t>.</w:t>
      </w:r>
    </w:p>
    <w:p w14:paraId="0C96A7B1" w14:textId="77777777" w:rsidR="00914E5D" w:rsidRPr="00AA509A" w:rsidRDefault="00914E5D" w:rsidP="00914E5D">
      <w:pPr>
        <w:spacing w:after="0" w:line="240" w:lineRule="auto"/>
        <w:rPr>
          <w:b/>
          <w:bCs/>
          <w:caps/>
          <w:color w:val="0070C0"/>
          <w:sz w:val="26"/>
          <w:szCs w:val="26"/>
        </w:rPr>
      </w:pPr>
      <w:r w:rsidRPr="00AA509A">
        <w:rPr>
          <w:rFonts w:eastAsia="Times New Roman"/>
          <w:b/>
          <w:bCs/>
          <w:sz w:val="26"/>
          <w:szCs w:val="26"/>
        </w:rPr>
        <w:t xml:space="preserve">Additional </w:t>
      </w:r>
      <w:r>
        <w:rPr>
          <w:rFonts w:eastAsia="Times New Roman"/>
          <w:b/>
          <w:bCs/>
          <w:sz w:val="26"/>
          <w:szCs w:val="26"/>
        </w:rPr>
        <w:t xml:space="preserve">Change </w:t>
      </w:r>
      <w:r w:rsidRPr="00AA509A">
        <w:rPr>
          <w:rFonts w:eastAsia="Times New Roman"/>
          <w:b/>
          <w:bCs/>
          <w:sz w:val="26"/>
          <w:szCs w:val="26"/>
        </w:rPr>
        <w:t>Details</w:t>
      </w:r>
    </w:p>
    <w:p w14:paraId="0AABE2AF"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No “Forced” Use:</w:t>
      </w:r>
      <w:r w:rsidRPr="00AA509A">
        <w:rPr>
          <w:rFonts w:eastAsia="Times New Roman"/>
          <w:sz w:val="26"/>
          <w:szCs w:val="26"/>
        </w:rPr>
        <w:t xml:space="preserve"> Under the rules, employers cannot require employees to use leave. However, the rules also provide that if an employee requests not to use leave but will be absent for a covered reason under the law, their absence is not protected by the law (though another law might protect the absence).</w:t>
      </w:r>
    </w:p>
    <w:p w14:paraId="7F23FB95"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Leave Use Can Be a Factor in Incentive Programs: </w:t>
      </w:r>
      <w:r w:rsidRPr="00AA509A">
        <w:rPr>
          <w:rFonts w:eastAsia="Times New Roman"/>
          <w:sz w:val="26"/>
          <w:szCs w:val="26"/>
        </w:rPr>
        <w:t>Under Minnesota’s statute, “[</w:t>
      </w:r>
      <w:proofErr w:type="spellStart"/>
      <w:r w:rsidRPr="00AA509A">
        <w:rPr>
          <w:rFonts w:eastAsia="Times New Roman"/>
          <w:sz w:val="26"/>
          <w:szCs w:val="26"/>
        </w:rPr>
        <w:t>i</w:t>
      </w:r>
      <w:proofErr w:type="spellEnd"/>
      <w:r w:rsidRPr="00AA509A">
        <w:rPr>
          <w:rFonts w:eastAsia="Times New Roman"/>
          <w:sz w:val="26"/>
          <w:szCs w:val="26"/>
        </w:rPr>
        <w:t>]t shall be unlawful for an employer’s absence control policy or attendance point system to count earned sick and safe time taken [] as an absence that may lead to or result in retaliation or any other adverse action.” However, the rules distinguish “negative” from “positive” programs by stating, “[</w:t>
      </w:r>
      <w:proofErr w:type="spellStart"/>
      <w:r w:rsidRPr="00AA509A">
        <w:rPr>
          <w:rFonts w:eastAsia="Times New Roman"/>
          <w:sz w:val="26"/>
          <w:szCs w:val="26"/>
        </w:rPr>
        <w:t>i</w:t>
      </w:r>
      <w:proofErr w:type="spellEnd"/>
      <w:r w:rsidRPr="00AA509A">
        <w:rPr>
          <w:rFonts w:eastAsia="Times New Roman"/>
          <w:sz w:val="26"/>
          <w:szCs w:val="26"/>
        </w:rPr>
        <w:t>]f a bonus, reward, or other incentive is based on the achievement of a specified goal such as hours worked, products sold, or perfect attendance and the employee has not met that goal to use of earned sick and safe time, then the incentive may be denied, unless otherwise paid to employees on any other leave status.”</w:t>
      </w:r>
    </w:p>
    <w:p w14:paraId="2277832F"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Documentation Requests &amp; Responses: </w:t>
      </w:r>
      <w:r w:rsidRPr="00AA509A">
        <w:rPr>
          <w:rFonts w:eastAsia="Times New Roman"/>
          <w:sz w:val="26"/>
          <w:szCs w:val="26"/>
        </w:rPr>
        <w:t xml:space="preserve">Under the statute, employers can require employees to supply reasonable documentation to support an absence of three or more consecutive scheduled workdays. Without establishing a hard deadline by when employees must provide such documentation, the rules require that employees be given a “reasonable” amount of time. Additionally, they require that any documentation requirement be clearly communicated to employees. Notably, the rules create an exception </w:t>
      </w:r>
      <w:r w:rsidRPr="00AA509A">
        <w:rPr>
          <w:rFonts w:eastAsia="Times New Roman"/>
          <w:sz w:val="26"/>
          <w:szCs w:val="26"/>
        </w:rPr>
        <w:lastRenderedPageBreak/>
        <w:t xml:space="preserve">that allows employers to seek documentation earlier if there is a pattern or clear instance of suspected misuse. Examples </w:t>
      </w:r>
      <w:proofErr w:type="gramStart"/>
      <w:r w:rsidRPr="00AA509A">
        <w:rPr>
          <w:rFonts w:eastAsia="Times New Roman"/>
          <w:sz w:val="26"/>
          <w:szCs w:val="26"/>
        </w:rPr>
        <w:t>include, but</w:t>
      </w:r>
      <w:proofErr w:type="gramEnd"/>
      <w:r w:rsidRPr="00AA509A">
        <w:rPr>
          <w:rFonts w:eastAsia="Times New Roman"/>
          <w:sz w:val="26"/>
          <w:szCs w:val="26"/>
        </w:rPr>
        <w:t xml:space="preserve"> are not limited </w:t>
      </w:r>
      <w:proofErr w:type="gramStart"/>
      <w:r w:rsidRPr="00AA509A">
        <w:rPr>
          <w:rFonts w:eastAsia="Times New Roman"/>
          <w:sz w:val="26"/>
          <w:szCs w:val="26"/>
        </w:rPr>
        <w:t>to:</w:t>
      </w:r>
      <w:proofErr w:type="gramEnd"/>
      <w:r w:rsidRPr="00AA509A">
        <w:rPr>
          <w:rFonts w:eastAsia="Times New Roman"/>
          <w:sz w:val="26"/>
          <w:szCs w:val="26"/>
        </w:rPr>
        <w:t xml:space="preserve"> 1) an employee repeatedly using leave before or after a scheduled day off, vacation, or holiday; 2) an employee repeatedly using less than 30 minutes of leave at the beginning or end of a shift; 3) an employee using leave on a day when a previous request to take other leave on that day was denied; and 4) documentation or other evidence that conflicts with an employee’s claimed use of leave. The rules also provide that, if an employee fails to provide the (validly) requested documentation, the absence is not protected.</w:t>
      </w:r>
    </w:p>
    <w:p w14:paraId="5DF065E2"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Employers with More Generous Policies: </w:t>
      </w:r>
      <w:r w:rsidRPr="00AA509A">
        <w:rPr>
          <w:rFonts w:eastAsia="Times New Roman"/>
          <w:sz w:val="26"/>
          <w:szCs w:val="26"/>
        </w:rPr>
        <w:t>Employers that offer more paid sick and safe time than the law requires, or different types of paid leave, were taken aback when the statute was amended to extend some of its statutory requirements and protections to these “other” voluntary paid leave benefits, even if they were not used to comply with the law. Although employers were hoping that the state labor department might, via regulation, reconcile this requirement with a statement in the law (in the same section) that says the law does not discourage employers from adopting or retaining paid leave policies that exceed the law’s minimum standards, that relief did not materialize. The state labor department clarified only that statutory paid family-medical leave benefits under a separate Minnesota law qualify as a “salary continuation benefit” that is not subject to the “more generous policy” requirement.</w:t>
      </w:r>
    </w:p>
    <w:p w14:paraId="6A8177B3"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Determining Who Is a Covered Employee: </w:t>
      </w:r>
      <w:r w:rsidRPr="00AA509A">
        <w:rPr>
          <w:rFonts w:eastAsia="Times New Roman"/>
          <w:sz w:val="26"/>
          <w:szCs w:val="26"/>
        </w:rPr>
        <w:t>To be covered under the law, an employee must be anticipated to work at least 80 hours in Minnesota in a year. The rules clarify that employers must make a good faith determination whether an individual will work that many hours, which requires, at a minimum, evaluating an employee’s work schedule and location of hours worked “in a manner that is not knowingly false or in reckless disregard of the truth.”</w:t>
      </w:r>
    </w:p>
    <w:p w14:paraId="03D9FDC0"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Designating &amp; Changing a Year: </w:t>
      </w:r>
      <w:r w:rsidRPr="00AA509A">
        <w:rPr>
          <w:rFonts w:eastAsia="Times New Roman"/>
          <w:sz w:val="26"/>
          <w:szCs w:val="26"/>
        </w:rPr>
        <w:t xml:space="preserve">The statute defines a “year” as a regular and consecutive 12-month period determined by an employer that is clearly communicated to each employee. Under the rules, if an employer does not designate and communicate its year, the year will be a calendar year. To change a year’s start and end dates, the rules require notice before the change occurs and require that a change </w:t>
      </w:r>
      <w:proofErr w:type="gramStart"/>
      <w:r w:rsidRPr="00AA509A">
        <w:rPr>
          <w:rFonts w:eastAsia="Times New Roman"/>
          <w:sz w:val="26"/>
          <w:szCs w:val="26"/>
        </w:rPr>
        <w:t>not</w:t>
      </w:r>
      <w:proofErr w:type="gramEnd"/>
      <w:r w:rsidRPr="00AA509A">
        <w:rPr>
          <w:rFonts w:eastAsia="Times New Roman"/>
          <w:sz w:val="26"/>
          <w:szCs w:val="26"/>
        </w:rPr>
        <w:t xml:space="preserve"> negatively impact an employee’s ability to accrue leave.</w:t>
      </w:r>
    </w:p>
    <w:p w14:paraId="5CE85B8E"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When Accrual Is Calculated, How Leave Accrues &amp; Advances on Accrual: </w:t>
      </w:r>
      <w:r w:rsidRPr="00AA509A">
        <w:rPr>
          <w:rFonts w:eastAsia="Times New Roman"/>
          <w:sz w:val="26"/>
          <w:szCs w:val="26"/>
        </w:rPr>
        <w:t>All similar sick leave laws in the United States talk about the rate of accrual, but few discuss when the accrual calculation must occur, which determines when leave is “accrued” and therefore available to use. Minnesota’s rules address this issue and require that leave accrued based on hours worked during a pay period must be credited (considered “accrued”) no later than the payday for that pay period. Additionally, the rules clarify that leave accrues in whole-hour units rather than fractionally. If, for example, an employee works 80 hours in a bi-weekly pay period, the rules allow for accrual of two hours, rather than 2.67 hours, of leave. For employers complying with the law using an accrual, rather than frontloading, system, the statute allows employers to advance leave hours based on an employee’s projected hours worked for the remainder of the year, but if an employer undercalculates how much the employee would work, it must provide additional leave to make up the difference. The rules establish a timeframe for this “top up” of 15 calendar days of the employee’s actual work hours exceeding their anticipated work hours in the year.</w:t>
      </w:r>
    </w:p>
    <w:p w14:paraId="590D4840" w14:textId="77777777" w:rsidR="00914E5D" w:rsidRPr="00AA509A" w:rsidRDefault="00914E5D" w:rsidP="00914E5D">
      <w:pPr>
        <w:spacing w:after="0" w:line="240" w:lineRule="auto"/>
        <w:rPr>
          <w:rFonts w:eastAsia="Times New Roman"/>
          <w:sz w:val="26"/>
          <w:szCs w:val="26"/>
        </w:rPr>
      </w:pPr>
      <w:r w:rsidRPr="00AA509A">
        <w:rPr>
          <w:rFonts w:eastAsia="Times New Roman"/>
          <w:b/>
          <w:bCs/>
          <w:sz w:val="26"/>
          <w:szCs w:val="26"/>
        </w:rPr>
        <w:t xml:space="preserve">Switching from Accrual to Frontloading: </w:t>
      </w:r>
      <w:r w:rsidRPr="00AA509A">
        <w:rPr>
          <w:rFonts w:eastAsia="Times New Roman"/>
          <w:sz w:val="26"/>
          <w:szCs w:val="26"/>
        </w:rPr>
        <w:t xml:space="preserve">Some employers might find compliance via frontloading administratively easier than accrual. If they want to switch from an accrual to frontloading setup, the rules require that written notice be given to employees and that the transition cannot take effect until the </w:t>
      </w:r>
      <w:r w:rsidRPr="00AA509A">
        <w:rPr>
          <w:rFonts w:eastAsia="Times New Roman"/>
          <w:sz w:val="26"/>
          <w:szCs w:val="26"/>
        </w:rPr>
        <w:lastRenderedPageBreak/>
        <w:t>beginning of the next benefit year. Additionally, the rules provide that, if timely notice is not given, the accrual method remains in effect unless the employee agrees to frontloading.</w:t>
      </w:r>
    </w:p>
    <w:p w14:paraId="6D99AE24" w14:textId="77777777" w:rsidR="00914E5D" w:rsidRDefault="00914E5D" w:rsidP="00914E5D">
      <w:pPr>
        <w:spacing w:after="0" w:line="240" w:lineRule="auto"/>
        <w:rPr>
          <w:rFonts w:eastAsia="Times New Roman"/>
          <w:sz w:val="26"/>
          <w:szCs w:val="26"/>
        </w:rPr>
      </w:pPr>
      <w:r w:rsidRPr="00AA509A">
        <w:rPr>
          <w:rFonts w:eastAsia="Times New Roman"/>
          <w:b/>
          <w:bCs/>
          <w:sz w:val="26"/>
          <w:szCs w:val="26"/>
        </w:rPr>
        <w:t xml:space="preserve">Using Leave During Indeterminate-Length Shifts: </w:t>
      </w:r>
      <w:r w:rsidRPr="00AA509A">
        <w:rPr>
          <w:rFonts w:eastAsia="Times New Roman"/>
          <w:sz w:val="26"/>
          <w:szCs w:val="26"/>
        </w:rPr>
        <w:t>Some employees work shifts without defined start and stop times. If an employee is scheduled, but needs to use leave, for such a shift, the rules give employers three different options for how to determine how many leave hours the employee will use: 1) hours worked by a replacement worker; 2) hours worked by the employee in the most recent similar shift; or 3) the most hours a similarly situated employee was scheduled to work for such a shift. If the employee works only part of an indeterminate-length shift, then needs to use leave, employers must use one of these options then subtract the number of hours worked by the employee during the shift to determine how much leave to debit from an employee’s leave bank.</w:t>
      </w:r>
      <w:r>
        <w:rPr>
          <w:rFonts w:eastAsia="Times New Roman"/>
          <w:sz w:val="26"/>
          <w:szCs w:val="26"/>
        </w:rPr>
        <w:t xml:space="preserve">  </w:t>
      </w:r>
    </w:p>
    <w:p w14:paraId="1D148C1A" w14:textId="2E96B9E7" w:rsidR="00914E5D" w:rsidRPr="00914E5D" w:rsidRDefault="00914E5D" w:rsidP="00914E5D">
      <w:pPr>
        <w:spacing w:after="0" w:line="240" w:lineRule="auto"/>
        <w:rPr>
          <w:rFonts w:eastAsia="Times New Roman"/>
          <w:sz w:val="26"/>
          <w:szCs w:val="26"/>
        </w:rPr>
      </w:pPr>
      <w:r>
        <w:rPr>
          <w:rFonts w:eastAsia="Times New Roman"/>
          <w:sz w:val="26"/>
          <w:szCs w:val="26"/>
        </w:rPr>
        <w:t xml:space="preserve">Access another helpful, topical blog post published by Ogletree Deakins </w:t>
      </w:r>
      <w:hyperlink r:id="rId865" w:history="1">
        <w:r w:rsidRPr="005F2DF7">
          <w:rPr>
            <w:rStyle w:val="Hyperlink"/>
            <w:rFonts w:eastAsia="Times New Roman"/>
            <w:sz w:val="26"/>
            <w:szCs w:val="26"/>
          </w:rPr>
          <w:t>HERE</w:t>
        </w:r>
      </w:hyperlink>
    </w:p>
    <w:p w14:paraId="4B89915D" w14:textId="0348DB5F" w:rsidR="00204F44" w:rsidRPr="00204F44" w:rsidRDefault="00204F44" w:rsidP="00914E5D">
      <w:pPr>
        <w:rPr>
          <w:b/>
          <w:bCs/>
          <w:caps/>
          <w:noProof/>
          <w:color w:val="0E425C"/>
          <w:sz w:val="26"/>
          <w:szCs w:val="26"/>
        </w:rPr>
      </w:pPr>
      <w:r w:rsidRPr="00D56833">
        <w:rPr>
          <w:b/>
          <w:bCs/>
          <w:caps/>
          <w:noProof/>
          <w:color w:val="0E425C"/>
          <w:sz w:val="26"/>
          <w:szCs w:val="26"/>
        </w:rPr>
        <w:t>Reminder</w:t>
      </w:r>
      <w:r>
        <w:rPr>
          <w:b/>
          <w:bCs/>
          <w:caps/>
          <w:noProof/>
          <w:color w:val="0E425C"/>
          <w:sz w:val="26"/>
          <w:szCs w:val="26"/>
        </w:rPr>
        <w:t xml:space="preserve">: </w:t>
      </w:r>
      <w:r w:rsidRPr="00204F44">
        <w:rPr>
          <w:caps/>
          <w:noProof/>
          <w:color w:val="0E425C"/>
        </w:rPr>
        <w:t xml:space="preserve">Updated Minimum Wage Increases – St. Paul Effective </w:t>
      </w:r>
      <w:r w:rsidRPr="00204F44">
        <w:rPr>
          <w:caps/>
          <w:color w:val="0070C0"/>
        </w:rPr>
        <w:t>July 1, 2026</w:t>
      </w:r>
    </w:p>
    <w:p w14:paraId="669171FC" w14:textId="06141580" w:rsidR="00CA360C" w:rsidRPr="00DD7BD1" w:rsidRDefault="00CA360C" w:rsidP="00CA360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Paid Family &amp; Medical Leave in Effect – </w:t>
      </w:r>
      <w:r w:rsidRPr="00DD7BD1">
        <w:rPr>
          <w:rFonts w:ascii="Calibri" w:hAnsi="Calibri" w:cs="Calibri"/>
          <w:b/>
          <w:bCs/>
          <w:color w:val="C00000"/>
          <w:sz w:val="28"/>
          <w:szCs w:val="28"/>
          <w:shd w:val="clear" w:color="auto" w:fill="FFFFFF"/>
          <w:lang w:val="en"/>
        </w:rPr>
        <w:t>Jan 1, 2026</w:t>
      </w:r>
    </w:p>
    <w:p w14:paraId="29F9BAC6" w14:textId="1A3CE23C" w:rsidR="00CA360C" w:rsidRPr="00DD7BD1" w:rsidRDefault="00CA360C" w:rsidP="00CA360C">
      <w:pPr>
        <w:spacing w:after="0" w:line="240" w:lineRule="auto"/>
        <w:rPr>
          <w:rFonts w:ascii="Calibri" w:hAnsi="Calibri" w:cs="Calibri"/>
        </w:rPr>
      </w:pPr>
      <w:r w:rsidRPr="00DD7BD1">
        <w:rPr>
          <w:rFonts w:ascii="Calibri" w:hAnsi="Calibri" w:cs="Calibri"/>
          <w:u w:val="single"/>
        </w:rPr>
        <w:t xml:space="preserve">Note: </w:t>
      </w:r>
      <w:r w:rsidRPr="00DD7BD1">
        <w:rPr>
          <w:rFonts w:ascii="Calibri" w:hAnsi="Calibri" w:cs="Calibri"/>
        </w:rPr>
        <w:t>ETC’s MN State Handbook Addendum released December 2025 includes policy language addressing Paid Family Leave under the Minnesota Paid Leave policy. Also, the Paid Leave law requires employers to display a workplace poster about the program by Dec. 1, 2025. Further, these Employee Notices must be acknowledged by the employee in writing or electronically</w:t>
      </w:r>
    </w:p>
    <w:p w14:paraId="6C7F021D" w14:textId="77777777" w:rsidR="00CA360C" w:rsidRPr="00DD7BD1" w:rsidRDefault="00CA360C" w:rsidP="00CA360C">
      <w:pPr>
        <w:spacing w:after="0" w:line="240" w:lineRule="auto"/>
        <w:rPr>
          <w:rFonts w:ascii="Calibri" w:hAnsi="Calibri" w:cs="Calibri"/>
        </w:rPr>
      </w:pPr>
    </w:p>
    <w:p w14:paraId="5F80F79D" w14:textId="77777777" w:rsidR="00CA360C" w:rsidRPr="00DD7BD1" w:rsidRDefault="00CA360C" w:rsidP="00CA360C">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Reminder: State’s Meal &amp; Rest Break Amendment in Effect – </w:t>
      </w:r>
      <w:r w:rsidRPr="00DD7BD1">
        <w:rPr>
          <w:rFonts w:ascii="Calibri" w:hAnsi="Calibri" w:cs="Calibri"/>
          <w:b/>
          <w:bCs/>
          <w:color w:val="C00000"/>
          <w:sz w:val="28"/>
          <w:szCs w:val="28"/>
        </w:rPr>
        <w:t>Jan 1, 2026</w:t>
      </w:r>
    </w:p>
    <w:p w14:paraId="7703C45F" w14:textId="77777777" w:rsidR="00CA360C" w:rsidRPr="00DD7BD1" w:rsidRDefault="00CA360C" w:rsidP="00451936">
      <w:pPr>
        <w:spacing w:after="0" w:line="240" w:lineRule="auto"/>
        <w:jc w:val="center"/>
        <w:rPr>
          <w:rFonts w:ascii="Calibri" w:hAnsi="Calibri" w:cs="Calibri"/>
          <w:b/>
          <w:bCs/>
          <w:shd w:val="clear" w:color="auto" w:fill="FFFFFF"/>
          <w:lang w:val="en"/>
        </w:rPr>
      </w:pPr>
    </w:p>
    <w:p w14:paraId="47C066E3" w14:textId="07D44FBD" w:rsidR="00451936" w:rsidRPr="00DD7BD1" w:rsidRDefault="00451936"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Change in Sick &amp; Safe Leave Notice Requirement Changes –</w:t>
      </w:r>
      <w:r w:rsidRPr="00DD7BD1">
        <w:rPr>
          <w:rFonts w:ascii="Calibri" w:hAnsi="Calibri" w:cs="Calibri"/>
          <w:b/>
          <w:bCs/>
          <w:color w:val="C00000"/>
          <w:sz w:val="28"/>
          <w:szCs w:val="28"/>
          <w:shd w:val="clear" w:color="auto" w:fill="FFFFFF"/>
          <w:lang w:val="en"/>
        </w:rPr>
        <w:t xml:space="preserve"> Dec 31, 2025</w:t>
      </w:r>
    </w:p>
    <w:p w14:paraId="6D17DE84" w14:textId="378D80D9" w:rsidR="00451936" w:rsidRPr="00DD7BD1" w:rsidRDefault="00451936" w:rsidP="00451936">
      <w:pPr>
        <w:spacing w:after="0" w:line="240" w:lineRule="auto"/>
        <w:rPr>
          <w:rFonts w:ascii="Calibri" w:hAnsi="Calibri" w:cs="Calibri"/>
          <w:shd w:val="clear" w:color="auto" w:fill="FFFFFF"/>
        </w:rPr>
      </w:pPr>
      <w:r w:rsidRPr="00DD7BD1">
        <w:rPr>
          <w:rFonts w:ascii="Calibri" w:hAnsi="Calibri" w:cs="Calibri"/>
          <w:shd w:val="clear" w:color="auto" w:fill="FFFFFF"/>
        </w:rPr>
        <w:t>Employers will be allowed to require documentation from employees to support their use of earned sick and safe time (ESST) when leave is used for more than</w:t>
      </w:r>
      <w:r w:rsidRPr="00DD7BD1">
        <w:rPr>
          <w:rFonts w:ascii="Calibri" w:hAnsi="Calibri" w:cs="Calibri"/>
          <w:i/>
          <w:iCs/>
          <w:shd w:val="clear" w:color="auto" w:fill="FFFFFF"/>
        </w:rPr>
        <w:t> two </w:t>
      </w:r>
      <w:r w:rsidRPr="00DD7BD1">
        <w:rPr>
          <w:rFonts w:ascii="Calibri" w:hAnsi="Calibri" w:cs="Calibri"/>
          <w:shd w:val="clear" w:color="auto" w:fill="FFFFFF"/>
        </w:rPr>
        <w:t>consecutive scheduled workdays (currently, it’s more than </w:t>
      </w:r>
      <w:r w:rsidRPr="00DD7BD1">
        <w:rPr>
          <w:rFonts w:ascii="Calibri" w:hAnsi="Calibri" w:cs="Calibri"/>
          <w:i/>
          <w:iCs/>
          <w:shd w:val="clear" w:color="auto" w:fill="FFFFFF"/>
        </w:rPr>
        <w:t>three </w:t>
      </w:r>
      <w:r w:rsidRPr="00DD7BD1">
        <w:rPr>
          <w:rFonts w:ascii="Calibri" w:hAnsi="Calibri" w:cs="Calibri"/>
          <w:shd w:val="clear" w:color="auto" w:fill="FFFFFF"/>
        </w:rPr>
        <w:t>consecutive workdays).  ETC’s current MN State Handbook Addendum reflects changes.</w:t>
      </w:r>
    </w:p>
    <w:p w14:paraId="21642537" w14:textId="77777777" w:rsidR="004603F0" w:rsidRPr="00DD7BD1" w:rsidRDefault="004603F0" w:rsidP="00451936">
      <w:pPr>
        <w:spacing w:after="0" w:line="240" w:lineRule="auto"/>
        <w:jc w:val="center"/>
        <w:rPr>
          <w:rFonts w:ascii="Calibri" w:hAnsi="Calibri" w:cs="Calibri"/>
          <w:b/>
          <w:bCs/>
          <w:shd w:val="clear" w:color="auto" w:fill="FFFFFF"/>
          <w:lang w:val="en"/>
        </w:rPr>
      </w:pPr>
    </w:p>
    <w:p w14:paraId="1BD2D6A4" w14:textId="4D145DED" w:rsidR="00005949" w:rsidRPr="00DD7BD1" w:rsidRDefault="00005949" w:rsidP="00451936">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Releases Paid Family Medical Leave: </w:t>
      </w:r>
    </w:p>
    <w:p w14:paraId="0281129F" w14:textId="77777777" w:rsidR="00005949" w:rsidRPr="00DD7BD1" w:rsidRDefault="00005949"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Notices – </w:t>
      </w:r>
      <w:r w:rsidRPr="00DD7BD1">
        <w:rPr>
          <w:rFonts w:ascii="Calibri" w:hAnsi="Calibri" w:cs="Calibri"/>
          <w:b/>
          <w:bCs/>
          <w:color w:val="C00000"/>
          <w:sz w:val="28"/>
          <w:szCs w:val="28"/>
          <w:shd w:val="clear" w:color="auto" w:fill="FFFFFF"/>
          <w:lang w:val="en"/>
        </w:rPr>
        <w:t>Distribution Deadline Dec 1, 2025</w:t>
      </w:r>
    </w:p>
    <w:p w14:paraId="1117B915" w14:textId="7144985A" w:rsidR="00005949" w:rsidRPr="00DD7BD1" w:rsidRDefault="00005949" w:rsidP="00D019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Benefits – </w:t>
      </w:r>
      <w:r w:rsidRPr="00DD7BD1">
        <w:rPr>
          <w:rFonts w:ascii="Calibri" w:hAnsi="Calibri" w:cs="Calibri"/>
          <w:b/>
          <w:bCs/>
          <w:color w:val="C00000"/>
          <w:sz w:val="28"/>
          <w:szCs w:val="28"/>
          <w:shd w:val="clear" w:color="auto" w:fill="FFFFFF"/>
          <w:lang w:val="en"/>
        </w:rPr>
        <w:t>Eff Jan 1, 2026</w:t>
      </w:r>
    </w:p>
    <w:p w14:paraId="56241094" w14:textId="77777777" w:rsidR="00005949" w:rsidRPr="00DD7BD1" w:rsidRDefault="00005949" w:rsidP="000059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Minnesota Department of Employment and Economic Development has published sample notices for employer use on the </w:t>
      </w:r>
      <w:hyperlink r:id="rId866"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for Paid Leave Minnesota, the state paid family and medical leave program that begins Jan. 1, 2026.</w:t>
      </w:r>
    </w:p>
    <w:p w14:paraId="409CCF37" w14:textId="77777777" w:rsidR="00005949" w:rsidRPr="00DD7BD1" w:rsidRDefault="00005949" w:rsidP="00005949">
      <w:pPr>
        <w:spacing w:after="0" w:line="240" w:lineRule="auto"/>
        <w:jc w:val="both"/>
        <w:rPr>
          <w:rFonts w:ascii="Calibri" w:hAnsi="Calibri" w:cs="Calibri"/>
          <w:sz w:val="16"/>
          <w:szCs w:val="16"/>
          <w:shd w:val="clear" w:color="auto" w:fill="FFFFFF"/>
        </w:rPr>
      </w:pPr>
    </w:p>
    <w:p w14:paraId="00FDF0D3" w14:textId="74435417"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Paid Leave law requires employers to display a workplace </w:t>
      </w:r>
      <w:hyperlink r:id="rId867" w:history="1">
        <w:r w:rsidRPr="00DD7BD1">
          <w:rPr>
            <w:rStyle w:val="Hyperlink"/>
            <w:rFonts w:ascii="Calibri" w:hAnsi="Calibri" w:cs="Calibri"/>
            <w:shd w:val="clear" w:color="auto" w:fill="FFFFFF"/>
          </w:rPr>
          <w:t>poster</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about the program by Dec. 1, 2025. In addition, employers must provide each employee with a </w:t>
      </w:r>
      <w:hyperlink r:id="rId868" w:tgtFrame="_blank" w:tooltip="paid-leave-notice-employee" w:history="1">
        <w:r w:rsidRPr="00DD7BD1">
          <w:rPr>
            <w:rStyle w:val="Hyperlink"/>
            <w:rFonts w:ascii="Calibri" w:hAnsi="Calibri" w:cs="Calibri"/>
            <w:shd w:val="clear" w:color="auto" w:fill="FFFFFF"/>
          </w:rPr>
          <w:t>notice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department has also published a required workplace </w:t>
      </w:r>
      <w:hyperlink r:id="rId869" w:history="1">
        <w:r w:rsidRPr="00DD7BD1">
          <w:rPr>
            <w:rStyle w:val="Hyperlink"/>
            <w:rFonts w:ascii="Calibri" w:hAnsi="Calibri" w:cs="Calibri"/>
            <w:shd w:val="clear" w:color="auto" w:fill="FFFFFF"/>
          </w:rPr>
          <w:t>poster</w:t>
        </w:r>
      </w:hyperlink>
      <w:r w:rsidRPr="00DD7BD1">
        <w:rPr>
          <w:rFonts w:ascii="Calibri" w:hAnsi="Calibri" w:cs="Calibri"/>
          <w:shd w:val="clear" w:color="auto" w:fill="FFFFFF"/>
        </w:rPr>
        <w:t xml:space="preserve"> and sample employee </w:t>
      </w:r>
      <w:hyperlink r:id="rId870" w:history="1">
        <w:r w:rsidRPr="00DD7BD1">
          <w:rPr>
            <w:rStyle w:val="Hyperlink"/>
            <w:rFonts w:ascii="Calibri" w:hAnsi="Calibri" w:cs="Calibri"/>
            <w:shd w:val="clear" w:color="auto" w:fill="FFFFFF"/>
          </w:rPr>
          <w:t>notice</w:t>
        </w:r>
      </w:hyperlink>
      <w:r w:rsidRPr="00DD7BD1">
        <w:rPr>
          <w:rFonts w:ascii="Calibri" w:hAnsi="Calibri" w:cs="Calibri"/>
          <w:shd w:val="clear" w:color="auto" w:fill="FFFFFF"/>
        </w:rPr>
        <w:t xml:space="preserve"> for employers that will be </w:t>
      </w:r>
      <w:r w:rsidRPr="00DD7BD1">
        <w:rPr>
          <w:rFonts w:ascii="Calibri" w:hAnsi="Calibri" w:cs="Calibri"/>
          <w:b/>
          <w:bCs/>
          <w:u w:val="single"/>
          <w:shd w:val="clear" w:color="auto" w:fill="FFFFFF"/>
        </w:rPr>
        <w:t>using approved equivalent plans in lieu of the state paid leave plan.</w:t>
      </w:r>
    </w:p>
    <w:p w14:paraId="1A7E3132" w14:textId="0944F095" w:rsidR="00005949" w:rsidRPr="00DD7BD1" w:rsidRDefault="00005949" w:rsidP="00005949">
      <w:pPr>
        <w:rPr>
          <w:rFonts w:ascii="Calibri" w:hAnsi="Calibri" w:cs="Calibri"/>
          <w:shd w:val="clear" w:color="auto" w:fill="FFFFFF"/>
        </w:rPr>
      </w:pPr>
      <w:r w:rsidRPr="00DD7BD1">
        <w:rPr>
          <w:rFonts w:ascii="Calibri" w:hAnsi="Calibri" w:cs="Calibri"/>
          <w:b/>
          <w:bCs/>
          <w:color w:val="C00000"/>
          <w:u w:val="single"/>
          <w:shd w:val="clear" w:color="auto" w:fill="FFFFFF"/>
        </w:rPr>
        <w:t>IMPORTANT: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The employee notices </w:t>
      </w:r>
      <w:r w:rsidRPr="00DD7BD1">
        <w:rPr>
          <w:rFonts w:ascii="Calibri" w:hAnsi="Calibri" w:cs="Calibri"/>
          <w:b/>
          <w:bCs/>
          <w:u w:val="single"/>
          <w:shd w:val="clear" w:color="auto" w:fill="FFFFFF"/>
        </w:rPr>
        <w:t>must be acknowledged by the employee in writing or electronically</w:t>
      </w:r>
      <w:r w:rsidRPr="00DD7BD1">
        <w:rPr>
          <w:rFonts w:ascii="Calibri" w:hAnsi="Calibri" w:cs="Calibri"/>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DD7BD1" w:rsidRDefault="00005949" w:rsidP="00005949">
      <w:pPr>
        <w:rPr>
          <w:rFonts w:ascii="Calibri" w:hAnsi="Calibri" w:cs="Calibri"/>
          <w:b/>
          <w:bCs/>
          <w:shd w:val="clear" w:color="auto" w:fill="FFFFFF"/>
        </w:rPr>
      </w:pPr>
      <w:r w:rsidRPr="00DD7BD1">
        <w:rPr>
          <w:rFonts w:ascii="Calibri" w:hAnsi="Calibri" w:cs="Calibri"/>
          <w:b/>
          <w:bCs/>
          <w:shd w:val="clear" w:color="auto" w:fill="FFFFFF"/>
        </w:rPr>
        <w:t xml:space="preserve">MN Paid Leave Recap – </w:t>
      </w:r>
      <w:r w:rsidRPr="00DD7BD1">
        <w:rPr>
          <w:rFonts w:ascii="Calibri" w:hAnsi="Calibri" w:cs="Calibri"/>
          <w:b/>
          <w:bCs/>
          <w:color w:val="C00000"/>
          <w:shd w:val="clear" w:color="auto" w:fill="FFFFFF"/>
        </w:rPr>
        <w:t>Eff Jan 1, 2026</w:t>
      </w:r>
    </w:p>
    <w:p w14:paraId="4E375BFE" w14:textId="67A55756" w:rsidR="00005949" w:rsidRPr="00DD7BD1" w:rsidRDefault="00005949" w:rsidP="00005949">
      <w:pPr>
        <w:rPr>
          <w:rFonts w:ascii="Calibri" w:hAnsi="Calibri" w:cs="Calibri"/>
        </w:rPr>
      </w:pPr>
      <w:r w:rsidRPr="00DD7BD1">
        <w:rPr>
          <w:rFonts w:ascii="Calibri" w:hAnsi="Calibri" w:cs="Calibri"/>
          <w:shd w:val="clear" w:color="auto" w:fill="FFFFFF"/>
        </w:rPr>
        <w:t>Virtually all Mi</w:t>
      </w:r>
      <w:r w:rsidRPr="00DD7BD1">
        <w:rPr>
          <w:rFonts w:ascii="Calibri" w:hAnsi="Calibri" w:cs="Calibri"/>
        </w:rPr>
        <w:t xml:space="preserve">nnesota employers are covered by Paid Leave, which will provide up to 20 weeks of paid, job-protected family and medical leave for eligible employees, beginning </w:t>
      </w:r>
      <w:r w:rsidRPr="00DD7BD1">
        <w:rPr>
          <w:rFonts w:ascii="Calibri" w:hAnsi="Calibri" w:cs="Calibri"/>
          <w:color w:val="C00000"/>
        </w:rPr>
        <w:t xml:space="preserve">Jan. 1.  </w:t>
      </w:r>
      <w:r w:rsidRPr="00DD7BD1">
        <w:rPr>
          <w:rFonts w:ascii="Calibri" w:hAnsi="Calibri" w:cs="Calibri"/>
        </w:rPr>
        <w:t xml:space="preserve">Funding for the program is split evenly between employers and </w:t>
      </w:r>
      <w:r w:rsidRPr="00DD7BD1">
        <w:rPr>
          <w:rFonts w:ascii="Calibri" w:hAnsi="Calibri" w:cs="Calibri"/>
        </w:rPr>
        <w:lastRenderedPageBreak/>
        <w:t xml:space="preserve">employees,  starting </w:t>
      </w:r>
      <w:r w:rsidRPr="00DD7BD1">
        <w:rPr>
          <w:rFonts w:ascii="Calibri" w:hAnsi="Calibri" w:cs="Calibri"/>
          <w:color w:val="C00000"/>
        </w:rPr>
        <w:t xml:space="preserve">Jan. 1. </w:t>
      </w:r>
      <w:r w:rsidRPr="00DD7BD1">
        <w:rPr>
          <w:rFonts w:ascii="Calibri" w:hAnsi="Calibri" w:cs="Calibri"/>
        </w:rPr>
        <w:t>Employers should begin deducting the employee share of the premium on January 1, 2026. The first premiums must be paid to the state Department of Employment and Economic Development (DEED) by April 30, 2026.</w:t>
      </w:r>
    </w:p>
    <w:p w14:paraId="39982C32" w14:textId="656070AE" w:rsidR="00005949" w:rsidRPr="00DD7BD1" w:rsidRDefault="00005949" w:rsidP="00005949">
      <w:pPr>
        <w:rPr>
          <w:rFonts w:ascii="Calibri" w:hAnsi="Calibri" w:cs="Calibri"/>
        </w:rPr>
      </w:pPr>
      <w:r w:rsidRPr="00DD7BD1">
        <w:rPr>
          <w:rFonts w:ascii="Calibri" w:hAnsi="Calibri" w:cs="Calibri"/>
        </w:rPr>
        <w:t>The Paid Leave law allows covered employees to take up to 12 weeks of </w:t>
      </w:r>
      <w:r w:rsidRPr="00DD7BD1">
        <w:rPr>
          <w:rFonts w:ascii="Calibri" w:hAnsi="Calibri" w:cs="Calibri"/>
          <w:i/>
          <w:iCs/>
        </w:rPr>
        <w:t>medical leave</w:t>
      </w:r>
      <w:r w:rsidRPr="00DD7BD1">
        <w:rPr>
          <w:rFonts w:ascii="Calibri" w:hAnsi="Calibri" w:cs="Calibri"/>
        </w:rPr>
        <w:t> for their own serious health condition or up to 12 weeks of </w:t>
      </w:r>
      <w:r w:rsidRPr="00DD7BD1">
        <w:rPr>
          <w:rFonts w:ascii="Calibri" w:hAnsi="Calibri" w:cs="Calibri"/>
          <w:i/>
          <w:iCs/>
        </w:rPr>
        <w:t>family leave</w:t>
      </w:r>
      <w:r w:rsidRPr="00DD7BD1">
        <w:rPr>
          <w:rFonts w:ascii="Calibri" w:hAnsi="Calibri" w:cs="Calibri"/>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409C550D" w14:textId="53AD86E0" w:rsidR="001C5C45" w:rsidRPr="00DD7BD1" w:rsidRDefault="00005949" w:rsidP="001C5C45">
      <w:pPr>
        <w:rPr>
          <w:rFonts w:ascii="Calibri" w:hAnsi="Calibri" w:cs="Calibri"/>
        </w:rPr>
      </w:pPr>
      <w:r w:rsidRPr="00DD7BD1">
        <w:rPr>
          <w:rFonts w:ascii="Calibri" w:hAnsi="Calibri" w:cs="Calibri"/>
        </w:rPr>
        <w:t>The state has a </w:t>
      </w:r>
      <w:hyperlink r:id="rId871" w:tgtFrame="_blank" w:history="1">
        <w:r w:rsidRPr="00DD7BD1">
          <w:rPr>
            <w:rStyle w:val="Hyperlink"/>
            <w:rFonts w:ascii="Calibri" w:hAnsi="Calibri" w:cs="Calibri"/>
          </w:rPr>
          <w:t>website</w:t>
        </w:r>
      </w:hyperlink>
      <w:r w:rsidRPr="00DD7BD1">
        <w:rPr>
          <w:rFonts w:ascii="Calibri" w:hAnsi="Calibri" w:cs="Calibri"/>
        </w:rPr>
        <w:t> with FAQs, an overview of the program, and other resources for employers. </w:t>
      </w:r>
    </w:p>
    <w:p w14:paraId="321F20ED" w14:textId="40CD7407" w:rsidR="001C5C45" w:rsidRPr="00DD7BD1" w:rsidRDefault="001C5C45" w:rsidP="001C5C45">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&amp;</w:t>
      </w:r>
      <w:r w:rsidRPr="00DD7BD1">
        <w:rPr>
          <w:rFonts w:ascii="Calibri" w:hAnsi="Calibri" w:cs="Calibri"/>
          <w:b/>
          <w:bCs/>
          <w:sz w:val="28"/>
          <w:szCs w:val="28"/>
          <w:u w:val="single"/>
          <w:shd w:val="clear" w:color="auto" w:fill="FFFFFF"/>
        </w:rPr>
        <w:t xml:space="preserve"> St Paul</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3A6059E" w14:textId="4877AC70" w:rsidR="00005949" w:rsidRPr="00DD7BD1" w:rsidRDefault="00005949" w:rsidP="00005949">
      <w:pPr>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B9E42C9" w14:textId="1B0AEA6C" w:rsidR="00005949" w:rsidRPr="00DD7BD1" w:rsidRDefault="00005949" w:rsidP="00005949">
      <w:pPr>
        <w:rPr>
          <w:rFonts w:ascii="Calibri" w:hAnsi="Calibri" w:cs="Calibri"/>
        </w:rPr>
      </w:pPr>
      <w:r w:rsidRPr="00DD7BD1">
        <w:rPr>
          <w:rFonts w:ascii="Calibri" w:hAnsi="Calibri" w:cs="Calibri"/>
        </w:rPr>
        <w:t xml:space="preserve">Minneapolis has </w:t>
      </w:r>
      <w:hyperlink r:id="rId872" w:history="1">
        <w:r w:rsidRPr="00DD7BD1">
          <w:rPr>
            <w:rStyle w:val="Hyperlink"/>
            <w:rFonts w:ascii="Calibri" w:hAnsi="Calibri" w:cs="Calibri"/>
          </w:rPr>
          <w:t>amended</w:t>
        </w:r>
      </w:hyperlink>
      <w:r w:rsidRPr="00DD7BD1">
        <w:rPr>
          <w:rFonts w:ascii="Calibri" w:hAnsi="Calibri" w:cs="Calibri"/>
        </w:rPr>
        <w:t xml:space="preserve"> its Sick and Safe Time ordinance, which took effect in 2017, to align with the 2024 statewide Minnesota </w:t>
      </w:r>
      <w:hyperlink r:id="rId873" w:history="1">
        <w:r w:rsidRPr="00DD7BD1">
          <w:rPr>
            <w:rStyle w:val="Hyperlink"/>
            <w:rFonts w:ascii="Calibri" w:hAnsi="Calibri" w:cs="Calibri"/>
          </w:rPr>
          <w:t>Earned Sick and Safe Time law</w:t>
        </w:r>
      </w:hyperlink>
      <w:r w:rsidRPr="00DD7BD1">
        <w:rPr>
          <w:rFonts w:ascii="Calibri" w:hAnsi="Calibri" w:cs="Calibri"/>
        </w:rPr>
        <w:t xml:space="preserve">. Employers in Minnesota localities with their own sick leave laws were already </w:t>
      </w:r>
      <w:hyperlink r:id="rId874" w:history="1">
        <w:r w:rsidRPr="00DD7BD1">
          <w:rPr>
            <w:rStyle w:val="Hyperlink"/>
            <w:rFonts w:ascii="Calibri" w:hAnsi="Calibri" w:cs="Calibri"/>
          </w:rPr>
          <w:t>obligated</w:t>
        </w:r>
      </w:hyperlink>
      <w:r w:rsidRPr="00DD7BD1">
        <w:rPr>
          <w:rFonts w:ascii="Calibri" w:hAnsi="Calibri" w:cs="Calibri"/>
        </w:rPr>
        <w:t xml:space="preserve"> to follow the leave provisions most favorable to their employees.</w:t>
      </w:r>
    </w:p>
    <w:p w14:paraId="1B14DBF2" w14:textId="0CCFF892" w:rsidR="00005949" w:rsidRPr="00DD7BD1" w:rsidRDefault="00005949" w:rsidP="00005949">
      <w:pPr>
        <w:rPr>
          <w:rFonts w:ascii="Calibri" w:hAnsi="Calibri" w:cs="Calibri"/>
        </w:rPr>
      </w:pPr>
      <w:r w:rsidRPr="00DD7BD1">
        <w:rPr>
          <w:rFonts w:ascii="Calibri" w:hAnsi="Calibri" w:cs="Calibri"/>
        </w:rPr>
        <w:t xml:space="preserve">The changes in the Minneapolis ordinance are </w:t>
      </w:r>
      <w:hyperlink r:id="rId875" w:history="1">
        <w:r w:rsidRPr="00DD7BD1">
          <w:rPr>
            <w:rStyle w:val="Hyperlink"/>
            <w:rFonts w:ascii="Calibri" w:hAnsi="Calibri" w:cs="Calibri"/>
          </w:rPr>
          <w:t>intended</w:t>
        </w:r>
      </w:hyperlink>
      <w:r w:rsidRPr="00DD7BD1">
        <w:rPr>
          <w:rFonts w:ascii="Calibri" w:hAnsi="Calibri" w:cs="Calibri"/>
        </w:rPr>
        <w:t xml:space="preserve"> to reduce confusion by eliminating obsolete lower standards in the city. The amendments take effect </w:t>
      </w:r>
      <w:r w:rsidRPr="00DD7BD1">
        <w:rPr>
          <w:rFonts w:ascii="Calibri" w:hAnsi="Calibri" w:cs="Calibri"/>
          <w:color w:val="C00000"/>
        </w:rPr>
        <w:t>Dec. 31, 2025.</w:t>
      </w:r>
    </w:p>
    <w:p w14:paraId="0A4699BA"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51841AA2"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b/>
          <w:bCs/>
        </w:rPr>
        <w:t>All employers</w:t>
      </w:r>
      <w:r w:rsidRPr="00DD7BD1">
        <w:rPr>
          <w:rFonts w:ascii="Calibri" w:hAnsi="Calibri" w:cs="Calibri"/>
        </w:rPr>
        <w:t xml:space="preserve"> will now be required to provide paid sick and safe time, regardless of their size. </w:t>
      </w:r>
      <w:r w:rsidRPr="00DD7BD1">
        <w:rPr>
          <w:rFonts w:ascii="Calibri" w:hAnsi="Calibri" w:cs="Calibri"/>
          <w:i/>
          <w:iCs/>
        </w:rPr>
        <w:t>Previously, employers with fewer than six employees could provide the leave as unpaid.</w:t>
      </w:r>
      <w:r w:rsidRPr="00DD7BD1">
        <w:rPr>
          <w:rFonts w:ascii="Calibri" w:hAnsi="Calibri" w:cs="Calibri"/>
        </w:rPr>
        <w:t xml:space="preserve"> </w:t>
      </w:r>
    </w:p>
    <w:p w14:paraId="53FE9D2E"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w:t>
      </w:r>
      <w:r w:rsidRPr="00DD7BD1">
        <w:rPr>
          <w:rFonts w:ascii="Calibri" w:hAnsi="Calibri" w:cs="Calibri"/>
          <w:b/>
          <w:bCs/>
        </w:rPr>
        <w:t>be eligible</w:t>
      </w:r>
      <w:r w:rsidRPr="00DD7BD1">
        <w:rPr>
          <w:rFonts w:ascii="Calibri" w:hAnsi="Calibri" w:cs="Calibri"/>
        </w:rPr>
        <w:t xml:space="preserve"> for leave </w:t>
      </w:r>
      <w:r w:rsidRPr="00DD7BD1">
        <w:rPr>
          <w:rFonts w:ascii="Calibri" w:hAnsi="Calibri" w:cs="Calibri"/>
          <w:b/>
          <w:bCs/>
        </w:rPr>
        <w:t xml:space="preserve">if they are </w:t>
      </w:r>
      <w:proofErr w:type="gramStart"/>
      <w:r w:rsidRPr="00DD7BD1">
        <w:rPr>
          <w:rFonts w:ascii="Calibri" w:hAnsi="Calibri" w:cs="Calibri"/>
          <w:b/>
          <w:bCs/>
        </w:rPr>
        <w:t>anticipated</w:t>
      </w:r>
      <w:proofErr w:type="gramEnd"/>
      <w:r w:rsidRPr="00DD7BD1">
        <w:rPr>
          <w:rFonts w:ascii="Calibri" w:hAnsi="Calibri" w:cs="Calibri"/>
          <w:b/>
          <w:bCs/>
        </w:rPr>
        <w:t xml:space="preserve"> to work 80 hours in Minneapolis</w:t>
      </w:r>
      <w:r w:rsidRPr="00DD7BD1">
        <w:rPr>
          <w:rFonts w:ascii="Calibri" w:hAnsi="Calibri" w:cs="Calibri"/>
        </w:rPr>
        <w:t xml:space="preserve">. </w:t>
      </w:r>
      <w:r w:rsidRPr="00DD7BD1">
        <w:rPr>
          <w:rFonts w:ascii="Calibri" w:hAnsi="Calibri" w:cs="Calibri"/>
          <w:i/>
          <w:iCs/>
        </w:rPr>
        <w:t xml:space="preserve">The prior wording limited eligibility to employees who work in Minneapolis for 80 </w:t>
      </w:r>
      <w:proofErr w:type="gramStart"/>
      <w:r w:rsidRPr="00DD7BD1">
        <w:rPr>
          <w:rFonts w:ascii="Calibri" w:hAnsi="Calibri" w:cs="Calibri"/>
          <w:i/>
          <w:iCs/>
        </w:rPr>
        <w:t>hours in</w:t>
      </w:r>
      <w:proofErr w:type="gramEnd"/>
      <w:r w:rsidRPr="00DD7BD1">
        <w:rPr>
          <w:rFonts w:ascii="Calibri" w:hAnsi="Calibri" w:cs="Calibri"/>
          <w:i/>
          <w:iCs/>
        </w:rPr>
        <w:t xml:space="preserve"> a year.</w:t>
      </w:r>
      <w:r w:rsidRPr="00DD7BD1">
        <w:rPr>
          <w:rFonts w:ascii="Calibri" w:hAnsi="Calibri" w:cs="Calibri"/>
        </w:rPr>
        <w:t xml:space="preserve"> </w:t>
      </w:r>
    </w:p>
    <w:p w14:paraId="69E0CFD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 </w:t>
      </w:r>
      <w:r w:rsidRPr="00DD7BD1">
        <w:rPr>
          <w:rFonts w:ascii="Calibri" w:hAnsi="Calibri" w:cs="Calibri"/>
          <w:b/>
          <w:bCs/>
        </w:rPr>
        <w:t>revised definition of “family member</w:t>
      </w:r>
      <w:r w:rsidRPr="00DD7BD1">
        <w:rPr>
          <w:rFonts w:ascii="Calibri" w:hAnsi="Calibri" w:cs="Calibri"/>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70934F89" w14:textId="77777777" w:rsidR="00005949" w:rsidRPr="00DD7BD1" w:rsidRDefault="00005949" w:rsidP="00005949">
      <w:pPr>
        <w:ind w:left="720"/>
        <w:rPr>
          <w:rFonts w:ascii="Calibri" w:hAnsi="Calibri" w:cs="Calibri"/>
        </w:rPr>
      </w:pPr>
      <w:r w:rsidRPr="00DD7BD1">
        <w:rPr>
          <w:rFonts w:ascii="Calibri" w:hAnsi="Calibri" w:cs="Calibri"/>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PSL Employee exceptions: 1) elected city officials  2) volunteer &amp; on-call firefighters and ambulance workers 3) certain collective bargaining agreements may waive the requirements of the ordinance.</w:t>
      </w:r>
    </w:p>
    <w:p w14:paraId="482D4128" w14:textId="217FA985"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0B29662A" w14:textId="05661E67" w:rsidR="00005949" w:rsidRPr="00DD7BD1" w:rsidRDefault="00005949" w:rsidP="00005949">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lang w:val="en"/>
        </w:rPr>
        <w:t xml:space="preserve">St. Paul </w:t>
      </w:r>
      <w:r w:rsidRPr="00DD7BD1">
        <w:rPr>
          <w:rFonts w:ascii="Calibri" w:hAnsi="Calibri" w:cs="Calibri"/>
          <w:b/>
          <w:bCs/>
          <w:sz w:val="28"/>
          <w:szCs w:val="28"/>
          <w:shd w:val="clear" w:color="auto" w:fill="FFFFFF"/>
        </w:rPr>
        <w:t xml:space="preserve">Aligns PSL Ordinance with State PSL Regulations – Eff </w:t>
      </w:r>
      <w:r w:rsidRPr="00DD7BD1">
        <w:rPr>
          <w:rFonts w:ascii="Calibri" w:hAnsi="Calibri" w:cs="Calibri"/>
          <w:b/>
          <w:bCs/>
          <w:color w:val="C00000"/>
          <w:sz w:val="28"/>
          <w:szCs w:val="28"/>
          <w:shd w:val="clear" w:color="auto" w:fill="FFFFFF"/>
        </w:rPr>
        <w:t>Dec 31, 2025</w:t>
      </w:r>
    </w:p>
    <w:p w14:paraId="4E410970" w14:textId="77777777" w:rsidR="00005949" w:rsidRPr="00DD7BD1" w:rsidRDefault="00005949" w:rsidP="00005949">
      <w:pPr>
        <w:rPr>
          <w:rFonts w:ascii="Calibri" w:hAnsi="Calibri" w:cs="Calibri"/>
        </w:rPr>
      </w:pPr>
      <w:r w:rsidRPr="00DD7BD1">
        <w:rPr>
          <w:rFonts w:ascii="Calibri" w:hAnsi="Calibri" w:cs="Calibri"/>
        </w:rPr>
        <w:t xml:space="preserve">St. Paul has </w:t>
      </w:r>
      <w:hyperlink r:id="rId876" w:history="1">
        <w:r w:rsidRPr="00DD7BD1">
          <w:rPr>
            <w:rStyle w:val="Hyperlink"/>
            <w:rFonts w:ascii="Calibri" w:hAnsi="Calibri" w:cs="Calibri"/>
          </w:rPr>
          <w:t>amended</w:t>
        </w:r>
      </w:hyperlink>
      <w:r w:rsidRPr="00DD7BD1">
        <w:rPr>
          <w:rFonts w:ascii="Calibri" w:hAnsi="Calibri" w:cs="Calibri"/>
        </w:rPr>
        <w:t xml:space="preserve"> its Earned Sick and Safe Time (ESST) ordinance to align with the statewide Minnesota Earned Sick &amp; Safe Time - </w:t>
      </w:r>
      <w:hyperlink r:id="rId877" w:history="1">
        <w:r w:rsidRPr="00DD7BD1">
          <w:rPr>
            <w:rStyle w:val="Hyperlink"/>
            <w:rFonts w:ascii="Calibri" w:hAnsi="Calibri" w:cs="Calibri"/>
          </w:rPr>
          <w:t>ESST law</w:t>
        </w:r>
      </w:hyperlink>
      <w:r w:rsidRPr="00DD7BD1">
        <w:rPr>
          <w:rFonts w:ascii="Calibri" w:hAnsi="Calibri" w:cs="Calibri"/>
        </w:rPr>
        <w:t xml:space="preserve">, which took effect Jan. 1, 2024, and was later amended. Employers in Minnesota localities with their own sick leave laws were already </w:t>
      </w:r>
      <w:hyperlink r:id="rId878" w:history="1">
        <w:r w:rsidRPr="00DD7BD1">
          <w:rPr>
            <w:rStyle w:val="Hyperlink"/>
            <w:rFonts w:ascii="Calibri" w:hAnsi="Calibri" w:cs="Calibri"/>
          </w:rPr>
          <w:t>obligated</w:t>
        </w:r>
      </w:hyperlink>
      <w:r w:rsidRPr="00DD7BD1">
        <w:rPr>
          <w:rFonts w:ascii="Calibri" w:hAnsi="Calibri" w:cs="Calibri"/>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DD7BD1" w:rsidRDefault="00005949" w:rsidP="00005949">
      <w:pPr>
        <w:rPr>
          <w:rFonts w:ascii="Calibri" w:hAnsi="Calibri" w:cs="Calibri"/>
        </w:rPr>
      </w:pPr>
      <w:r w:rsidRPr="00DD7BD1">
        <w:rPr>
          <w:rFonts w:ascii="Calibri" w:hAnsi="Calibri" w:cs="Calibri"/>
        </w:rPr>
        <w:t xml:space="preserve">The amendments take effect 30 days after their publication. </w:t>
      </w:r>
    </w:p>
    <w:p w14:paraId="6D3B9259"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216A53F3"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lastRenderedPageBreak/>
        <w:t xml:space="preserve">Employees will be eligible for leave if they are </w:t>
      </w:r>
      <w:r w:rsidRPr="00DD7BD1">
        <w:rPr>
          <w:rFonts w:ascii="Calibri" w:hAnsi="Calibri" w:cs="Calibri"/>
          <w:b/>
          <w:bCs/>
        </w:rPr>
        <w:t>anticipated</w:t>
      </w:r>
      <w:r w:rsidRPr="00DD7BD1">
        <w:rPr>
          <w:rFonts w:ascii="Calibri" w:hAnsi="Calibri" w:cs="Calibri"/>
        </w:rPr>
        <w:t xml:space="preserve"> </w:t>
      </w:r>
      <w:r w:rsidRPr="00DD7BD1">
        <w:rPr>
          <w:rFonts w:ascii="Calibri" w:hAnsi="Calibri" w:cs="Calibri"/>
          <w:b/>
          <w:bCs/>
        </w:rPr>
        <w:t>to work</w:t>
      </w:r>
      <w:r w:rsidRPr="00DD7BD1">
        <w:rPr>
          <w:rFonts w:ascii="Calibri" w:hAnsi="Calibri" w:cs="Calibri"/>
        </w:rPr>
        <w:t xml:space="preserve"> 80 hours in St. Paul in a year. </w:t>
      </w:r>
      <w:r w:rsidRPr="00DD7BD1">
        <w:rPr>
          <w:rFonts w:ascii="Calibri" w:hAnsi="Calibri" w:cs="Calibri"/>
          <w:i/>
          <w:iCs/>
        </w:rPr>
        <w:t xml:space="preserve">The prior wording limited eligibility to employees who </w:t>
      </w:r>
      <w:r w:rsidRPr="00DD7BD1">
        <w:rPr>
          <w:rFonts w:ascii="Calibri" w:hAnsi="Calibri" w:cs="Calibri"/>
          <w:b/>
          <w:bCs/>
          <w:i/>
          <w:iCs/>
        </w:rPr>
        <w:t>work</w:t>
      </w:r>
      <w:r w:rsidRPr="00DD7BD1">
        <w:rPr>
          <w:rFonts w:ascii="Calibri" w:hAnsi="Calibri" w:cs="Calibri"/>
          <w:i/>
          <w:iCs/>
        </w:rPr>
        <w:t xml:space="preserve"> in the city for 80 hours in a year. </w:t>
      </w:r>
    </w:p>
    <w:p w14:paraId="07234F3F"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Permitted use of ESST include leave for reasons related to the death of a family member or harassment of the employee or a family member. </w:t>
      </w:r>
    </w:p>
    <w:p w14:paraId="70A3DFA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Amendments eliminated:</w:t>
      </w:r>
    </w:p>
    <w:p w14:paraId="59C8EE1A"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 provision allowing employers to limit the use of ESST to hours when the employee was scheduled to work in St. Paul.</w:t>
      </w:r>
    </w:p>
    <w:p w14:paraId="0C6337D6"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DD7BD1">
        <w:rPr>
          <w:rFonts w:ascii="Calibri" w:hAnsi="Calibri" w:cs="Calibri"/>
          <w:b/>
          <w:bCs/>
        </w:rPr>
        <w:t>not</w:t>
      </w:r>
      <w:r w:rsidRPr="00DD7BD1">
        <w:rPr>
          <w:rFonts w:ascii="Calibri" w:hAnsi="Calibri" w:cs="Calibri"/>
        </w:rPr>
        <w:t xml:space="preserve"> required to allow leave in less than 15-minute increments, nor can they require that it be used in increments greater than four hours.</w:t>
      </w:r>
    </w:p>
    <w:p w14:paraId="5561BECB" w14:textId="77777777" w:rsidR="00005949" w:rsidRPr="00DD7BD1" w:rsidRDefault="00005949" w:rsidP="00005949">
      <w:pPr>
        <w:pStyle w:val="ListParagraph"/>
        <w:numPr>
          <w:ilvl w:val="1"/>
          <w:numId w:val="259"/>
        </w:numPr>
        <w:spacing w:after="0" w:line="240" w:lineRule="auto"/>
        <w:ind w:left="720"/>
        <w:rPr>
          <w:rFonts w:ascii="Calibri" w:hAnsi="Calibri" w:cs="Calibri"/>
        </w:rPr>
      </w:pPr>
      <w:r w:rsidRPr="00DD7BD1">
        <w:rPr>
          <w:rFonts w:ascii="Calibri" w:hAnsi="Calibri" w:cs="Calibri"/>
        </w:rPr>
        <w:t xml:space="preserve">Amendments allow employers to require reasonable documentation for leave of more than </w:t>
      </w:r>
      <w:r w:rsidRPr="00DD7BD1">
        <w:rPr>
          <w:rFonts w:ascii="Calibri" w:hAnsi="Calibri" w:cs="Calibri"/>
          <w:b/>
          <w:bCs/>
        </w:rPr>
        <w:t>2 consecutive days rather than 3,</w:t>
      </w:r>
      <w:r w:rsidRPr="00DD7BD1">
        <w:rPr>
          <w:rFonts w:ascii="Calibri" w:hAnsi="Calibri" w:cs="Calibri"/>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Amendments to the ordinance both add and strike employee exceptions. </w:t>
      </w:r>
    </w:p>
    <w:p w14:paraId="5D0BF4EB"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Elected officials and short-term farm laborers are newly </w:t>
      </w:r>
      <w:proofErr w:type="gramStart"/>
      <w:r w:rsidRPr="00DD7BD1">
        <w:rPr>
          <w:rFonts w:ascii="Calibri" w:hAnsi="Calibri" w:cs="Calibri"/>
        </w:rPr>
        <w:t>excepted</w:t>
      </w:r>
      <w:proofErr w:type="gramEnd"/>
      <w:r w:rsidRPr="00DD7BD1">
        <w:rPr>
          <w:rFonts w:ascii="Calibri" w:hAnsi="Calibri" w:cs="Calibri"/>
        </w:rPr>
        <w:t xml:space="preserve"> from coverage. </w:t>
      </w:r>
    </w:p>
    <w:p w14:paraId="2EBFC8D8"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The exception for airline cabin and flight crew members is eliminated.</w:t>
      </w:r>
    </w:p>
    <w:p w14:paraId="0E88C869"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Other employee exceptions apply to ESST for the closure of the employee’s place of business due to weather or other public emergency, or an employee’s need to care for a family member whose school or place of care has been closed due to weather or other public emergency. </w:t>
      </w:r>
    </w:p>
    <w:p w14:paraId="491A0AC8" w14:textId="38218B16"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5BB6BC21" w14:textId="737E5B6A" w:rsidR="003A22A9" w:rsidRPr="00DD7BD1" w:rsidRDefault="003A22A9" w:rsidP="003A22A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Guidance</w:t>
      </w:r>
      <w:r w:rsidRPr="00DD7BD1">
        <w:rPr>
          <w:rFonts w:ascii="Calibri" w:hAnsi="Calibri" w:cs="Calibri"/>
          <w:b/>
          <w:spacing w:val="-7"/>
          <w:sz w:val="28"/>
        </w:rPr>
        <w:t xml:space="preserve"> </w:t>
      </w:r>
      <w:r w:rsidRPr="00DD7BD1">
        <w:rPr>
          <w:rFonts w:ascii="Calibri" w:hAnsi="Calibri" w:cs="Calibri"/>
          <w:b/>
          <w:spacing w:val="-6"/>
          <w:sz w:val="28"/>
        </w:rPr>
        <w:t>on</w:t>
      </w:r>
      <w:r w:rsidRPr="00DD7BD1">
        <w:rPr>
          <w:rFonts w:ascii="Calibri" w:hAnsi="Calibri" w:cs="Calibri"/>
          <w:b/>
          <w:spacing w:val="-7"/>
          <w:sz w:val="28"/>
        </w:rPr>
        <w:t xml:space="preserve"> </w:t>
      </w:r>
      <w:r w:rsidRPr="00DD7BD1">
        <w:rPr>
          <w:rFonts w:ascii="Calibri" w:hAnsi="Calibri" w:cs="Calibri"/>
          <w:b/>
          <w:spacing w:val="-6"/>
          <w:sz w:val="28"/>
        </w:rPr>
        <w:t>Meal</w:t>
      </w:r>
      <w:r w:rsidRPr="00DD7BD1">
        <w:rPr>
          <w:rFonts w:ascii="Calibri" w:hAnsi="Calibri" w:cs="Calibri"/>
          <w:b/>
          <w:spacing w:val="-10"/>
          <w:sz w:val="28"/>
        </w:rPr>
        <w:t xml:space="preserve"> </w:t>
      </w:r>
      <w:r w:rsidRPr="00DD7BD1">
        <w:rPr>
          <w:rFonts w:ascii="Calibri" w:hAnsi="Calibri" w:cs="Calibri"/>
          <w:b/>
          <w:spacing w:val="-6"/>
          <w:sz w:val="28"/>
        </w:rPr>
        <w:t>&amp;</w:t>
      </w:r>
      <w:r w:rsidRPr="00DD7BD1">
        <w:rPr>
          <w:rFonts w:ascii="Calibri" w:hAnsi="Calibri" w:cs="Calibri"/>
          <w:b/>
          <w:spacing w:val="-7"/>
          <w:sz w:val="28"/>
        </w:rPr>
        <w:t xml:space="preserve"> </w:t>
      </w:r>
      <w:r w:rsidRPr="00DD7BD1">
        <w:rPr>
          <w:rFonts w:ascii="Calibri" w:hAnsi="Calibri" w:cs="Calibri"/>
          <w:b/>
          <w:spacing w:val="-6"/>
          <w:sz w:val="28"/>
        </w:rPr>
        <w:t>Rest</w:t>
      </w:r>
      <w:r w:rsidRPr="00DD7BD1">
        <w:rPr>
          <w:rFonts w:ascii="Calibri" w:hAnsi="Calibri" w:cs="Calibri"/>
          <w:b/>
          <w:spacing w:val="-9"/>
          <w:sz w:val="28"/>
        </w:rPr>
        <w:t xml:space="preserve"> </w:t>
      </w:r>
      <w:r w:rsidRPr="00DD7BD1">
        <w:rPr>
          <w:rFonts w:ascii="Calibri" w:hAnsi="Calibri" w:cs="Calibri"/>
          <w:b/>
          <w:spacing w:val="-6"/>
          <w:sz w:val="28"/>
        </w:rPr>
        <w:t>Break</w:t>
      </w:r>
      <w:r w:rsidRPr="00DD7BD1">
        <w:rPr>
          <w:rFonts w:ascii="Calibri" w:hAnsi="Calibri" w:cs="Calibri"/>
          <w:b/>
          <w:spacing w:val="-9"/>
          <w:sz w:val="28"/>
        </w:rPr>
        <w:t xml:space="preserve"> </w:t>
      </w:r>
      <w:r w:rsidRPr="00DD7BD1">
        <w:rPr>
          <w:rFonts w:ascii="Calibri" w:hAnsi="Calibri" w:cs="Calibri"/>
          <w:b/>
          <w:spacing w:val="-6"/>
          <w:sz w:val="28"/>
        </w:rPr>
        <w:t>Amendments</w:t>
      </w:r>
      <w:r w:rsidRPr="00DD7BD1">
        <w:rPr>
          <w:rFonts w:ascii="Calibri" w:hAnsi="Calibri" w:cs="Calibri"/>
          <w:b/>
          <w:spacing w:val="-5"/>
          <w:sz w:val="28"/>
        </w:rPr>
        <w:t xml:space="preserve"> </w:t>
      </w:r>
      <w:r w:rsidRPr="00DD7BD1">
        <w:rPr>
          <w:rFonts w:ascii="Calibri" w:hAnsi="Calibri" w:cs="Calibri"/>
          <w:b/>
          <w:spacing w:val="-6"/>
          <w:sz w:val="28"/>
        </w:rPr>
        <w:t>–</w:t>
      </w:r>
      <w:r w:rsidRPr="00DD7BD1">
        <w:rPr>
          <w:rFonts w:ascii="Calibri" w:hAnsi="Calibri" w:cs="Calibri"/>
          <w:b/>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2026</w:t>
      </w:r>
    </w:p>
    <w:p w14:paraId="0C5C2D09"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January</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2026,</w:t>
      </w:r>
      <w:r w:rsidRPr="00DD7BD1">
        <w:rPr>
          <w:rFonts w:cs="Calibri"/>
          <w:color w:val="auto"/>
          <w:spacing w:val="-9"/>
          <w:w w:val="110"/>
          <w:szCs w:val="22"/>
        </w:rPr>
        <w:t xml:space="preserve"> </w:t>
      </w:r>
      <w:r w:rsidRPr="00DD7BD1">
        <w:rPr>
          <w:rFonts w:cs="Calibri"/>
          <w:color w:val="auto"/>
          <w:w w:val="110"/>
          <w:szCs w:val="22"/>
        </w:rPr>
        <w:t>changes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Minnesota’s</w:t>
      </w:r>
      <w:r w:rsidRPr="00DD7BD1">
        <w:rPr>
          <w:rFonts w:cs="Calibri"/>
          <w:color w:val="auto"/>
          <w:spacing w:val="-10"/>
          <w:w w:val="110"/>
          <w:szCs w:val="22"/>
        </w:rPr>
        <w:t xml:space="preserve"> </w:t>
      </w:r>
      <w:r w:rsidRPr="00DD7BD1">
        <w:rPr>
          <w:rFonts w:cs="Calibri"/>
          <w:color w:val="auto"/>
          <w:w w:val="110"/>
          <w:szCs w:val="22"/>
        </w:rPr>
        <w:t>meal</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9"/>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laws</w:t>
      </w:r>
      <w:r w:rsidRPr="00DD7BD1">
        <w:rPr>
          <w:rFonts w:cs="Calibri"/>
          <w:color w:val="auto"/>
          <w:spacing w:val="-8"/>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fifteen-minute breaks and</w:t>
      </w:r>
      <w:r w:rsidRPr="00DD7BD1">
        <w:rPr>
          <w:rFonts w:cs="Calibri"/>
          <w:color w:val="auto"/>
          <w:spacing w:val="-1"/>
          <w:w w:val="110"/>
          <w:szCs w:val="22"/>
        </w:rPr>
        <w:t xml:space="preserve"> </w:t>
      </w:r>
      <w:r w:rsidRPr="00DD7BD1">
        <w:rPr>
          <w:rFonts w:cs="Calibri"/>
          <w:color w:val="auto"/>
          <w:w w:val="110"/>
          <w:szCs w:val="22"/>
        </w:rPr>
        <w:t>a thirty-minute meal break depending</w:t>
      </w:r>
      <w:r w:rsidRPr="00DD7BD1">
        <w:rPr>
          <w:rFonts w:cs="Calibri"/>
          <w:color w:val="auto"/>
          <w:spacing w:val="-4"/>
          <w:w w:val="110"/>
          <w:szCs w:val="22"/>
        </w:rPr>
        <w:t xml:space="preserve"> </w:t>
      </w:r>
      <w:r w:rsidRPr="00DD7BD1">
        <w:rPr>
          <w:rFonts w:cs="Calibri"/>
          <w:color w:val="auto"/>
          <w:w w:val="110"/>
          <w:szCs w:val="22"/>
        </w:rPr>
        <w:t>on hours worked.</w:t>
      </w:r>
    </w:p>
    <w:p w14:paraId="47386D17" w14:textId="77777777" w:rsidR="003A22A9" w:rsidRPr="00DD7BD1" w:rsidRDefault="003A22A9" w:rsidP="003A22A9">
      <w:pPr>
        <w:pStyle w:val="BodyText"/>
        <w:spacing w:after="0" w:line="240" w:lineRule="auto"/>
        <w:ind w:right="-187"/>
        <w:jc w:val="left"/>
        <w:rPr>
          <w:rFonts w:cs="Calibri"/>
          <w:color w:val="auto"/>
          <w:spacing w:val="-2"/>
          <w:w w:val="115"/>
          <w:szCs w:val="22"/>
        </w:rPr>
      </w:pPr>
    </w:p>
    <w:p w14:paraId="5ABDD562" w14:textId="77777777" w:rsidR="003A22A9" w:rsidRPr="00DD7BD1" w:rsidRDefault="003A22A9" w:rsidP="003A22A9">
      <w:pPr>
        <w:pStyle w:val="BodyText"/>
        <w:spacing w:after="0" w:line="240" w:lineRule="auto"/>
        <w:ind w:right="-187"/>
        <w:jc w:val="left"/>
        <w:rPr>
          <w:rFonts w:cs="Calibri"/>
          <w:b/>
          <w:bCs/>
          <w:color w:val="auto"/>
          <w:spacing w:val="-2"/>
          <w:w w:val="115"/>
          <w:szCs w:val="22"/>
        </w:rPr>
      </w:pPr>
      <w:r w:rsidRPr="00DD7BD1">
        <w:rPr>
          <w:rFonts w:cs="Calibri"/>
          <w:b/>
          <w:bCs/>
          <w:color w:val="auto"/>
          <w:spacing w:val="-2"/>
          <w:w w:val="115"/>
          <w:szCs w:val="22"/>
        </w:rPr>
        <w:t>Highlights:</w:t>
      </w:r>
    </w:p>
    <w:p w14:paraId="3FAFFC20" w14:textId="77777777" w:rsidR="003A22A9" w:rsidRPr="00DD7BD1"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Calibri" w:hAnsi="Calibri" w:cs="Calibri"/>
        </w:rPr>
      </w:pPr>
      <w:r w:rsidRPr="00DD7BD1">
        <w:rPr>
          <w:rFonts w:ascii="Calibri" w:hAnsi="Calibri" w:cs="Calibri"/>
          <w:w w:val="110"/>
        </w:rPr>
        <w:t>Minnesota’s</w:t>
      </w:r>
      <w:r w:rsidRPr="00DD7BD1">
        <w:rPr>
          <w:rFonts w:ascii="Calibri" w:hAnsi="Calibri" w:cs="Calibri"/>
          <w:spacing w:val="-21"/>
          <w:w w:val="110"/>
        </w:rPr>
        <w:t xml:space="preserve"> </w:t>
      </w:r>
      <w:r w:rsidRPr="00DD7BD1">
        <w:rPr>
          <w:rFonts w:ascii="Calibri" w:hAnsi="Calibri" w:cs="Calibri"/>
          <w:w w:val="110"/>
        </w:rPr>
        <w:t>break</w:t>
      </w:r>
      <w:r w:rsidRPr="00DD7BD1">
        <w:rPr>
          <w:rFonts w:ascii="Calibri" w:hAnsi="Calibri" w:cs="Calibri"/>
          <w:spacing w:val="-20"/>
          <w:w w:val="110"/>
        </w:rPr>
        <w:t xml:space="preserve"> </w:t>
      </w:r>
      <w:r w:rsidRPr="00DD7BD1">
        <w:rPr>
          <w:rFonts w:ascii="Calibri" w:hAnsi="Calibri" w:cs="Calibri"/>
          <w:w w:val="110"/>
        </w:rPr>
        <w:t>laws</w:t>
      </w:r>
      <w:r w:rsidRPr="00DD7BD1">
        <w:rPr>
          <w:rFonts w:ascii="Calibri" w:hAnsi="Calibri" w:cs="Calibri"/>
          <w:spacing w:val="-20"/>
          <w:w w:val="110"/>
        </w:rPr>
        <w:t xml:space="preserve"> </w:t>
      </w:r>
      <w:r w:rsidRPr="00DD7BD1">
        <w:rPr>
          <w:rFonts w:ascii="Calibri" w:hAnsi="Calibri" w:cs="Calibri"/>
          <w:w w:val="110"/>
        </w:rPr>
        <w:t>are</w:t>
      </w:r>
      <w:r w:rsidRPr="00DD7BD1">
        <w:rPr>
          <w:rFonts w:ascii="Calibri" w:hAnsi="Calibri" w:cs="Calibri"/>
          <w:spacing w:val="-21"/>
          <w:w w:val="110"/>
        </w:rPr>
        <w:t xml:space="preserve"> </w:t>
      </w:r>
      <w:r w:rsidRPr="00DD7BD1">
        <w:rPr>
          <w:rFonts w:ascii="Calibri" w:hAnsi="Calibri" w:cs="Calibri"/>
          <w:w w:val="110"/>
        </w:rPr>
        <w:t>only</w:t>
      </w:r>
      <w:r w:rsidRPr="00DD7BD1">
        <w:rPr>
          <w:rFonts w:ascii="Calibri" w:hAnsi="Calibri" w:cs="Calibri"/>
          <w:spacing w:val="-21"/>
          <w:w w:val="110"/>
        </w:rPr>
        <w:t xml:space="preserve"> </w:t>
      </w:r>
      <w:r w:rsidRPr="00DD7BD1">
        <w:rPr>
          <w:rFonts w:ascii="Calibri" w:hAnsi="Calibri" w:cs="Calibri"/>
          <w:w w:val="110"/>
        </w:rPr>
        <w:t>applicable</w:t>
      </w:r>
      <w:r w:rsidRPr="00DD7BD1">
        <w:rPr>
          <w:rFonts w:ascii="Calibri" w:hAnsi="Calibri" w:cs="Calibri"/>
          <w:spacing w:val="-21"/>
          <w:w w:val="110"/>
        </w:rPr>
        <w:t xml:space="preserve"> </w:t>
      </w:r>
      <w:r w:rsidRPr="00DD7BD1">
        <w:rPr>
          <w:rFonts w:ascii="Calibri" w:hAnsi="Calibri" w:cs="Calibri"/>
          <w:w w:val="110"/>
        </w:rPr>
        <w:t>to</w:t>
      </w:r>
      <w:r w:rsidRPr="00DD7BD1">
        <w:rPr>
          <w:rFonts w:ascii="Calibri" w:hAnsi="Calibri" w:cs="Calibri"/>
          <w:spacing w:val="-23"/>
          <w:w w:val="110"/>
        </w:rPr>
        <w:t xml:space="preserve"> </w:t>
      </w:r>
      <w:r w:rsidRPr="00DD7BD1">
        <w:rPr>
          <w:rFonts w:ascii="Calibri" w:hAnsi="Calibri" w:cs="Calibri"/>
          <w:w w:val="110"/>
        </w:rPr>
        <w:t>“employees”</w:t>
      </w:r>
      <w:r w:rsidRPr="00DD7BD1">
        <w:rPr>
          <w:rFonts w:ascii="Calibri" w:hAnsi="Calibri" w:cs="Calibri"/>
          <w:spacing w:val="-25"/>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defined</w:t>
      </w:r>
      <w:r w:rsidRPr="00DD7BD1">
        <w:rPr>
          <w:rFonts w:ascii="Calibri" w:hAnsi="Calibri" w:cs="Calibri"/>
          <w:spacing w:val="-23"/>
          <w:w w:val="110"/>
        </w:rPr>
        <w:t xml:space="preserve"> </w:t>
      </w:r>
      <w:r w:rsidRPr="00DD7BD1">
        <w:rPr>
          <w:rFonts w:ascii="Calibri" w:hAnsi="Calibri" w:cs="Calibri"/>
          <w:w w:val="110"/>
        </w:rPr>
        <w:t>by</w:t>
      </w:r>
      <w:r w:rsidRPr="00DD7BD1">
        <w:rPr>
          <w:rFonts w:ascii="Calibri" w:hAnsi="Calibri" w:cs="Calibri"/>
          <w:spacing w:val="-20"/>
          <w:w w:val="110"/>
        </w:rPr>
        <w:t xml:space="preserve"> </w:t>
      </w:r>
      <w:r w:rsidRPr="00DD7BD1">
        <w:rPr>
          <w:rFonts w:ascii="Calibri" w:hAnsi="Calibri" w:cs="Calibri"/>
          <w:w w:val="110"/>
        </w:rPr>
        <w:t>the</w:t>
      </w:r>
      <w:r w:rsidRPr="00DD7BD1">
        <w:rPr>
          <w:rFonts w:ascii="Calibri" w:hAnsi="Calibri" w:cs="Calibri"/>
          <w:spacing w:val="-22"/>
          <w:w w:val="110"/>
        </w:rPr>
        <w:t xml:space="preserve"> </w:t>
      </w:r>
      <w:r w:rsidRPr="00DD7BD1">
        <w:rPr>
          <w:rFonts w:ascii="Calibri" w:hAnsi="Calibri" w:cs="Calibri"/>
          <w:w w:val="110"/>
        </w:rPr>
        <w:t>Minnesota</w:t>
      </w:r>
      <w:r w:rsidRPr="00DD7BD1">
        <w:rPr>
          <w:rFonts w:ascii="Calibri" w:hAnsi="Calibri" w:cs="Calibri"/>
          <w:spacing w:val="-22"/>
          <w:w w:val="110"/>
        </w:rPr>
        <w:t xml:space="preserve"> </w:t>
      </w:r>
      <w:r w:rsidRPr="00DD7BD1">
        <w:rPr>
          <w:rFonts w:ascii="Calibri" w:hAnsi="Calibri" w:cs="Calibri"/>
          <w:w w:val="110"/>
        </w:rPr>
        <w:t>Fair</w:t>
      </w:r>
      <w:r w:rsidRPr="00DD7BD1">
        <w:rPr>
          <w:rFonts w:ascii="Calibri" w:hAnsi="Calibri" w:cs="Calibri"/>
          <w:spacing w:val="-24"/>
          <w:w w:val="110"/>
        </w:rPr>
        <w:t xml:space="preserve"> </w:t>
      </w:r>
      <w:r w:rsidRPr="00DD7BD1">
        <w:rPr>
          <w:rFonts w:ascii="Calibri" w:hAnsi="Calibri" w:cs="Calibri"/>
          <w:w w:val="110"/>
        </w:rPr>
        <w:t>Labor</w:t>
      </w:r>
      <w:r w:rsidRPr="00DD7BD1">
        <w:rPr>
          <w:rFonts w:ascii="Calibri" w:hAnsi="Calibri" w:cs="Calibri"/>
          <w:spacing w:val="-24"/>
          <w:w w:val="110"/>
        </w:rPr>
        <w:t xml:space="preserve"> </w:t>
      </w:r>
      <w:r w:rsidRPr="00DD7BD1">
        <w:rPr>
          <w:rFonts w:ascii="Calibri" w:hAnsi="Calibri" w:cs="Calibri"/>
          <w:spacing w:val="-2"/>
          <w:w w:val="110"/>
        </w:rPr>
        <w:t>Standards</w:t>
      </w:r>
    </w:p>
    <w:p w14:paraId="5D682433" w14:textId="77777777" w:rsidR="003A22A9" w:rsidRPr="00DD7BD1" w:rsidRDefault="003A22A9" w:rsidP="003A22A9">
      <w:pPr>
        <w:pStyle w:val="BodyText"/>
        <w:tabs>
          <w:tab w:val="left" w:pos="1"/>
        </w:tabs>
        <w:spacing w:after="0" w:line="240" w:lineRule="auto"/>
        <w:ind w:left="360" w:right="-187"/>
        <w:jc w:val="left"/>
        <w:rPr>
          <w:rFonts w:cs="Calibri"/>
          <w:color w:val="auto"/>
          <w:spacing w:val="-2"/>
          <w:szCs w:val="22"/>
        </w:rPr>
      </w:pPr>
      <w:r w:rsidRPr="00DD7BD1">
        <w:rPr>
          <w:rFonts w:cs="Calibri"/>
          <w:color w:val="auto"/>
          <w:szCs w:val="22"/>
        </w:rPr>
        <w:t>Act,</w:t>
      </w:r>
      <w:r w:rsidRPr="00DD7BD1">
        <w:rPr>
          <w:rFonts w:cs="Calibri"/>
          <w:color w:val="auto"/>
          <w:spacing w:val="46"/>
          <w:szCs w:val="22"/>
        </w:rPr>
        <w:t xml:space="preserve"> </w:t>
      </w:r>
      <w:r w:rsidRPr="00DD7BD1">
        <w:rPr>
          <w:rFonts w:cs="Calibri"/>
          <w:color w:val="auto"/>
          <w:szCs w:val="22"/>
        </w:rPr>
        <w:t>excluding</w:t>
      </w:r>
      <w:r w:rsidRPr="00DD7BD1">
        <w:rPr>
          <w:rFonts w:cs="Calibri"/>
          <w:color w:val="auto"/>
          <w:spacing w:val="42"/>
          <w:szCs w:val="22"/>
        </w:rPr>
        <w:t xml:space="preserve"> </w:t>
      </w:r>
      <w:r w:rsidRPr="00DD7BD1">
        <w:rPr>
          <w:rFonts w:cs="Calibri"/>
          <w:color w:val="auto"/>
          <w:szCs w:val="22"/>
        </w:rPr>
        <w:t>exempt</w:t>
      </w:r>
      <w:r w:rsidRPr="00DD7BD1">
        <w:rPr>
          <w:rFonts w:cs="Calibri"/>
          <w:color w:val="auto"/>
          <w:spacing w:val="42"/>
          <w:szCs w:val="22"/>
        </w:rPr>
        <w:t xml:space="preserve"> </w:t>
      </w:r>
      <w:r w:rsidRPr="00DD7BD1">
        <w:rPr>
          <w:rFonts w:cs="Calibri"/>
          <w:color w:val="auto"/>
          <w:szCs w:val="22"/>
        </w:rPr>
        <w:t>employees</w:t>
      </w:r>
      <w:r w:rsidRPr="00DD7BD1">
        <w:rPr>
          <w:rFonts w:cs="Calibri"/>
          <w:color w:val="auto"/>
          <w:spacing w:val="48"/>
          <w:szCs w:val="22"/>
        </w:rPr>
        <w:t xml:space="preserve"> </w:t>
      </w:r>
      <w:r w:rsidRPr="00DD7BD1">
        <w:rPr>
          <w:rFonts w:cs="Calibri"/>
          <w:color w:val="auto"/>
          <w:szCs w:val="22"/>
        </w:rPr>
        <w:t>and</w:t>
      </w:r>
      <w:r w:rsidRPr="00DD7BD1">
        <w:rPr>
          <w:rFonts w:cs="Calibri"/>
          <w:color w:val="auto"/>
          <w:spacing w:val="42"/>
          <w:szCs w:val="22"/>
        </w:rPr>
        <w:t xml:space="preserve"> </w:t>
      </w:r>
      <w:r w:rsidRPr="00DD7BD1">
        <w:rPr>
          <w:rFonts w:cs="Calibri"/>
          <w:color w:val="auto"/>
          <w:szCs w:val="22"/>
        </w:rPr>
        <w:t>some</w:t>
      </w:r>
      <w:r w:rsidRPr="00DD7BD1">
        <w:rPr>
          <w:rFonts w:cs="Calibri"/>
          <w:color w:val="auto"/>
          <w:spacing w:val="42"/>
          <w:szCs w:val="22"/>
        </w:rPr>
        <w:t xml:space="preserve"> </w:t>
      </w:r>
      <w:r w:rsidRPr="00DD7BD1">
        <w:rPr>
          <w:rFonts w:cs="Calibri"/>
          <w:color w:val="auto"/>
          <w:szCs w:val="22"/>
        </w:rPr>
        <w:t>U.S.</w:t>
      </w:r>
      <w:r w:rsidRPr="00DD7BD1">
        <w:rPr>
          <w:rFonts w:cs="Calibri"/>
          <w:color w:val="auto"/>
          <w:spacing w:val="47"/>
          <w:szCs w:val="22"/>
        </w:rPr>
        <w:t xml:space="preserve"> </w:t>
      </w:r>
      <w:r w:rsidRPr="00DD7BD1">
        <w:rPr>
          <w:rFonts w:cs="Calibri"/>
          <w:color w:val="auto"/>
          <w:szCs w:val="22"/>
        </w:rPr>
        <w:t>Department</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6"/>
          <w:szCs w:val="22"/>
        </w:rPr>
        <w:t xml:space="preserve"> </w:t>
      </w:r>
      <w:r w:rsidRPr="00DD7BD1">
        <w:rPr>
          <w:rFonts w:cs="Calibri"/>
          <w:color w:val="auto"/>
          <w:szCs w:val="22"/>
        </w:rPr>
        <w:t>Transportation</w:t>
      </w:r>
      <w:r w:rsidRPr="00DD7BD1">
        <w:rPr>
          <w:rFonts w:cs="Calibri"/>
          <w:color w:val="auto"/>
          <w:spacing w:val="44"/>
          <w:szCs w:val="22"/>
        </w:rPr>
        <w:t xml:space="preserve"> </w:t>
      </w:r>
      <w:r w:rsidRPr="00DD7BD1">
        <w:rPr>
          <w:rFonts w:cs="Calibri"/>
          <w:color w:val="auto"/>
          <w:szCs w:val="22"/>
        </w:rPr>
        <w:t>(DOT)-related</w:t>
      </w:r>
      <w:r w:rsidRPr="00DD7BD1">
        <w:rPr>
          <w:rFonts w:cs="Calibri"/>
          <w:color w:val="auto"/>
          <w:spacing w:val="48"/>
          <w:szCs w:val="22"/>
        </w:rPr>
        <w:t xml:space="preserve"> </w:t>
      </w:r>
      <w:r w:rsidRPr="00DD7BD1">
        <w:rPr>
          <w:rFonts w:cs="Calibri"/>
          <w:color w:val="auto"/>
          <w:spacing w:val="-2"/>
          <w:szCs w:val="22"/>
        </w:rPr>
        <w:t>positions.</w:t>
      </w:r>
    </w:p>
    <w:p w14:paraId="7F41AACA" w14:textId="77777777" w:rsidR="003A22A9" w:rsidRPr="00DD7BD1" w:rsidRDefault="003A22A9">
      <w:pPr>
        <w:widowControl w:val="0"/>
        <w:numPr>
          <w:ilvl w:val="0"/>
          <w:numId w:val="247"/>
        </w:numPr>
        <w:tabs>
          <w:tab w:val="left" w:pos="1"/>
          <w:tab w:val="left" w:pos="1079"/>
        </w:tabs>
        <w:autoSpaceDE w:val="0"/>
        <w:autoSpaceDN w:val="0"/>
        <w:spacing w:after="0" w:line="240" w:lineRule="auto"/>
        <w:ind w:left="360" w:right="-187"/>
        <w:rPr>
          <w:rFonts w:ascii="Calibri" w:hAnsi="Calibri" w:cs="Calibri"/>
        </w:rPr>
      </w:pP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must</w:t>
      </w:r>
      <w:r w:rsidRPr="00DD7BD1">
        <w:rPr>
          <w:rFonts w:ascii="Calibri" w:hAnsi="Calibri" w:cs="Calibri"/>
          <w:spacing w:val="30"/>
        </w:rPr>
        <w:t xml:space="preserve"> </w:t>
      </w:r>
      <w:r w:rsidRPr="00DD7BD1">
        <w:rPr>
          <w:rFonts w:ascii="Calibri" w:hAnsi="Calibri" w:cs="Calibri"/>
        </w:rPr>
        <w:t>only</w:t>
      </w:r>
      <w:r w:rsidRPr="00DD7BD1">
        <w:rPr>
          <w:rFonts w:ascii="Calibri" w:hAnsi="Calibri" w:cs="Calibri"/>
          <w:spacing w:val="32"/>
        </w:rPr>
        <w:t xml:space="preserve"> </w:t>
      </w:r>
      <w:r w:rsidRPr="00DD7BD1">
        <w:rPr>
          <w:rFonts w:ascii="Calibri" w:hAnsi="Calibri" w:cs="Calibri"/>
        </w:rPr>
        <w:t>provide</w:t>
      </w:r>
      <w:r w:rsidRPr="00DD7BD1">
        <w:rPr>
          <w:rFonts w:ascii="Calibri" w:hAnsi="Calibri" w:cs="Calibri"/>
          <w:spacing w:val="32"/>
        </w:rPr>
        <w:t xml:space="preserve"> </w:t>
      </w:r>
      <w:r w:rsidRPr="00DD7BD1">
        <w:rPr>
          <w:rFonts w:ascii="Calibri" w:hAnsi="Calibri" w:cs="Calibri"/>
        </w:rPr>
        <w:t>one</w:t>
      </w:r>
      <w:r w:rsidRPr="00DD7BD1">
        <w:rPr>
          <w:rFonts w:ascii="Calibri" w:hAnsi="Calibri" w:cs="Calibri"/>
          <w:spacing w:val="32"/>
        </w:rPr>
        <w:t xml:space="preserve"> </w:t>
      </w:r>
      <w:r w:rsidRPr="00DD7BD1">
        <w:rPr>
          <w:rFonts w:ascii="Calibri" w:hAnsi="Calibri" w:cs="Calibri"/>
        </w:rPr>
        <w:t>meal</w:t>
      </w:r>
      <w:r w:rsidRPr="00DD7BD1">
        <w:rPr>
          <w:rFonts w:ascii="Calibri" w:hAnsi="Calibri" w:cs="Calibri"/>
          <w:spacing w:val="30"/>
        </w:rPr>
        <w:t xml:space="preserve"> </w:t>
      </w:r>
      <w:r w:rsidRPr="00DD7BD1">
        <w:rPr>
          <w:rFonts w:ascii="Calibri" w:hAnsi="Calibri" w:cs="Calibri"/>
        </w:rPr>
        <w:t>period</w:t>
      </w:r>
      <w:r w:rsidRPr="00DD7BD1">
        <w:rPr>
          <w:rFonts w:ascii="Calibri" w:hAnsi="Calibri" w:cs="Calibri"/>
          <w:spacing w:val="36"/>
        </w:rPr>
        <w:t xml:space="preserve"> </w:t>
      </w:r>
      <w:r w:rsidRPr="00DD7BD1">
        <w:rPr>
          <w:rFonts w:ascii="Calibri" w:hAnsi="Calibri" w:cs="Calibri"/>
        </w:rPr>
        <w:t>per</w:t>
      </w:r>
      <w:r w:rsidRPr="00DD7BD1">
        <w:rPr>
          <w:rFonts w:ascii="Calibri" w:hAnsi="Calibri" w:cs="Calibri"/>
          <w:spacing w:val="30"/>
        </w:rPr>
        <w:t xml:space="preserve"> </w:t>
      </w:r>
      <w:r w:rsidRPr="00DD7BD1">
        <w:rPr>
          <w:rFonts w:ascii="Calibri" w:hAnsi="Calibri" w:cs="Calibri"/>
        </w:rPr>
        <w:t>day</w:t>
      </w:r>
      <w:r w:rsidRPr="00DD7BD1">
        <w:rPr>
          <w:rFonts w:ascii="Calibri" w:hAnsi="Calibri" w:cs="Calibri"/>
          <w:spacing w:val="35"/>
        </w:rPr>
        <w:t xml:space="preserve"> </w:t>
      </w:r>
      <w:r w:rsidRPr="00DD7BD1">
        <w:rPr>
          <w:rFonts w:ascii="Calibri" w:hAnsi="Calibri" w:cs="Calibri"/>
        </w:rPr>
        <w:t>if</w:t>
      </w:r>
      <w:r w:rsidRPr="00DD7BD1">
        <w:rPr>
          <w:rFonts w:ascii="Calibri" w:hAnsi="Calibri" w:cs="Calibri"/>
          <w:spacing w:val="30"/>
        </w:rPr>
        <w:t xml:space="preserve"> </w:t>
      </w:r>
      <w:r w:rsidRPr="00DD7BD1">
        <w:rPr>
          <w:rFonts w:ascii="Calibri" w:hAnsi="Calibri" w:cs="Calibri"/>
        </w:rPr>
        <w:t>an</w:t>
      </w:r>
      <w:r w:rsidRPr="00DD7BD1">
        <w:rPr>
          <w:rFonts w:ascii="Calibri" w:hAnsi="Calibri" w:cs="Calibri"/>
          <w:spacing w:val="32"/>
        </w:rPr>
        <w:t xml:space="preserve"> </w:t>
      </w:r>
      <w:r w:rsidRPr="00DD7BD1">
        <w:rPr>
          <w:rFonts w:ascii="Calibri" w:hAnsi="Calibri" w:cs="Calibri"/>
        </w:rPr>
        <w:t>employee</w:t>
      </w:r>
      <w:r w:rsidRPr="00DD7BD1">
        <w:rPr>
          <w:rFonts w:ascii="Calibri" w:hAnsi="Calibri" w:cs="Calibri"/>
          <w:spacing w:val="35"/>
        </w:rPr>
        <w:t xml:space="preserve"> </w:t>
      </w:r>
      <w:r w:rsidRPr="00DD7BD1">
        <w:rPr>
          <w:rFonts w:ascii="Calibri" w:hAnsi="Calibri" w:cs="Calibri"/>
        </w:rPr>
        <w:t>works</w:t>
      </w:r>
      <w:r w:rsidRPr="00DD7BD1">
        <w:rPr>
          <w:rFonts w:ascii="Calibri" w:hAnsi="Calibri" w:cs="Calibri"/>
          <w:spacing w:val="48"/>
        </w:rPr>
        <w:t xml:space="preserve"> </w:t>
      </w:r>
      <w:r w:rsidRPr="00DD7BD1">
        <w:rPr>
          <w:rFonts w:ascii="Calibri" w:hAnsi="Calibri" w:cs="Calibri"/>
        </w:rPr>
        <w:t>6</w:t>
      </w:r>
      <w:r w:rsidRPr="00DD7BD1">
        <w:rPr>
          <w:rFonts w:ascii="Calibri" w:hAnsi="Calibri" w:cs="Calibri"/>
          <w:spacing w:val="30"/>
        </w:rPr>
        <w:t xml:space="preserve"> </w:t>
      </w:r>
      <w:r w:rsidRPr="00DD7BD1">
        <w:rPr>
          <w:rFonts w:ascii="Calibri" w:hAnsi="Calibri" w:cs="Calibri"/>
        </w:rPr>
        <w:t>continuous</w:t>
      </w:r>
      <w:r w:rsidRPr="00DD7BD1">
        <w:rPr>
          <w:rFonts w:ascii="Calibri" w:hAnsi="Calibri" w:cs="Calibri"/>
          <w:spacing w:val="35"/>
        </w:rPr>
        <w:t xml:space="preserve"> </w:t>
      </w:r>
      <w:r w:rsidRPr="00DD7BD1">
        <w:rPr>
          <w:rFonts w:ascii="Calibri" w:hAnsi="Calibri" w:cs="Calibri"/>
        </w:rPr>
        <w:t>hours</w:t>
      </w:r>
      <w:r w:rsidRPr="00DD7BD1">
        <w:rPr>
          <w:rFonts w:ascii="Calibri" w:hAnsi="Calibri" w:cs="Calibri"/>
          <w:spacing w:val="32"/>
        </w:rPr>
        <w:t xml:space="preserve"> </w:t>
      </w:r>
      <w:r w:rsidRPr="00DD7BD1">
        <w:rPr>
          <w:rFonts w:ascii="Calibri" w:hAnsi="Calibri" w:cs="Calibri"/>
        </w:rPr>
        <w:t>or</w:t>
      </w:r>
      <w:r w:rsidRPr="00DD7BD1">
        <w:rPr>
          <w:rFonts w:ascii="Calibri" w:hAnsi="Calibri" w:cs="Calibri"/>
          <w:spacing w:val="30"/>
        </w:rPr>
        <w:t xml:space="preserve"> </w:t>
      </w:r>
      <w:r w:rsidRPr="00DD7BD1">
        <w:rPr>
          <w:rFonts w:ascii="Calibri" w:hAnsi="Calibri" w:cs="Calibri"/>
          <w:spacing w:val="-2"/>
        </w:rPr>
        <w:t>more.</w:t>
      </w:r>
    </w:p>
    <w:p w14:paraId="154207AA" w14:textId="77777777" w:rsidR="003A22A9" w:rsidRPr="00DD7BD1"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An</w:t>
      </w:r>
      <w:r w:rsidRPr="00DD7BD1">
        <w:rPr>
          <w:rFonts w:ascii="Calibri" w:hAnsi="Calibri" w:cs="Calibri"/>
          <w:spacing w:val="22"/>
          <w:w w:val="110"/>
        </w:rPr>
        <w:t xml:space="preserve"> </w:t>
      </w:r>
      <w:r w:rsidRPr="00DD7BD1">
        <w:rPr>
          <w:rFonts w:ascii="Calibri" w:hAnsi="Calibri" w:cs="Calibri"/>
          <w:w w:val="110"/>
        </w:rPr>
        <w:t>unpaid</w:t>
      </w:r>
      <w:r w:rsidRPr="00DD7BD1">
        <w:rPr>
          <w:rFonts w:ascii="Calibri" w:hAnsi="Calibri" w:cs="Calibri"/>
          <w:spacing w:val="22"/>
          <w:w w:val="110"/>
        </w:rPr>
        <w:t xml:space="preserve"> </w:t>
      </w:r>
      <w:r w:rsidRPr="00DD7BD1">
        <w:rPr>
          <w:rFonts w:ascii="Calibri" w:hAnsi="Calibri" w:cs="Calibri"/>
          <w:w w:val="110"/>
        </w:rPr>
        <w:t>meal</w:t>
      </w:r>
      <w:r w:rsidRPr="00DD7BD1">
        <w:rPr>
          <w:rFonts w:ascii="Calibri" w:hAnsi="Calibri" w:cs="Calibri"/>
          <w:spacing w:val="22"/>
          <w:w w:val="110"/>
        </w:rPr>
        <w:t xml:space="preserve"> </w:t>
      </w:r>
      <w:r w:rsidRPr="00DD7BD1">
        <w:rPr>
          <w:rFonts w:ascii="Calibri" w:hAnsi="Calibri" w:cs="Calibri"/>
          <w:w w:val="110"/>
        </w:rPr>
        <w:t>period</w:t>
      </w:r>
      <w:r w:rsidRPr="00DD7BD1">
        <w:rPr>
          <w:rFonts w:ascii="Calibri" w:hAnsi="Calibri" w:cs="Calibri"/>
          <w:spacing w:val="21"/>
          <w:w w:val="110"/>
        </w:rPr>
        <w:t xml:space="preserve"> </w:t>
      </w:r>
      <w:r w:rsidRPr="00DD7BD1">
        <w:rPr>
          <w:rFonts w:ascii="Calibri" w:hAnsi="Calibri" w:cs="Calibri"/>
          <w:w w:val="110"/>
        </w:rPr>
        <w:t>of</w:t>
      </w:r>
      <w:r w:rsidRPr="00DD7BD1">
        <w:rPr>
          <w:rFonts w:ascii="Calibri" w:hAnsi="Calibri" w:cs="Calibri"/>
          <w:spacing w:val="22"/>
          <w:w w:val="110"/>
        </w:rPr>
        <w:t xml:space="preserve"> </w:t>
      </w:r>
      <w:r w:rsidRPr="00DD7BD1">
        <w:rPr>
          <w:rFonts w:ascii="Calibri" w:hAnsi="Calibri" w:cs="Calibri"/>
          <w:w w:val="110"/>
        </w:rPr>
        <w:t>twenty</w:t>
      </w:r>
      <w:r w:rsidRPr="00DD7BD1">
        <w:rPr>
          <w:rFonts w:ascii="Calibri" w:hAnsi="Calibri" w:cs="Calibri"/>
          <w:spacing w:val="22"/>
          <w:w w:val="110"/>
        </w:rPr>
        <w:t xml:space="preserve"> </w:t>
      </w:r>
      <w:r w:rsidRPr="00DD7BD1">
        <w:rPr>
          <w:rFonts w:ascii="Calibri" w:hAnsi="Calibri" w:cs="Calibri"/>
          <w:w w:val="110"/>
        </w:rPr>
        <w:t>minutes</w:t>
      </w:r>
      <w:r w:rsidRPr="00DD7BD1">
        <w:rPr>
          <w:rFonts w:ascii="Calibri" w:hAnsi="Calibri" w:cs="Calibri"/>
          <w:spacing w:val="21"/>
          <w:w w:val="110"/>
        </w:rPr>
        <w:t xml:space="preserve"> </w:t>
      </w:r>
      <w:r w:rsidRPr="00DD7BD1">
        <w:rPr>
          <w:rFonts w:ascii="Calibri" w:hAnsi="Calibri" w:cs="Calibri"/>
          <w:w w:val="110"/>
        </w:rPr>
        <w:t>or</w:t>
      </w:r>
      <w:r w:rsidRPr="00DD7BD1">
        <w:rPr>
          <w:rFonts w:ascii="Calibri" w:hAnsi="Calibri" w:cs="Calibri"/>
          <w:spacing w:val="22"/>
          <w:w w:val="110"/>
        </w:rPr>
        <w:t xml:space="preserve"> </w:t>
      </w:r>
      <w:r w:rsidRPr="00DD7BD1">
        <w:rPr>
          <w:rFonts w:ascii="Calibri" w:hAnsi="Calibri" w:cs="Calibri"/>
          <w:w w:val="110"/>
        </w:rPr>
        <w:t>more</w:t>
      </w:r>
      <w:r w:rsidRPr="00DD7BD1">
        <w:rPr>
          <w:rFonts w:ascii="Calibri" w:hAnsi="Calibri" w:cs="Calibri"/>
          <w:spacing w:val="22"/>
          <w:w w:val="110"/>
        </w:rPr>
        <w:t xml:space="preserve"> </w:t>
      </w:r>
      <w:r w:rsidRPr="00DD7BD1">
        <w:rPr>
          <w:rFonts w:ascii="Calibri" w:hAnsi="Calibri" w:cs="Calibri"/>
          <w:w w:val="110"/>
        </w:rPr>
        <w:t>is</w:t>
      </w:r>
      <w:r w:rsidRPr="00DD7BD1">
        <w:rPr>
          <w:rFonts w:ascii="Calibri" w:hAnsi="Calibri" w:cs="Calibri"/>
          <w:spacing w:val="24"/>
          <w:w w:val="110"/>
        </w:rPr>
        <w:t xml:space="preserve"> </w:t>
      </w:r>
      <w:r w:rsidRPr="00DD7BD1">
        <w:rPr>
          <w:rFonts w:ascii="Calibri" w:hAnsi="Calibri" w:cs="Calibri"/>
          <w:w w:val="110"/>
        </w:rPr>
        <w:t>not</w:t>
      </w:r>
      <w:r w:rsidRPr="00DD7BD1">
        <w:rPr>
          <w:rFonts w:ascii="Calibri" w:hAnsi="Calibri" w:cs="Calibri"/>
          <w:spacing w:val="22"/>
          <w:w w:val="110"/>
        </w:rPr>
        <w:t xml:space="preserve"> </w:t>
      </w:r>
      <w:r w:rsidRPr="00DD7BD1">
        <w:rPr>
          <w:rFonts w:ascii="Calibri" w:hAnsi="Calibri" w:cs="Calibri"/>
          <w:w w:val="110"/>
        </w:rPr>
        <w:t>counted</w:t>
      </w:r>
      <w:r w:rsidRPr="00DD7BD1">
        <w:rPr>
          <w:rFonts w:ascii="Calibri" w:hAnsi="Calibri" w:cs="Calibri"/>
          <w:spacing w:val="23"/>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“hours</w:t>
      </w:r>
      <w:r w:rsidRPr="00DD7BD1">
        <w:rPr>
          <w:rFonts w:ascii="Calibri" w:hAnsi="Calibri" w:cs="Calibri"/>
          <w:spacing w:val="23"/>
          <w:w w:val="110"/>
        </w:rPr>
        <w:t xml:space="preserve"> </w:t>
      </w:r>
      <w:r w:rsidRPr="00DD7BD1">
        <w:rPr>
          <w:rFonts w:ascii="Calibri" w:hAnsi="Calibri" w:cs="Calibri"/>
          <w:w w:val="110"/>
        </w:rPr>
        <w:t>worked”</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1"/>
          <w:w w:val="110"/>
        </w:rPr>
        <w:t xml:space="preserve"> </w:t>
      </w:r>
      <w:r w:rsidRPr="00DD7BD1">
        <w:rPr>
          <w:rFonts w:ascii="Calibri" w:hAnsi="Calibri" w:cs="Calibri"/>
          <w:w w:val="110"/>
        </w:rPr>
        <w:t>purposes</w:t>
      </w:r>
      <w:r w:rsidRPr="00DD7BD1">
        <w:rPr>
          <w:rFonts w:ascii="Calibri" w:hAnsi="Calibri" w:cs="Calibri"/>
          <w:spacing w:val="22"/>
          <w:w w:val="110"/>
        </w:rPr>
        <w:t xml:space="preserve"> </w:t>
      </w:r>
      <w:r w:rsidRPr="00DD7BD1">
        <w:rPr>
          <w:rFonts w:ascii="Calibri" w:hAnsi="Calibri" w:cs="Calibri"/>
          <w:spacing w:val="-5"/>
          <w:w w:val="110"/>
        </w:rPr>
        <w:t>of</w:t>
      </w:r>
    </w:p>
    <w:p w14:paraId="212CB709"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calculating</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6"/>
          <w:w w:val="110"/>
          <w:szCs w:val="22"/>
        </w:rPr>
        <w:t xml:space="preserve"> </w:t>
      </w:r>
      <w:r w:rsidRPr="00DD7BD1">
        <w:rPr>
          <w:rFonts w:cs="Calibri"/>
          <w:color w:val="auto"/>
          <w:spacing w:val="-2"/>
          <w:w w:val="110"/>
          <w:szCs w:val="22"/>
        </w:rPr>
        <w:t>breaks.</w:t>
      </w:r>
    </w:p>
    <w:p w14:paraId="4B76A98A" w14:textId="77777777" w:rsidR="003A22A9" w:rsidRPr="00DD7BD1"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Employes</w:t>
      </w:r>
      <w:r w:rsidRPr="00DD7BD1">
        <w:rPr>
          <w:rFonts w:ascii="Calibri" w:hAnsi="Calibri" w:cs="Calibri"/>
          <w:spacing w:val="38"/>
          <w:w w:val="110"/>
        </w:rPr>
        <w:t xml:space="preserve"> </w:t>
      </w:r>
      <w:r w:rsidRPr="00DD7BD1">
        <w:rPr>
          <w:rFonts w:ascii="Calibri" w:hAnsi="Calibri" w:cs="Calibri"/>
          <w:w w:val="110"/>
        </w:rPr>
        <w:t>must</w:t>
      </w:r>
      <w:r w:rsidRPr="00DD7BD1">
        <w:rPr>
          <w:rFonts w:ascii="Calibri" w:hAnsi="Calibri" w:cs="Calibri"/>
          <w:spacing w:val="37"/>
          <w:w w:val="110"/>
        </w:rPr>
        <w:t xml:space="preserve"> </w:t>
      </w:r>
      <w:r w:rsidRPr="00DD7BD1">
        <w:rPr>
          <w:rFonts w:ascii="Calibri" w:hAnsi="Calibri" w:cs="Calibri"/>
          <w:w w:val="110"/>
        </w:rPr>
        <w:t>be</w:t>
      </w:r>
      <w:r w:rsidRPr="00DD7BD1">
        <w:rPr>
          <w:rFonts w:ascii="Calibri" w:hAnsi="Calibri" w:cs="Calibri"/>
          <w:spacing w:val="38"/>
          <w:w w:val="110"/>
        </w:rPr>
        <w:t xml:space="preserve"> </w:t>
      </w:r>
      <w:r w:rsidRPr="00DD7BD1">
        <w:rPr>
          <w:rFonts w:ascii="Calibri" w:hAnsi="Calibri" w:cs="Calibri"/>
          <w:w w:val="110"/>
        </w:rPr>
        <w:t>provided</w:t>
      </w:r>
      <w:r w:rsidRPr="00DD7BD1">
        <w:rPr>
          <w:rFonts w:ascii="Calibri" w:hAnsi="Calibri" w:cs="Calibri"/>
          <w:spacing w:val="40"/>
          <w:w w:val="110"/>
        </w:rPr>
        <w:t xml:space="preserve"> </w:t>
      </w:r>
      <w:r w:rsidRPr="00DD7BD1">
        <w:rPr>
          <w:rFonts w:ascii="Calibri" w:hAnsi="Calibri" w:cs="Calibri"/>
          <w:w w:val="110"/>
        </w:rPr>
        <w:t>rest</w:t>
      </w:r>
      <w:r w:rsidRPr="00DD7BD1">
        <w:rPr>
          <w:rFonts w:ascii="Calibri" w:hAnsi="Calibri" w:cs="Calibri"/>
          <w:spacing w:val="34"/>
          <w:w w:val="110"/>
        </w:rPr>
        <w:t xml:space="preserve"> </w:t>
      </w:r>
      <w:r w:rsidRPr="00DD7BD1">
        <w:rPr>
          <w:rFonts w:ascii="Calibri" w:hAnsi="Calibri" w:cs="Calibri"/>
          <w:w w:val="110"/>
        </w:rPr>
        <w:t>breaks</w:t>
      </w:r>
      <w:r w:rsidRPr="00DD7BD1">
        <w:rPr>
          <w:rFonts w:ascii="Calibri" w:hAnsi="Calibri" w:cs="Calibri"/>
          <w:spacing w:val="36"/>
          <w:w w:val="110"/>
        </w:rPr>
        <w:t xml:space="preserve"> </w:t>
      </w:r>
      <w:r w:rsidRPr="00DD7BD1">
        <w:rPr>
          <w:rFonts w:ascii="Calibri" w:hAnsi="Calibri" w:cs="Calibri"/>
          <w:w w:val="110"/>
        </w:rPr>
        <w:t>of</w:t>
      </w:r>
      <w:r w:rsidRPr="00DD7BD1">
        <w:rPr>
          <w:rFonts w:ascii="Calibri" w:hAnsi="Calibri" w:cs="Calibri"/>
          <w:spacing w:val="37"/>
          <w:w w:val="110"/>
        </w:rPr>
        <w:t xml:space="preserve"> </w:t>
      </w:r>
      <w:r w:rsidRPr="00DD7BD1">
        <w:rPr>
          <w:rFonts w:ascii="Calibri" w:hAnsi="Calibri" w:cs="Calibri"/>
          <w:w w:val="110"/>
        </w:rPr>
        <w:t>at</w:t>
      </w:r>
      <w:r w:rsidRPr="00DD7BD1">
        <w:rPr>
          <w:rFonts w:ascii="Calibri" w:hAnsi="Calibri" w:cs="Calibri"/>
          <w:spacing w:val="39"/>
          <w:w w:val="110"/>
        </w:rPr>
        <w:t xml:space="preserve"> </w:t>
      </w:r>
      <w:r w:rsidRPr="00DD7BD1">
        <w:rPr>
          <w:rFonts w:ascii="Calibri" w:hAnsi="Calibri" w:cs="Calibri"/>
          <w:w w:val="110"/>
        </w:rPr>
        <w:t>least</w:t>
      </w:r>
      <w:r w:rsidRPr="00DD7BD1">
        <w:rPr>
          <w:rFonts w:ascii="Calibri" w:hAnsi="Calibri" w:cs="Calibri"/>
          <w:spacing w:val="37"/>
          <w:w w:val="110"/>
        </w:rPr>
        <w:t xml:space="preserve"> </w:t>
      </w:r>
      <w:r w:rsidRPr="00DD7BD1">
        <w:rPr>
          <w:rFonts w:ascii="Calibri" w:hAnsi="Calibri" w:cs="Calibri"/>
          <w:w w:val="110"/>
        </w:rPr>
        <w:t>15</w:t>
      </w:r>
      <w:r w:rsidRPr="00DD7BD1">
        <w:rPr>
          <w:rFonts w:ascii="Calibri" w:hAnsi="Calibri" w:cs="Calibri"/>
          <w:spacing w:val="38"/>
          <w:w w:val="110"/>
        </w:rPr>
        <w:t xml:space="preserve"> </w:t>
      </w:r>
      <w:r w:rsidRPr="00DD7BD1">
        <w:rPr>
          <w:rFonts w:ascii="Calibri" w:hAnsi="Calibri" w:cs="Calibri"/>
          <w:w w:val="110"/>
        </w:rPr>
        <w:t>minutes</w:t>
      </w:r>
      <w:r w:rsidRPr="00DD7BD1">
        <w:rPr>
          <w:rFonts w:ascii="Calibri" w:hAnsi="Calibri" w:cs="Calibri"/>
          <w:spacing w:val="38"/>
          <w:w w:val="110"/>
        </w:rPr>
        <w:t xml:space="preserve"> </w:t>
      </w:r>
      <w:r w:rsidRPr="00DD7BD1">
        <w:rPr>
          <w:rFonts w:ascii="Calibri" w:hAnsi="Calibri" w:cs="Calibri"/>
          <w:w w:val="110"/>
        </w:rPr>
        <w:t>or</w:t>
      </w:r>
      <w:r w:rsidRPr="00DD7BD1">
        <w:rPr>
          <w:rFonts w:ascii="Calibri" w:hAnsi="Calibri" w:cs="Calibri"/>
          <w:spacing w:val="37"/>
          <w:w w:val="110"/>
        </w:rPr>
        <w:t xml:space="preserve"> </w:t>
      </w:r>
      <w:r w:rsidRPr="00DD7BD1">
        <w:rPr>
          <w:rFonts w:ascii="Calibri" w:hAnsi="Calibri" w:cs="Calibri"/>
          <w:w w:val="110"/>
        </w:rPr>
        <w:t>enough</w:t>
      </w:r>
      <w:r w:rsidRPr="00DD7BD1">
        <w:rPr>
          <w:rFonts w:ascii="Calibri" w:hAnsi="Calibri" w:cs="Calibri"/>
          <w:spacing w:val="38"/>
          <w:w w:val="110"/>
        </w:rPr>
        <w:t xml:space="preserve"> </w:t>
      </w:r>
      <w:r w:rsidRPr="00DD7BD1">
        <w:rPr>
          <w:rFonts w:ascii="Calibri" w:hAnsi="Calibri" w:cs="Calibri"/>
          <w:w w:val="110"/>
        </w:rPr>
        <w:t>time</w:t>
      </w:r>
      <w:r w:rsidRPr="00DD7BD1">
        <w:rPr>
          <w:rFonts w:ascii="Calibri" w:hAnsi="Calibri" w:cs="Calibri"/>
          <w:spacing w:val="38"/>
          <w:w w:val="110"/>
        </w:rPr>
        <w:t xml:space="preserve"> </w:t>
      </w:r>
      <w:r w:rsidRPr="00DD7BD1">
        <w:rPr>
          <w:rFonts w:ascii="Calibri" w:hAnsi="Calibri" w:cs="Calibri"/>
          <w:w w:val="110"/>
        </w:rPr>
        <w:t>to</w:t>
      </w:r>
      <w:r w:rsidRPr="00DD7BD1">
        <w:rPr>
          <w:rFonts w:ascii="Calibri" w:hAnsi="Calibri" w:cs="Calibri"/>
          <w:spacing w:val="38"/>
          <w:w w:val="110"/>
        </w:rPr>
        <w:t xml:space="preserve"> </w:t>
      </w:r>
      <w:r w:rsidRPr="00DD7BD1">
        <w:rPr>
          <w:rFonts w:ascii="Calibri" w:hAnsi="Calibri" w:cs="Calibri"/>
          <w:w w:val="110"/>
        </w:rPr>
        <w:t>utilize</w:t>
      </w:r>
      <w:r w:rsidRPr="00DD7BD1">
        <w:rPr>
          <w:rFonts w:ascii="Calibri" w:hAnsi="Calibri" w:cs="Calibri"/>
          <w:spacing w:val="38"/>
          <w:w w:val="110"/>
        </w:rPr>
        <w:t xml:space="preserve"> </w:t>
      </w:r>
      <w:r w:rsidRPr="00DD7BD1">
        <w:rPr>
          <w:rFonts w:ascii="Calibri" w:hAnsi="Calibri" w:cs="Calibri"/>
          <w:w w:val="110"/>
        </w:rPr>
        <w:t>the</w:t>
      </w:r>
      <w:r w:rsidRPr="00DD7BD1">
        <w:rPr>
          <w:rFonts w:ascii="Calibri" w:hAnsi="Calibri" w:cs="Calibri"/>
          <w:spacing w:val="35"/>
          <w:w w:val="110"/>
        </w:rPr>
        <w:t xml:space="preserve"> </w:t>
      </w:r>
      <w:r w:rsidRPr="00DD7BD1">
        <w:rPr>
          <w:rFonts w:ascii="Calibri" w:hAnsi="Calibri" w:cs="Calibri"/>
          <w:w w:val="110"/>
        </w:rPr>
        <w:t>nearest convenient</w:t>
      </w:r>
      <w:r w:rsidRPr="00DD7BD1">
        <w:rPr>
          <w:rFonts w:ascii="Calibri" w:hAnsi="Calibri" w:cs="Calibri"/>
          <w:spacing w:val="-9"/>
          <w:w w:val="110"/>
        </w:rPr>
        <w:t xml:space="preserve"> </w:t>
      </w:r>
      <w:r w:rsidRPr="00DD7BD1">
        <w:rPr>
          <w:rFonts w:ascii="Calibri" w:hAnsi="Calibri" w:cs="Calibri"/>
          <w:w w:val="110"/>
        </w:rPr>
        <w:t>rest</w:t>
      </w:r>
      <w:r w:rsidRPr="00DD7BD1">
        <w:rPr>
          <w:rFonts w:ascii="Calibri" w:hAnsi="Calibri" w:cs="Calibri"/>
          <w:spacing w:val="-9"/>
          <w:w w:val="110"/>
        </w:rPr>
        <w:t xml:space="preserve"> </w:t>
      </w:r>
      <w:r w:rsidRPr="00DD7BD1">
        <w:rPr>
          <w:rFonts w:ascii="Calibri" w:hAnsi="Calibri" w:cs="Calibri"/>
          <w:w w:val="110"/>
        </w:rPr>
        <w:t>room</w:t>
      </w:r>
      <w:r w:rsidRPr="00DD7BD1">
        <w:rPr>
          <w:rFonts w:ascii="Calibri" w:hAnsi="Calibri" w:cs="Calibri"/>
          <w:spacing w:val="-10"/>
          <w:w w:val="110"/>
        </w:rPr>
        <w:t xml:space="preserve"> </w:t>
      </w:r>
      <w:r w:rsidRPr="00DD7BD1">
        <w:rPr>
          <w:rFonts w:ascii="Calibri" w:hAnsi="Calibri" w:cs="Calibri"/>
          <w:w w:val="110"/>
        </w:rPr>
        <w:t>(whichever</w:t>
      </w:r>
      <w:r w:rsidRPr="00DD7BD1">
        <w:rPr>
          <w:rFonts w:ascii="Calibri" w:hAnsi="Calibri" w:cs="Calibri"/>
          <w:spacing w:val="-9"/>
          <w:w w:val="110"/>
        </w:rPr>
        <w:t xml:space="preserve"> </w:t>
      </w:r>
      <w:r w:rsidRPr="00DD7BD1">
        <w:rPr>
          <w:rFonts w:ascii="Calibri" w:hAnsi="Calibri" w:cs="Calibri"/>
          <w:w w:val="110"/>
        </w:rPr>
        <w:t>is</w:t>
      </w:r>
      <w:r w:rsidRPr="00DD7BD1">
        <w:rPr>
          <w:rFonts w:ascii="Calibri" w:hAnsi="Calibri" w:cs="Calibri"/>
          <w:spacing w:val="-8"/>
          <w:w w:val="110"/>
        </w:rPr>
        <w:t xml:space="preserve"> </w:t>
      </w:r>
      <w:r w:rsidRPr="00DD7BD1">
        <w:rPr>
          <w:rFonts w:ascii="Calibri" w:hAnsi="Calibri" w:cs="Calibri"/>
          <w:w w:val="110"/>
        </w:rPr>
        <w:t>longer)</w:t>
      </w:r>
      <w:r w:rsidRPr="00DD7BD1">
        <w:rPr>
          <w:rFonts w:ascii="Calibri" w:hAnsi="Calibri" w:cs="Calibri"/>
          <w:spacing w:val="-9"/>
          <w:w w:val="110"/>
        </w:rPr>
        <w:t xml:space="preserve"> </w:t>
      </w:r>
      <w:r w:rsidRPr="00DD7BD1">
        <w:rPr>
          <w:rFonts w:ascii="Calibri" w:hAnsi="Calibri" w:cs="Calibri"/>
          <w:w w:val="110"/>
        </w:rPr>
        <w:t>within</w:t>
      </w:r>
      <w:r w:rsidRPr="00DD7BD1">
        <w:rPr>
          <w:rFonts w:ascii="Calibri" w:hAnsi="Calibri" w:cs="Calibri"/>
          <w:spacing w:val="-11"/>
          <w:w w:val="110"/>
        </w:rPr>
        <w:t xml:space="preserve"> </w:t>
      </w:r>
      <w:r w:rsidRPr="00DD7BD1">
        <w:rPr>
          <w:rFonts w:ascii="Calibri" w:hAnsi="Calibri" w:cs="Calibri"/>
          <w:w w:val="110"/>
        </w:rPr>
        <w:t>each</w:t>
      </w:r>
      <w:r w:rsidRPr="00DD7BD1">
        <w:rPr>
          <w:rFonts w:ascii="Calibri" w:hAnsi="Calibri" w:cs="Calibri"/>
          <w:spacing w:val="-11"/>
          <w:w w:val="110"/>
        </w:rPr>
        <w:t xml:space="preserve"> </w:t>
      </w:r>
      <w:r w:rsidRPr="00DD7BD1">
        <w:rPr>
          <w:rFonts w:ascii="Calibri" w:hAnsi="Calibri" w:cs="Calibri"/>
          <w:w w:val="110"/>
        </w:rPr>
        <w:t>4</w:t>
      </w:r>
      <w:r w:rsidRPr="00DD7BD1">
        <w:rPr>
          <w:rFonts w:ascii="Calibri" w:hAnsi="Calibri" w:cs="Calibri"/>
          <w:spacing w:val="40"/>
          <w:w w:val="110"/>
        </w:rPr>
        <w:t xml:space="preserve"> </w:t>
      </w:r>
      <w:r w:rsidRPr="00DD7BD1">
        <w:rPr>
          <w:rFonts w:ascii="Calibri" w:hAnsi="Calibri" w:cs="Calibri"/>
          <w:w w:val="110"/>
        </w:rPr>
        <w:t>continuous</w:t>
      </w:r>
      <w:r w:rsidRPr="00DD7BD1">
        <w:rPr>
          <w:rFonts w:ascii="Calibri" w:hAnsi="Calibri" w:cs="Calibri"/>
          <w:spacing w:val="-10"/>
          <w:w w:val="110"/>
        </w:rPr>
        <w:t xml:space="preserve"> </w:t>
      </w:r>
      <w:r w:rsidRPr="00DD7BD1">
        <w:rPr>
          <w:rFonts w:ascii="Calibri" w:hAnsi="Calibri" w:cs="Calibri"/>
          <w:w w:val="110"/>
        </w:rPr>
        <w:t>hours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work</w:t>
      </w:r>
    </w:p>
    <w:p w14:paraId="2252E1BC"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Minnesota</w:t>
      </w:r>
      <w:r w:rsidRPr="00DD7BD1">
        <w:rPr>
          <w:rFonts w:cs="Calibri"/>
          <w:color w:val="auto"/>
          <w:spacing w:val="-14"/>
          <w:w w:val="110"/>
          <w:szCs w:val="22"/>
        </w:rPr>
        <w:t xml:space="preserve"> </w:t>
      </w:r>
      <w:r w:rsidRPr="00DD7BD1">
        <w:rPr>
          <w:rFonts w:cs="Calibri"/>
          <w:color w:val="auto"/>
          <w:w w:val="110"/>
          <w:szCs w:val="22"/>
        </w:rPr>
        <w:t>Department</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Industry</w:t>
      </w:r>
      <w:r w:rsidRPr="00DD7BD1">
        <w:rPr>
          <w:rFonts w:cs="Calibri"/>
          <w:color w:val="auto"/>
          <w:spacing w:val="-13"/>
          <w:w w:val="110"/>
          <w:szCs w:val="22"/>
        </w:rPr>
        <w:t xml:space="preserve"> </w:t>
      </w:r>
      <w:r w:rsidRPr="00DD7BD1">
        <w:rPr>
          <w:rFonts w:cs="Calibri"/>
          <w:color w:val="auto"/>
          <w:w w:val="110"/>
          <w:szCs w:val="22"/>
        </w:rPr>
        <w:t>(MNDOLI)</w:t>
      </w:r>
      <w:r w:rsidRPr="00DD7BD1">
        <w:rPr>
          <w:rFonts w:cs="Calibri"/>
          <w:color w:val="auto"/>
          <w:spacing w:val="-16"/>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now</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guidance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form</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frequently asked</w:t>
      </w:r>
      <w:r w:rsidRPr="00DD7BD1">
        <w:rPr>
          <w:rFonts w:cs="Calibri"/>
          <w:color w:val="auto"/>
          <w:spacing w:val="-17"/>
          <w:w w:val="110"/>
          <w:szCs w:val="22"/>
        </w:rPr>
        <w:t xml:space="preserve"> </w:t>
      </w:r>
      <w:r w:rsidRPr="00DD7BD1">
        <w:rPr>
          <w:rFonts w:cs="Calibri"/>
          <w:color w:val="auto"/>
          <w:w w:val="110"/>
          <w:szCs w:val="22"/>
        </w:rPr>
        <w:t>questions</w:t>
      </w:r>
      <w:r w:rsidRPr="00DD7BD1">
        <w:rPr>
          <w:rFonts w:cs="Calibri"/>
          <w:color w:val="auto"/>
          <w:spacing w:val="-17"/>
          <w:w w:val="110"/>
          <w:szCs w:val="22"/>
        </w:rPr>
        <w:t xml:space="preserve"> </w:t>
      </w:r>
      <w:hyperlink r:id="rId879">
        <w:r w:rsidRPr="00DD7BD1">
          <w:rPr>
            <w:rFonts w:cs="Calibri"/>
            <w:color w:val="0000FF"/>
            <w:w w:val="110"/>
            <w:szCs w:val="22"/>
            <w:u w:val="single" w:color="0000FF"/>
          </w:rPr>
          <w:t>(FAQs)</w:t>
        </w:r>
      </w:hyperlink>
      <w:r w:rsidRPr="00DD7BD1">
        <w:rPr>
          <w:rFonts w:cs="Calibri"/>
          <w:color w:val="0000FF"/>
          <w:spacing w:val="-17"/>
          <w:w w:val="110"/>
          <w:szCs w:val="22"/>
        </w:rPr>
        <w:t xml:space="preserve"> </w:t>
      </w:r>
      <w:r w:rsidRPr="00DD7BD1">
        <w:rPr>
          <w:rFonts w:cs="Calibri"/>
          <w:color w:val="auto"/>
          <w:w w:val="110"/>
          <w:szCs w:val="22"/>
        </w:rPr>
        <w:t>providing</w:t>
      </w:r>
      <w:r w:rsidRPr="00DD7BD1">
        <w:rPr>
          <w:rFonts w:cs="Calibri"/>
          <w:color w:val="auto"/>
          <w:spacing w:val="-17"/>
          <w:w w:val="110"/>
          <w:szCs w:val="22"/>
        </w:rPr>
        <w:t xml:space="preserve"> </w:t>
      </w:r>
      <w:r w:rsidRPr="00DD7BD1">
        <w:rPr>
          <w:rFonts w:cs="Calibri"/>
          <w:color w:val="auto"/>
          <w:w w:val="110"/>
          <w:szCs w:val="22"/>
        </w:rPr>
        <w:t>some</w:t>
      </w:r>
      <w:r w:rsidRPr="00DD7BD1">
        <w:rPr>
          <w:rFonts w:cs="Calibri"/>
          <w:color w:val="auto"/>
          <w:spacing w:val="-17"/>
          <w:w w:val="110"/>
          <w:szCs w:val="22"/>
        </w:rPr>
        <w:t xml:space="preserve"> </w:t>
      </w:r>
      <w:r w:rsidRPr="00DD7BD1">
        <w:rPr>
          <w:rFonts w:cs="Calibri"/>
          <w:color w:val="auto"/>
          <w:w w:val="110"/>
          <w:szCs w:val="22"/>
        </w:rPr>
        <w:t>clarity.</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FAQs</w:t>
      </w:r>
      <w:r w:rsidRPr="00DD7BD1">
        <w:rPr>
          <w:rFonts w:cs="Calibri"/>
          <w:color w:val="auto"/>
          <w:spacing w:val="-16"/>
          <w:w w:val="110"/>
          <w:szCs w:val="22"/>
        </w:rPr>
        <w:t xml:space="preserve"> </w:t>
      </w:r>
      <w:r w:rsidRPr="00DD7BD1">
        <w:rPr>
          <w:rFonts w:cs="Calibri"/>
          <w:color w:val="auto"/>
          <w:w w:val="110"/>
          <w:szCs w:val="22"/>
        </w:rPr>
        <w:t>indicate</w:t>
      </w:r>
      <w:r w:rsidRPr="00DD7BD1">
        <w:rPr>
          <w:rFonts w:cs="Calibri"/>
          <w:color w:val="auto"/>
          <w:spacing w:val="-17"/>
          <w:w w:val="110"/>
          <w:szCs w:val="22"/>
        </w:rPr>
        <w:t xml:space="preserve"> </w:t>
      </w:r>
      <w:r w:rsidRPr="00DD7BD1">
        <w:rPr>
          <w:rFonts w:cs="Calibri"/>
          <w:color w:val="auto"/>
          <w:w w:val="110"/>
          <w:szCs w:val="22"/>
        </w:rPr>
        <w:t>how</w:t>
      </w:r>
      <w:r w:rsidRPr="00DD7BD1">
        <w:rPr>
          <w:rFonts w:cs="Calibri"/>
          <w:color w:val="auto"/>
          <w:spacing w:val="-17"/>
          <w:w w:val="110"/>
          <w:szCs w:val="22"/>
        </w:rPr>
        <w:t xml:space="preserve"> </w:t>
      </w:r>
      <w:r w:rsidRPr="00DD7BD1">
        <w:rPr>
          <w:rFonts w:cs="Calibri"/>
          <w:color w:val="auto"/>
          <w:w w:val="110"/>
          <w:szCs w:val="22"/>
        </w:rPr>
        <w:t>MNDOLI</w:t>
      </w:r>
      <w:r w:rsidRPr="00DD7BD1">
        <w:rPr>
          <w:rFonts w:cs="Calibri"/>
          <w:color w:val="auto"/>
          <w:spacing w:val="-17"/>
          <w:w w:val="110"/>
          <w:szCs w:val="22"/>
        </w:rPr>
        <w:t xml:space="preserve"> </w:t>
      </w:r>
      <w:r w:rsidRPr="00DD7BD1">
        <w:rPr>
          <w:rFonts w:cs="Calibri"/>
          <w:color w:val="auto"/>
          <w:w w:val="110"/>
          <w:szCs w:val="22"/>
        </w:rPr>
        <w:t>interprets</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 xml:space="preserve">laws </w:t>
      </w:r>
      <w:r w:rsidRPr="00DD7BD1">
        <w:rPr>
          <w:rFonts w:cs="Calibri"/>
          <w:color w:val="auto"/>
          <w:spacing w:val="-2"/>
          <w:w w:val="110"/>
          <w:szCs w:val="22"/>
        </w:rPr>
        <w:t>and</w:t>
      </w:r>
      <w:r w:rsidRPr="00DD7BD1">
        <w:rPr>
          <w:rFonts w:cs="Calibri"/>
          <w:color w:val="auto"/>
          <w:spacing w:val="-11"/>
          <w:w w:val="110"/>
          <w:szCs w:val="22"/>
        </w:rPr>
        <w:t xml:space="preserve"> </w:t>
      </w:r>
      <w:r w:rsidRPr="00DD7BD1">
        <w:rPr>
          <w:rFonts w:cs="Calibri"/>
          <w:color w:val="auto"/>
          <w:spacing w:val="-2"/>
          <w:w w:val="110"/>
          <w:szCs w:val="22"/>
        </w:rPr>
        <w:t>how</w:t>
      </w:r>
      <w:r w:rsidRPr="00DD7BD1">
        <w:rPr>
          <w:rFonts w:cs="Calibri"/>
          <w:color w:val="auto"/>
          <w:spacing w:val="-8"/>
          <w:w w:val="110"/>
          <w:szCs w:val="22"/>
        </w:rPr>
        <w:t xml:space="preserve"> </w:t>
      </w:r>
      <w:r w:rsidRPr="00DD7BD1">
        <w:rPr>
          <w:rFonts w:cs="Calibri"/>
          <w:color w:val="auto"/>
          <w:spacing w:val="-2"/>
          <w:w w:val="110"/>
          <w:szCs w:val="22"/>
        </w:rPr>
        <w:t>they</w:t>
      </w:r>
      <w:r w:rsidRPr="00DD7BD1">
        <w:rPr>
          <w:rFonts w:cs="Calibri"/>
          <w:color w:val="auto"/>
          <w:spacing w:val="-7"/>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anticipated</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enforce</w:t>
      </w:r>
      <w:r w:rsidRPr="00DD7BD1">
        <w:rPr>
          <w:rFonts w:cs="Calibri"/>
          <w:color w:val="auto"/>
          <w:spacing w:val="-11"/>
          <w:w w:val="110"/>
          <w:szCs w:val="22"/>
        </w:rPr>
        <w:t xml:space="preserve"> </w:t>
      </w:r>
      <w:r w:rsidRPr="00DD7BD1">
        <w:rPr>
          <w:rFonts w:cs="Calibri"/>
          <w:color w:val="auto"/>
          <w:spacing w:val="-2"/>
          <w:w w:val="110"/>
          <w:szCs w:val="22"/>
        </w:rPr>
        <w:t>them.</w:t>
      </w:r>
      <w:r w:rsidRPr="00DD7BD1">
        <w:rPr>
          <w:rFonts w:cs="Calibri"/>
          <w:color w:val="auto"/>
          <w:spacing w:val="-12"/>
          <w:w w:val="110"/>
          <w:szCs w:val="22"/>
        </w:rPr>
        <w:t xml:space="preserve"> </w:t>
      </w:r>
      <w:r w:rsidRPr="00DD7BD1">
        <w:rPr>
          <w:rFonts w:cs="Calibri"/>
          <w:color w:val="auto"/>
          <w:spacing w:val="-2"/>
          <w:w w:val="110"/>
          <w:szCs w:val="22"/>
        </w:rPr>
        <w:t>MNDOLI</w:t>
      </w:r>
      <w:r w:rsidRPr="00DD7BD1">
        <w:rPr>
          <w:rFonts w:cs="Calibri"/>
          <w:color w:val="auto"/>
          <w:spacing w:val="-11"/>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indicated</w:t>
      </w:r>
      <w:r w:rsidRPr="00DD7BD1">
        <w:rPr>
          <w:rFonts w:cs="Calibri"/>
          <w:color w:val="auto"/>
          <w:spacing w:val="-11"/>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is</w:t>
      </w:r>
      <w:r w:rsidRPr="00DD7BD1">
        <w:rPr>
          <w:rFonts w:cs="Calibri"/>
          <w:color w:val="auto"/>
          <w:spacing w:val="-12"/>
          <w:w w:val="110"/>
          <w:szCs w:val="22"/>
        </w:rPr>
        <w:t xml:space="preserve"> </w:t>
      </w:r>
      <w:r w:rsidRPr="00DD7BD1">
        <w:rPr>
          <w:rFonts w:cs="Calibri"/>
          <w:color w:val="auto"/>
          <w:spacing w:val="-2"/>
          <w:w w:val="110"/>
          <w:szCs w:val="22"/>
        </w:rPr>
        <w:t>evaluating</w:t>
      </w:r>
      <w:r w:rsidRPr="00DD7BD1">
        <w:rPr>
          <w:rFonts w:cs="Calibri"/>
          <w:color w:val="auto"/>
          <w:spacing w:val="-9"/>
          <w:w w:val="110"/>
          <w:szCs w:val="22"/>
        </w:rPr>
        <w:t xml:space="preserve"> </w:t>
      </w:r>
      <w:r w:rsidRPr="00DD7BD1">
        <w:rPr>
          <w:rFonts w:cs="Calibri"/>
          <w:color w:val="auto"/>
          <w:spacing w:val="-2"/>
          <w:w w:val="110"/>
          <w:szCs w:val="22"/>
        </w:rPr>
        <w:t>whether</w:t>
      </w:r>
      <w:r w:rsidRPr="00DD7BD1">
        <w:rPr>
          <w:rFonts w:cs="Calibri"/>
          <w:color w:val="auto"/>
          <w:spacing w:val="-12"/>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will</w:t>
      </w:r>
      <w:r w:rsidRPr="00DD7BD1">
        <w:rPr>
          <w:rFonts w:cs="Calibri"/>
          <w:color w:val="auto"/>
          <w:spacing w:val="-12"/>
          <w:w w:val="110"/>
          <w:szCs w:val="22"/>
        </w:rPr>
        <w:t xml:space="preserve"> </w:t>
      </w:r>
      <w:r w:rsidRPr="00DD7BD1">
        <w:rPr>
          <w:rFonts w:cs="Calibri"/>
          <w:color w:val="auto"/>
          <w:spacing w:val="-2"/>
          <w:w w:val="110"/>
          <w:szCs w:val="22"/>
        </w:rPr>
        <w:t>conduct</w:t>
      </w:r>
      <w:r w:rsidRPr="00DD7BD1">
        <w:rPr>
          <w:rFonts w:cs="Calibri"/>
          <w:color w:val="auto"/>
          <w:spacing w:val="-12"/>
          <w:w w:val="110"/>
          <w:szCs w:val="22"/>
        </w:rPr>
        <w:t xml:space="preserve"> </w:t>
      </w:r>
      <w:r w:rsidRPr="00DD7BD1">
        <w:rPr>
          <w:rFonts w:cs="Calibri"/>
          <w:color w:val="auto"/>
          <w:spacing w:val="-2"/>
          <w:w w:val="110"/>
          <w:szCs w:val="22"/>
        </w:rPr>
        <w:t xml:space="preserve">breaks- </w:t>
      </w:r>
      <w:r w:rsidRPr="00DD7BD1">
        <w:rPr>
          <w:rFonts w:cs="Calibri"/>
          <w:color w:val="auto"/>
          <w:w w:val="110"/>
          <w:szCs w:val="22"/>
        </w:rPr>
        <w:t>related rulemaking.</w:t>
      </w:r>
    </w:p>
    <w:p w14:paraId="443260C2" w14:textId="5AE61767" w:rsidR="003A22A9" w:rsidRPr="00DD7BD1" w:rsidRDefault="003A22A9" w:rsidP="003A3D32">
      <w:pPr>
        <w:pStyle w:val="BodyText"/>
        <w:tabs>
          <w:tab w:val="left" w:pos="1"/>
        </w:tabs>
        <w:spacing w:after="0" w:line="240" w:lineRule="auto"/>
        <w:ind w:left="360" w:right="-187"/>
        <w:jc w:val="left"/>
        <w:rPr>
          <w:rFonts w:cs="Calibri"/>
          <w:color w:val="auto"/>
          <w:spacing w:val="-2"/>
          <w:w w:val="110"/>
          <w:szCs w:val="22"/>
        </w:rPr>
      </w:pPr>
      <w:r w:rsidRPr="00DD7BD1">
        <w:rPr>
          <w:rFonts w:cs="Calibri"/>
          <w:color w:val="auto"/>
          <w:w w:val="110"/>
          <w:szCs w:val="22"/>
        </w:rPr>
        <w:t>ETC</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update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proofErr w:type="gramStart"/>
      <w:r w:rsidRPr="00DD7BD1">
        <w:rPr>
          <w:rFonts w:cs="Calibri"/>
          <w:color w:val="auto"/>
          <w:w w:val="110"/>
          <w:szCs w:val="22"/>
        </w:rPr>
        <w:t>released</w:t>
      </w:r>
      <w:proofErr w:type="gramEnd"/>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applicable</w:t>
      </w:r>
      <w:r w:rsidRPr="00DD7BD1">
        <w:rPr>
          <w:rFonts w:cs="Calibri"/>
          <w:color w:val="auto"/>
          <w:spacing w:val="-17"/>
          <w:w w:val="110"/>
          <w:szCs w:val="22"/>
        </w:rPr>
        <w:t xml:space="preserve"> </w:t>
      </w:r>
      <w:r w:rsidRPr="00DD7BD1">
        <w:rPr>
          <w:rFonts w:cs="Calibri"/>
          <w:color w:val="auto"/>
          <w:w w:val="110"/>
          <w:szCs w:val="22"/>
        </w:rPr>
        <w:t>MN</w:t>
      </w:r>
      <w:r w:rsidRPr="00DD7BD1">
        <w:rPr>
          <w:rFonts w:cs="Calibri"/>
          <w:color w:val="auto"/>
          <w:spacing w:val="-17"/>
          <w:w w:val="110"/>
          <w:szCs w:val="22"/>
        </w:rPr>
        <w:t xml:space="preserve"> </w:t>
      </w:r>
      <w:r w:rsidRPr="00DD7BD1">
        <w:rPr>
          <w:rFonts w:cs="Calibri"/>
          <w:color w:val="auto"/>
          <w:w w:val="110"/>
          <w:szCs w:val="22"/>
        </w:rPr>
        <w:t>State</w:t>
      </w:r>
      <w:r w:rsidRPr="00DD7BD1">
        <w:rPr>
          <w:rFonts w:cs="Calibri"/>
          <w:color w:val="auto"/>
          <w:spacing w:val="-16"/>
          <w:w w:val="110"/>
          <w:szCs w:val="22"/>
        </w:rPr>
        <w:t xml:space="preserve"> </w:t>
      </w:r>
      <w:r w:rsidRPr="00DD7BD1">
        <w:rPr>
          <w:rFonts w:cs="Calibri"/>
          <w:color w:val="auto"/>
          <w:w w:val="110"/>
          <w:szCs w:val="22"/>
        </w:rPr>
        <w:t>Handbook</w:t>
      </w:r>
      <w:r w:rsidRPr="00DD7BD1">
        <w:rPr>
          <w:rFonts w:cs="Calibri"/>
          <w:color w:val="auto"/>
          <w:spacing w:val="-17"/>
          <w:w w:val="110"/>
          <w:szCs w:val="22"/>
        </w:rPr>
        <w:t xml:space="preserve"> </w:t>
      </w:r>
      <w:r w:rsidRPr="00DD7BD1">
        <w:rPr>
          <w:rFonts w:cs="Calibri"/>
          <w:color w:val="auto"/>
          <w:w w:val="110"/>
          <w:szCs w:val="22"/>
        </w:rPr>
        <w:t>Addendum</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coming</w:t>
      </w:r>
      <w:r w:rsidRPr="00DD7BD1">
        <w:rPr>
          <w:rFonts w:cs="Calibri"/>
          <w:color w:val="auto"/>
          <w:spacing w:val="-17"/>
          <w:w w:val="110"/>
          <w:szCs w:val="22"/>
        </w:rPr>
        <w:t xml:space="preserve"> </w:t>
      </w:r>
      <w:r w:rsidRPr="00DD7BD1">
        <w:rPr>
          <w:rFonts w:cs="Calibri"/>
          <w:color w:val="auto"/>
          <w:spacing w:val="-2"/>
          <w:w w:val="110"/>
          <w:szCs w:val="22"/>
        </w:rPr>
        <w:t>months.</w:t>
      </w:r>
    </w:p>
    <w:p w14:paraId="0DBF4AB0" w14:textId="77777777" w:rsidR="003A3D32" w:rsidRPr="00DD7BD1" w:rsidRDefault="003A3D32" w:rsidP="003A3D32">
      <w:pPr>
        <w:pStyle w:val="BodyText"/>
        <w:tabs>
          <w:tab w:val="left" w:pos="1"/>
        </w:tabs>
        <w:spacing w:after="0" w:line="240" w:lineRule="auto"/>
        <w:ind w:left="360" w:right="-187"/>
        <w:jc w:val="left"/>
        <w:rPr>
          <w:rFonts w:cs="Calibri"/>
          <w:color w:val="auto"/>
          <w:szCs w:val="22"/>
        </w:rPr>
      </w:pPr>
    </w:p>
    <w:p w14:paraId="1E1CDC03" w14:textId="59664A04" w:rsidR="0001411D" w:rsidRPr="00DD7BD1" w:rsidRDefault="0001411D" w:rsidP="0001411D">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Paid Leave Requirements</w:t>
      </w:r>
    </w:p>
    <w:p w14:paraId="75BAE62A" w14:textId="3A09B18F" w:rsidR="0001411D" w:rsidRPr="00DD7BD1" w:rsidRDefault="0001411D" w:rsidP="0001411D">
      <w:pPr>
        <w:jc w:val="both"/>
        <w:rPr>
          <w:rFonts w:ascii="Calibri" w:hAnsi="Calibri" w:cs="Calibri"/>
          <w:b/>
          <w:bCs/>
          <w:color w:val="2E74B5" w:themeColor="accent5" w:themeShade="BF"/>
          <w:shd w:val="clear" w:color="auto" w:fill="FFFFFF"/>
          <w:lang w:val="en"/>
        </w:rPr>
      </w:pPr>
      <w:r w:rsidRPr="00DD7BD1">
        <w:rPr>
          <w:rFonts w:ascii="Calibri" w:hAnsi="Calibri" w:cs="Calibri"/>
          <w:shd w:val="clear" w:color="auto" w:fill="FFFFFF"/>
          <w:lang w:val="en"/>
        </w:rPr>
        <w:lastRenderedPageBreak/>
        <w:t xml:space="preserve">Employers wishing to learn more about the State’s Paid Leave for employees effective July 1 can access the State’s provided training session </w:t>
      </w:r>
      <w:hyperlink r:id="rId880" w:history="1">
        <w:r w:rsidRPr="00DD7BD1">
          <w:rPr>
            <w:rStyle w:val="Hyperlink"/>
            <w:rFonts w:ascii="Calibri" w:hAnsi="Calibri" w:cs="Calibri"/>
            <w:b/>
            <w:bCs/>
            <w:shd w:val="clear" w:color="auto" w:fill="FFFFFF"/>
            <w:lang w:val="en"/>
          </w:rPr>
          <w:t>HERE</w:t>
        </w:r>
      </w:hyperlink>
      <w:r w:rsidRPr="00DD7BD1">
        <w:rPr>
          <w:rFonts w:ascii="Calibri" w:hAnsi="Calibri" w:cs="Calibri"/>
          <w:b/>
          <w:bCs/>
          <w:color w:val="2E74B5" w:themeColor="accent5" w:themeShade="BF"/>
          <w:shd w:val="clear" w:color="auto" w:fill="FFFFFF"/>
          <w:lang w:val="en"/>
        </w:rPr>
        <w:t xml:space="preserve">.  </w:t>
      </w:r>
      <w:r w:rsidRPr="00DD7BD1">
        <w:rPr>
          <w:rFonts w:ascii="Calibri" w:hAnsi="Calibri" w:cs="Calibri"/>
          <w:shd w:val="clear" w:color="auto" w:fill="FFFFFF"/>
          <w:lang w:val="en"/>
        </w:rPr>
        <w:t>Previous HR WIRE publications also included information for employers.</w:t>
      </w:r>
    </w:p>
    <w:p w14:paraId="4F7B1993" w14:textId="3F77E5E2"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&amp; PFML – </w:t>
      </w:r>
      <w:r w:rsidRPr="00DD7BD1">
        <w:rPr>
          <w:rFonts w:ascii="Calibri" w:hAnsi="Calibri" w:cs="Calibri"/>
          <w:b/>
          <w:bCs/>
          <w:color w:val="C00000"/>
          <w:sz w:val="28"/>
          <w:szCs w:val="28"/>
          <w:shd w:val="clear" w:color="auto" w:fill="FFFFFF"/>
          <w:lang w:val="en"/>
        </w:rPr>
        <w:t>Eff July 1, 2025</w:t>
      </w:r>
    </w:p>
    <w:p w14:paraId="4090EEC0" w14:textId="77777777" w:rsidR="00784E6F" w:rsidRPr="00DD7BD1" w:rsidRDefault="00784E6F" w:rsidP="00784E6F">
      <w:pPr>
        <w:pStyle w:val="BodyText"/>
        <w:spacing w:after="0" w:line="240" w:lineRule="auto"/>
        <w:rPr>
          <w:rFonts w:cs="Calibri"/>
          <w:szCs w:val="22"/>
        </w:rPr>
      </w:pPr>
      <w:r w:rsidRPr="00DD7BD1">
        <w:rPr>
          <w:rFonts w:cs="Calibri"/>
          <w:color w:val="auto"/>
          <w:szCs w:val="22"/>
        </w:rPr>
        <w:t xml:space="preserve">Minnesota has enacted changes to its earned sick and safe time (ESST) and paid family and medical leave (PFML) laws. The amendments were passed in a special legislative session as part of a </w:t>
      </w:r>
      <w:hyperlink r:id="rId881" w:history="1">
        <w:r w:rsidRPr="00DD7BD1">
          <w:rPr>
            <w:rStyle w:val="Hyperlink"/>
            <w:rFonts w:cs="Calibri"/>
            <w:szCs w:val="22"/>
          </w:rPr>
          <w:t>budget measure</w:t>
        </w:r>
      </w:hyperlink>
      <w:r w:rsidRPr="00DD7BD1">
        <w:rPr>
          <w:rFonts w:cs="Calibri"/>
          <w:szCs w:val="22"/>
        </w:rPr>
        <w:t>.</w:t>
      </w:r>
    </w:p>
    <w:p w14:paraId="13240722" w14:textId="77777777" w:rsidR="00784E6F" w:rsidRPr="00DD7BD1" w:rsidRDefault="00784E6F" w:rsidP="00784E6F">
      <w:pPr>
        <w:pStyle w:val="SubHeader"/>
        <w:spacing w:line="240" w:lineRule="auto"/>
        <w:rPr>
          <w:rFonts w:cs="Calibri"/>
          <w:color w:val="auto"/>
          <w:sz w:val="16"/>
          <w:szCs w:val="16"/>
          <w:shd w:val="clear" w:color="auto" w:fill="FFFFFF"/>
          <w:lang w:val="en"/>
        </w:rPr>
      </w:pPr>
    </w:p>
    <w:p w14:paraId="68324C7C"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shd w:val="clear" w:color="auto" w:fill="FFFFFF"/>
          <w:lang w:val="en"/>
        </w:rPr>
        <w:t xml:space="preserve">ESST </w:t>
      </w:r>
      <w:r w:rsidRPr="00DD7BD1">
        <w:rPr>
          <w:rFonts w:cs="Calibri"/>
          <w:color w:val="auto"/>
          <w:sz w:val="22"/>
          <w:szCs w:val="22"/>
        </w:rPr>
        <w:t>Changes—Notice and Documentation</w:t>
      </w:r>
    </w:p>
    <w:p w14:paraId="6CAD2688"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One of the main changes to the ESST law is that, effective </w:t>
      </w:r>
      <w:r w:rsidRPr="00DD7BD1">
        <w:rPr>
          <w:rFonts w:cs="Calibri"/>
          <w:color w:val="C00000"/>
          <w:szCs w:val="22"/>
        </w:rPr>
        <w:t>July 1, 2025</w:t>
      </w:r>
      <w:r w:rsidRPr="00DD7BD1">
        <w:rPr>
          <w:rFonts w:cs="Calibri"/>
          <w:color w:val="auto"/>
          <w:szCs w:val="22"/>
          <w:u w:val="single"/>
        </w:rPr>
        <w:t>, employees may be required to provide notice of their need for unforeseeable leave “</w:t>
      </w:r>
      <w:bookmarkStart w:id="112" w:name="_Hlk201931862"/>
      <w:r w:rsidRPr="00DD7BD1">
        <w:rPr>
          <w:rFonts w:cs="Calibri"/>
          <w:color w:val="auto"/>
          <w:szCs w:val="22"/>
          <w:u w:val="single"/>
        </w:rPr>
        <w:t>as reasonably required by the employer</w:t>
      </w:r>
      <w:bookmarkEnd w:id="112"/>
      <w:r w:rsidRPr="00DD7BD1">
        <w:rPr>
          <w:rFonts w:cs="Calibri"/>
          <w:color w:val="auto"/>
          <w:szCs w:val="22"/>
          <w:u w:val="single"/>
        </w:rPr>
        <w:t xml:space="preserve">” rather than “as soon as practicable,” </w:t>
      </w:r>
      <w:r w:rsidRPr="00DD7BD1">
        <w:rPr>
          <w:rFonts w:cs="Calibri"/>
          <w:color w:val="auto"/>
          <w:szCs w:val="22"/>
        </w:rPr>
        <w:t>the current governing language in the provision.</w:t>
      </w:r>
    </w:p>
    <w:p w14:paraId="49AC286A"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A second change allows </w:t>
      </w:r>
      <w:r w:rsidRPr="00DD7BD1">
        <w:rPr>
          <w:rFonts w:cs="Calibri"/>
          <w:color w:val="auto"/>
          <w:szCs w:val="22"/>
          <w:u w:val="single"/>
        </w:rPr>
        <w:t>employers to require documentation in support of ESST leave after two, instead of three, consecutive days of time off</w:t>
      </w:r>
      <w:r w:rsidRPr="00DD7BD1">
        <w:rPr>
          <w:rFonts w:cs="Calibri"/>
          <w:color w:val="auto"/>
          <w:szCs w:val="22"/>
        </w:rPr>
        <w:t xml:space="preserve">. This change also takes effect </w:t>
      </w:r>
      <w:r w:rsidRPr="00DD7BD1">
        <w:rPr>
          <w:rFonts w:cs="Calibri"/>
          <w:color w:val="C00000"/>
          <w:szCs w:val="22"/>
        </w:rPr>
        <w:t xml:space="preserve">July 1, 2025.  </w:t>
      </w:r>
    </w:p>
    <w:p w14:paraId="6C9751D5" w14:textId="77777777" w:rsidR="00784E6F" w:rsidRPr="00DD7BD1" w:rsidRDefault="00784E6F" w:rsidP="00784E6F">
      <w:pPr>
        <w:pStyle w:val="BodyText"/>
        <w:spacing w:after="0" w:line="240" w:lineRule="auto"/>
        <w:rPr>
          <w:rFonts w:cs="Calibri"/>
          <w:color w:val="auto"/>
          <w:szCs w:val="22"/>
        </w:rPr>
      </w:pPr>
    </w:p>
    <w:p w14:paraId="042B44BB"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Other ESST amendments allow:</w:t>
      </w:r>
    </w:p>
    <w:p w14:paraId="0AF8603A"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Employees to voluntarily trade shifts with a replacement worker to cover their leave time (effective July 1, 2025); and </w:t>
      </w:r>
    </w:p>
    <w:p w14:paraId="75903D9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w:t>
      </w:r>
      <w:proofErr w:type="gramStart"/>
      <w:r w:rsidRPr="00DD7BD1">
        <w:rPr>
          <w:rFonts w:cs="Calibri"/>
          <w:color w:val="auto"/>
          <w:szCs w:val="22"/>
        </w:rPr>
        <w:t>actually works</w:t>
      </w:r>
      <w:proofErr w:type="gramEnd"/>
      <w:r w:rsidRPr="00DD7BD1">
        <w:rPr>
          <w:rFonts w:cs="Calibri"/>
          <w:color w:val="auto"/>
          <w:szCs w:val="22"/>
        </w:rPr>
        <w:t xml:space="preserve">, the employer must make up the difference with additional ESST. </w:t>
      </w:r>
    </w:p>
    <w:p w14:paraId="39972C8F" w14:textId="77777777" w:rsidR="00784E6F" w:rsidRPr="00DD7BD1" w:rsidRDefault="00784E6F" w:rsidP="00784E6F">
      <w:pPr>
        <w:pStyle w:val="Bullet"/>
        <w:numPr>
          <w:ilvl w:val="0"/>
          <w:numId w:val="0"/>
        </w:numPr>
        <w:spacing w:line="240" w:lineRule="auto"/>
        <w:ind w:left="720"/>
        <w:rPr>
          <w:rFonts w:cs="Calibri"/>
          <w:color w:val="auto"/>
          <w:sz w:val="16"/>
          <w:szCs w:val="16"/>
        </w:rPr>
      </w:pPr>
    </w:p>
    <w:p w14:paraId="77954309"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PFML Changes</w:t>
      </w:r>
    </w:p>
    <w:p w14:paraId="3439AF5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Contributions and benefits for the state’s PFML program will begin </w:t>
      </w:r>
      <w:r w:rsidRPr="00DD7BD1">
        <w:rPr>
          <w:rFonts w:cs="Calibri"/>
          <w:color w:val="C00000"/>
          <w:szCs w:val="22"/>
        </w:rPr>
        <w:t>Jan. 1, 2026</w:t>
      </w:r>
      <w:r w:rsidRPr="00DD7BD1">
        <w:rPr>
          <w:rFonts w:cs="Calibri"/>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882" w:history="1">
        <w:r w:rsidRPr="00DD7BD1">
          <w:rPr>
            <w:rStyle w:val="Hyperlink"/>
            <w:rFonts w:cs="Calibri"/>
            <w:szCs w:val="22"/>
          </w:rPr>
          <w:t>discount</w:t>
        </w:r>
      </w:hyperlink>
      <w:r w:rsidRPr="00DD7BD1">
        <w:rPr>
          <w:rFonts w:cs="Calibri"/>
          <w:szCs w:val="22"/>
        </w:rPr>
        <w:t xml:space="preserve"> </w:t>
      </w:r>
      <w:r w:rsidRPr="00DD7BD1">
        <w:rPr>
          <w:rFonts w:cs="Calibri"/>
          <w:color w:val="auto"/>
          <w:szCs w:val="22"/>
        </w:rPr>
        <w:t>for eligible small employers.</w:t>
      </w:r>
    </w:p>
    <w:p w14:paraId="2408C592" w14:textId="77777777" w:rsidR="00784E6F" w:rsidRPr="00DD7BD1" w:rsidRDefault="00784E6F" w:rsidP="00784E6F">
      <w:pPr>
        <w:pStyle w:val="BodyText"/>
        <w:spacing w:after="0" w:line="240" w:lineRule="auto"/>
        <w:rPr>
          <w:rFonts w:cs="Calibri"/>
          <w:color w:val="auto"/>
          <w:szCs w:val="22"/>
        </w:rPr>
      </w:pPr>
    </w:p>
    <w:p w14:paraId="6C13D263" w14:textId="09FA1399" w:rsidR="00784E6F" w:rsidRPr="00DD7BD1" w:rsidRDefault="00784E6F" w:rsidP="00784E6F">
      <w:pPr>
        <w:pStyle w:val="BodyText"/>
        <w:spacing w:after="0" w:line="240" w:lineRule="auto"/>
        <w:rPr>
          <w:rFonts w:cs="Calibri"/>
          <w:color w:val="auto"/>
          <w:szCs w:val="22"/>
        </w:rPr>
      </w:pPr>
      <w:proofErr w:type="gramStart"/>
      <w:r w:rsidRPr="00DD7BD1">
        <w:rPr>
          <w:rFonts w:cs="Calibri"/>
          <w:color w:val="auto"/>
          <w:szCs w:val="22"/>
        </w:rPr>
        <w:t>ETC  published</w:t>
      </w:r>
      <w:proofErr w:type="gramEnd"/>
      <w:r w:rsidRPr="00DD7BD1">
        <w:rPr>
          <w:rFonts w:cs="Calibri"/>
          <w:color w:val="auto"/>
          <w:szCs w:val="22"/>
        </w:rPr>
        <w:t xml:space="preserve"> MN State Handbook Addendum reflective of these changes </w:t>
      </w:r>
      <w:r w:rsidRPr="00DD7BD1">
        <w:rPr>
          <w:rFonts w:cs="Calibri"/>
          <w:color w:val="auto"/>
          <w:szCs w:val="22"/>
          <w:u w:val="single"/>
        </w:rPr>
        <w:t>with</w:t>
      </w:r>
      <w:r w:rsidRPr="00DD7BD1">
        <w:rPr>
          <w:rFonts w:cs="Calibri"/>
          <w:color w:val="auto"/>
          <w:szCs w:val="22"/>
        </w:rPr>
        <w:t xml:space="preserve"> the June HR WIRE.</w:t>
      </w:r>
    </w:p>
    <w:p w14:paraId="19ED7D27" w14:textId="77777777" w:rsidR="00784E6F" w:rsidRPr="00DD7BD1" w:rsidRDefault="00784E6F" w:rsidP="00784E6F">
      <w:pPr>
        <w:pStyle w:val="BodyText"/>
        <w:spacing w:after="0" w:line="240" w:lineRule="auto"/>
        <w:rPr>
          <w:rFonts w:cs="Calibri"/>
        </w:rPr>
      </w:pPr>
    </w:p>
    <w:p w14:paraId="11EA2C57" w14:textId="77777777" w:rsidR="00784E6F" w:rsidRPr="00DD7BD1" w:rsidRDefault="00784E6F" w:rsidP="00784E6F">
      <w:pPr>
        <w:jc w:val="center"/>
        <w:rPr>
          <w:rFonts w:ascii="Calibri" w:hAnsi="Calibri" w:cs="Calibri"/>
          <w:b/>
          <w:bCs/>
          <w:color w:val="C00000"/>
          <w:sz w:val="28"/>
          <w:szCs w:val="28"/>
          <w:shd w:val="clear" w:color="auto" w:fill="FFFFFF"/>
          <w:lang w:val="en"/>
        </w:rPr>
      </w:pPr>
      <w:bookmarkStart w:id="113" w:name="_Hlk202782677"/>
      <w:r w:rsidRPr="00DD7BD1">
        <w:rPr>
          <w:rFonts w:ascii="Calibri" w:hAnsi="Calibri" w:cs="Calibri"/>
          <w:b/>
          <w:bCs/>
          <w:sz w:val="28"/>
          <w:szCs w:val="28"/>
          <w:shd w:val="clear" w:color="auto" w:fill="FFFFFF"/>
          <w:lang w:val="en"/>
        </w:rPr>
        <w:t xml:space="preserve">State Amends Meal &amp; Rest break Requirements – </w:t>
      </w:r>
      <w:r w:rsidRPr="00DD7BD1">
        <w:rPr>
          <w:rFonts w:ascii="Calibri" w:hAnsi="Calibri" w:cs="Calibri"/>
          <w:b/>
          <w:bCs/>
          <w:color w:val="C00000"/>
          <w:sz w:val="28"/>
          <w:szCs w:val="28"/>
          <w:shd w:val="clear" w:color="auto" w:fill="FFFFFF"/>
          <w:lang w:val="en"/>
        </w:rPr>
        <w:t>Eff January 1, 2026</w:t>
      </w:r>
    </w:p>
    <w:bookmarkEnd w:id="113"/>
    <w:p w14:paraId="5FB3B55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June 14, 2025, Minnesota’s governor signed an omnibus bill, </w:t>
      </w:r>
      <w:hyperlink r:id="rId883" w:tgtFrame="_blank" w:history="1">
        <w:r w:rsidRPr="00DD7BD1">
          <w:rPr>
            <w:rStyle w:val="Hyperlink"/>
            <w:rFonts w:ascii="Calibri" w:hAnsi="Calibri" w:cs="Calibri"/>
          </w:rPr>
          <w:t>SF 17</w:t>
        </w:r>
      </w:hyperlink>
      <w:r w:rsidRPr="00DD7BD1">
        <w:rPr>
          <w:rStyle w:val="Hyperlink"/>
          <w:rFonts w:ascii="Calibri" w:hAnsi="Calibri" w:cs="Calibri"/>
        </w:rPr>
        <w:t>,</w:t>
      </w:r>
      <w:r w:rsidRPr="00DD7BD1">
        <w:rPr>
          <w:rFonts w:ascii="Calibri" w:hAnsi="Calibri" w:cs="Calibri"/>
          <w:shd w:val="clear" w:color="auto" w:fill="FFFFFF"/>
        </w:rPr>
        <w:t xml:space="preserve"> which includes amendments to the state’s meal and rest break requirements found at Minnesota Statute Sections 177.253 and 177.254.</w:t>
      </w:r>
    </w:p>
    <w:p w14:paraId="0C4072C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opens the door to potentially longer paid rest breaks if it takes longer to utilize the nearest convenient restroom.</w:t>
      </w:r>
    </w:p>
    <w:p w14:paraId="1F7FB0D5" w14:textId="77777777" w:rsidR="00784E6F" w:rsidRPr="00DD7BD1" w:rsidRDefault="00784E6F" w:rsidP="00784E6F">
      <w:pPr>
        <w:rPr>
          <w:rFonts w:ascii="Calibri" w:hAnsi="Calibri" w:cs="Calibri"/>
          <w:shd w:val="clear" w:color="auto" w:fill="FFFFFF"/>
        </w:rPr>
      </w:pPr>
    </w:p>
    <w:p w14:paraId="00AF96E0"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DD7BD1" w:rsidRDefault="00784E6F" w:rsidP="00784E6F">
      <w:pPr>
        <w:rPr>
          <w:rFonts w:ascii="Calibri" w:hAnsi="Calibri" w:cs="Calibri"/>
          <w:shd w:val="clear" w:color="auto" w:fill="FFFFFF"/>
        </w:rPr>
      </w:pPr>
    </w:p>
    <w:p w14:paraId="49CF53E8" w14:textId="17CE108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lastRenderedPageBreak/>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p>
    <w:p w14:paraId="32BD1241"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 Paul’s Minimum Wage Increase - </w:t>
      </w:r>
      <w:r w:rsidRPr="00DD7BD1">
        <w:rPr>
          <w:rFonts w:ascii="Calibri" w:hAnsi="Calibri" w:cs="Calibri"/>
          <w:b/>
          <w:bCs/>
          <w:color w:val="C00000"/>
          <w:sz w:val="28"/>
          <w:szCs w:val="28"/>
          <w:shd w:val="clear" w:color="auto" w:fill="FFFFFF"/>
        </w:rPr>
        <w:t>Eff July 1, 2025</w:t>
      </w:r>
    </w:p>
    <w:p w14:paraId="1A7217CA"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Effective July 1, 2025, St. Paul’s minimum wages for small and micro business will increase as follows:</w:t>
      </w:r>
    </w:p>
    <w:p w14:paraId="26076FE2"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$15 per hour for small businesses (6–100 employees)</w:t>
      </w:r>
    </w:p>
    <w:p w14:paraId="065C003B"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$13.25 per hour for micro businesses (5 employees or fewer)</w:t>
      </w:r>
    </w:p>
    <w:p w14:paraId="128183B8"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minimum wage for employers with 101 or more employees will remain at $15.97 per hour.</w:t>
      </w:r>
    </w:p>
    <w:p w14:paraId="003CACC8" w14:textId="575BEC0B"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More information can be found on the city’s </w:t>
      </w:r>
      <w:hyperlink r:id="rId884"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6F060851" w14:textId="420A2C45"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Minneapolis Amended Anti-Discrimination Regulations – </w:t>
      </w:r>
      <w:r w:rsidRPr="00DD7BD1">
        <w:rPr>
          <w:rFonts w:ascii="Calibri" w:hAnsi="Calibri" w:cs="Calibri"/>
          <w:b/>
          <w:bCs/>
          <w:color w:val="C00000"/>
          <w:sz w:val="28"/>
          <w:szCs w:val="28"/>
          <w:shd w:val="clear" w:color="auto" w:fill="FFFFFF"/>
          <w:lang w:val="en"/>
        </w:rPr>
        <w:t>Eff August 1, 2025</w:t>
      </w:r>
    </w:p>
    <w:p w14:paraId="557A0F6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Minneapolis adds new protected classifications, including justice-impacted status, housing status, and height and weight to its anti-discrimination ordinance.</w:t>
      </w:r>
    </w:p>
    <w:p w14:paraId="692019B0"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The amendments also expand an employer’s duty to make reasonable accommodations for disability, pregnancy-related limitations and religion.</w:t>
      </w:r>
    </w:p>
    <w:p w14:paraId="0F8651C7" w14:textId="77777777" w:rsidR="00402F96" w:rsidRPr="00DD7BD1" w:rsidRDefault="00402F96" w:rsidP="00402F96">
      <w:pPr>
        <w:rPr>
          <w:rFonts w:ascii="Calibri" w:hAnsi="Calibri" w:cs="Calibri"/>
          <w:b/>
          <w:bCs/>
          <w:sz w:val="16"/>
          <w:szCs w:val="16"/>
          <w:u w:val="single"/>
          <w:shd w:val="clear" w:color="auto" w:fill="FFFFFF"/>
        </w:rPr>
      </w:pPr>
    </w:p>
    <w:p w14:paraId="2EFBF4CB" w14:textId="77777777" w:rsidR="00402F96" w:rsidRPr="00DD7BD1" w:rsidRDefault="00402F96" w:rsidP="00402F96">
      <w:pPr>
        <w:rPr>
          <w:rFonts w:ascii="Calibri" w:hAnsi="Calibri" w:cs="Calibri"/>
          <w:b/>
          <w:bCs/>
          <w:u w:val="single"/>
          <w:shd w:val="clear" w:color="auto" w:fill="FFFFFF"/>
        </w:rPr>
      </w:pPr>
      <w:r w:rsidRPr="00DD7BD1">
        <w:rPr>
          <w:rFonts w:ascii="Calibri" w:hAnsi="Calibri" w:cs="Calibri"/>
          <w:b/>
          <w:bCs/>
          <w:u w:val="single"/>
          <w:shd w:val="clear" w:color="auto" w:fill="FFFFFF"/>
        </w:rPr>
        <w:t>Additional Details</w:t>
      </w:r>
    </w:p>
    <w:p w14:paraId="12EADDC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Importantly, the new law includes several definitions of new and existing protected characteristics, including the following:</w:t>
      </w:r>
    </w:p>
    <w:p w14:paraId="5749C599"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Familial status</w:t>
      </w:r>
      <w:r w:rsidRPr="00DD7BD1">
        <w:rPr>
          <w:rFonts w:ascii="Calibri" w:hAnsi="Calibri" w:cs="Calibri"/>
          <w:shd w:val="clear" w:color="auto" w:fill="FFFFFF"/>
        </w:rPr>
        <w:t xml:space="preserve">: Adds that protected familial status </w:t>
      </w:r>
      <w:proofErr w:type="gramStart"/>
      <w:r w:rsidRPr="00DD7BD1">
        <w:rPr>
          <w:rFonts w:ascii="Calibri" w:hAnsi="Calibri" w:cs="Calibri"/>
          <w:shd w:val="clear" w:color="auto" w:fill="FFFFFF"/>
        </w:rPr>
        <w:t>includes</w:t>
      </w:r>
      <w:proofErr w:type="gramEnd"/>
      <w:r w:rsidRPr="00DD7BD1">
        <w:rPr>
          <w:rFonts w:ascii="Calibri" w:hAnsi="Calibri" w:cs="Calibri"/>
          <w:shd w:val="clear" w:color="auto" w:fill="FFFFFF"/>
        </w:rPr>
        <w:t xml:space="preserve"> those caring for one or more individuals who cannot meet their own requirements for physical health or safety due to their inability to receive, evaluate, or communicate information.</w:t>
      </w:r>
    </w:p>
    <w:p w14:paraId="442E56E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Height and weight</w:t>
      </w:r>
      <w:r w:rsidRPr="00DD7BD1">
        <w:rPr>
          <w:rFonts w:ascii="Calibri" w:hAnsi="Calibri" w:cs="Calibri"/>
          <w:shd w:val="clear" w:color="auto" w:fill="FFFFFF"/>
        </w:rPr>
        <w:t>: Clarifies that protected height and weight include both the numerical measures of one’s height and weight and others’ impressions of these traits (</w:t>
      </w:r>
      <w:r w:rsidRPr="00DD7BD1">
        <w:rPr>
          <w:rFonts w:ascii="Calibri" w:hAnsi="Calibri" w:cs="Calibri"/>
          <w:i/>
          <w:iCs/>
          <w:shd w:val="clear" w:color="auto" w:fill="FFFFFF"/>
        </w:rPr>
        <w:t>e.g</w:t>
      </w:r>
      <w:r w:rsidRPr="00DD7BD1">
        <w:rPr>
          <w:rFonts w:ascii="Calibri" w:hAnsi="Calibri" w:cs="Calibri"/>
          <w:shd w:val="clear" w:color="auto" w:fill="FFFFFF"/>
        </w:rPr>
        <w:t>., that someone is considered fat, thin, short, or tall).</w:t>
      </w:r>
    </w:p>
    <w:p w14:paraId="40C97B7E"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Housing status</w:t>
      </w:r>
      <w:r w:rsidRPr="00DD7BD1">
        <w:rPr>
          <w:rFonts w:ascii="Calibri" w:hAnsi="Calibri" w:cs="Calibri"/>
          <w:shd w:val="clear" w:color="auto" w:fill="FFFFFF"/>
        </w:rPr>
        <w:t xml:space="preserve">: Having, or not having, a fixed, regular, adequate </w:t>
      </w:r>
      <w:proofErr w:type="gramStart"/>
      <w:r w:rsidRPr="00DD7BD1">
        <w:rPr>
          <w:rFonts w:ascii="Calibri" w:hAnsi="Calibri" w:cs="Calibri"/>
          <w:shd w:val="clear" w:color="auto" w:fill="FFFFFF"/>
        </w:rPr>
        <w:t>nighttime</w:t>
      </w:r>
      <w:proofErr w:type="gramEnd"/>
      <w:r w:rsidRPr="00DD7BD1">
        <w:rPr>
          <w:rFonts w:ascii="Calibri" w:hAnsi="Calibri" w:cs="Calibri"/>
          <w:shd w:val="clear" w:color="auto" w:fill="FFFFFF"/>
        </w:rPr>
        <w:t xml:space="preserve"> residence.</w:t>
      </w:r>
    </w:p>
    <w:p w14:paraId="0C936FD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Justice-impacted status</w:t>
      </w:r>
      <w:r w:rsidRPr="00DD7BD1">
        <w:rPr>
          <w:rFonts w:ascii="Calibri" w:hAnsi="Calibri" w:cs="Calibri"/>
          <w:shd w:val="clear" w:color="auto" w:fill="FFFFFF"/>
        </w:rPr>
        <w:t xml:space="preserve">: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w:t>
      </w:r>
      <w:proofErr w:type="gramStart"/>
      <w:r w:rsidRPr="00DD7BD1">
        <w:rPr>
          <w:rFonts w:ascii="Calibri" w:hAnsi="Calibri" w:cs="Calibri"/>
          <w:shd w:val="clear" w:color="auto" w:fill="FFFFFF"/>
        </w:rPr>
        <w:t>take action</w:t>
      </w:r>
      <w:proofErr w:type="gramEnd"/>
      <w:r w:rsidRPr="00DD7BD1">
        <w:rPr>
          <w:rFonts w:ascii="Calibri" w:hAnsi="Calibri" w:cs="Calibri"/>
          <w:shd w:val="clear" w:color="auto" w:fill="FFFFFF"/>
        </w:rPr>
        <w:t xml:space="preserve"> against the person. However, employers are entitled to examine the facts surrounding a charge without a conviction, using the factors listed above, and </w:t>
      </w:r>
      <w:proofErr w:type="gramStart"/>
      <w:r w:rsidRPr="00DD7BD1">
        <w:rPr>
          <w:rFonts w:ascii="Calibri" w:hAnsi="Calibri" w:cs="Calibri"/>
          <w:shd w:val="clear" w:color="auto" w:fill="FFFFFF"/>
        </w:rPr>
        <w:t>make a determination</w:t>
      </w:r>
      <w:proofErr w:type="gramEnd"/>
      <w:r w:rsidRPr="00DD7BD1">
        <w:rPr>
          <w:rFonts w:ascii="Calibri" w:hAnsi="Calibri" w:cs="Calibri"/>
          <w:shd w:val="clear" w:color="auto" w:fill="FFFFFF"/>
        </w:rPr>
        <w:t xml:space="preserve"> based on those facts for possible adverse action.</w:t>
      </w:r>
    </w:p>
    <w:p w14:paraId="0F3711A8"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Race</w:t>
      </w:r>
      <w:r w:rsidRPr="00DD7BD1">
        <w:rPr>
          <w:rFonts w:ascii="Calibri" w:hAnsi="Calibri" w:cs="Calibri"/>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Disability</w:t>
      </w:r>
      <w:r w:rsidRPr="00DD7BD1">
        <w:rPr>
          <w:rFonts w:ascii="Calibri" w:hAnsi="Calibri" w:cs="Calibri"/>
          <w:shd w:val="clear" w:color="auto" w:fill="FFFFFF"/>
        </w:rPr>
        <w:t>: The term has been amended to include having an impairment that is episodic or in remission that would materially limit a major life activity when active.</w:t>
      </w:r>
    </w:p>
    <w:p w14:paraId="5EAE67B4" w14:textId="278DA412"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lastRenderedPageBreak/>
        <w:t>Undue hardship</w:t>
      </w:r>
      <w:r w:rsidRPr="00DD7BD1">
        <w:rPr>
          <w:rFonts w:ascii="Calibri" w:hAnsi="Calibri" w:cs="Calibri"/>
          <w:shd w:val="clear" w:color="auto" w:fill="FFFFFF"/>
        </w:rPr>
        <w:t xml:space="preserve">: Removes the specific factors to be considered in assessing an undue hardship claim and clarifies that, in relation to reasonable accommodations, an “undue hardship” means a situation requiring significant difficulty or expense depending on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factors, determined on a case-by-case basis and specific to the area of discrimination.</w:t>
      </w:r>
    </w:p>
    <w:p w14:paraId="06F59C89" w14:textId="1E3EBD36" w:rsidR="00402F96" w:rsidRPr="00DD7BD1" w:rsidRDefault="00402F96" w:rsidP="00AD4A8E">
      <w:pPr>
        <w:rPr>
          <w:rFonts w:ascii="Calibri" w:hAnsi="Calibri" w:cs="Calibri"/>
          <w:shd w:val="clear" w:color="auto" w:fill="FFFFFF"/>
        </w:rPr>
      </w:pPr>
      <w:r w:rsidRPr="00DD7BD1">
        <w:rPr>
          <w:rFonts w:ascii="Calibri" w:hAnsi="Calibri" w:cs="Calibri"/>
          <w:shd w:val="clear" w:color="auto" w:fill="FFFFFF"/>
        </w:rPr>
        <w:t xml:space="preserve">To learn more access a May 15th article released by Littler Mendelson </w:t>
      </w:r>
      <w:hyperlink r:id="rId885"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ETC publish</w:t>
      </w:r>
      <w:r w:rsidR="00F45F26"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to reflect these changes </w:t>
      </w:r>
      <w:r w:rsidR="00F45F26" w:rsidRPr="00DD7BD1">
        <w:rPr>
          <w:rFonts w:ascii="Calibri" w:hAnsi="Calibri" w:cs="Calibri"/>
          <w:shd w:val="clear" w:color="auto" w:fill="FFFFFF"/>
        </w:rPr>
        <w:t>June 2025.</w:t>
      </w:r>
    </w:p>
    <w:p w14:paraId="7C6961B9" w14:textId="7B18F17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State’s Paid Leave Guidance Issued for Opting Out - Private Plans</w:t>
      </w:r>
    </w:p>
    <w:p w14:paraId="71D6E10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Minnesota’s Department of Employment and Economic Development (DEED) has issued initial guidance for employers who do not want to participate in Minnesota’s Paid Leave Law (PLL) program and instead wish to offer an equivalent private plan. (full guidance available </w:t>
      </w:r>
      <w:hyperlink r:id="rId886"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5B84B0D3" w14:textId="77777777" w:rsidR="00BD445F" w:rsidRPr="00DD7BD1" w:rsidRDefault="00BD445F" w:rsidP="00BD445F">
      <w:pPr>
        <w:spacing w:after="0" w:line="240" w:lineRule="auto"/>
        <w:rPr>
          <w:rFonts w:ascii="Calibri" w:hAnsi="Calibri" w:cs="Calibri"/>
          <w:sz w:val="20"/>
          <w:szCs w:val="20"/>
          <w:shd w:val="clear" w:color="auto" w:fill="FFFFFF"/>
        </w:rPr>
      </w:pPr>
    </w:p>
    <w:p w14:paraId="0C80674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Employers seeking to implement or administer private leave plans — and avoid paying into the state’s Paid Leave fund — should act now to formalize their plan and obtain approval from the state. Prior to seeking approval, employers should ensure that their proposed plan </w:t>
      </w:r>
      <w:proofErr w:type="gramStart"/>
      <w:r w:rsidRPr="00DD7BD1">
        <w:rPr>
          <w:rFonts w:ascii="Calibri" w:hAnsi="Calibri" w:cs="Calibri"/>
          <w:shd w:val="clear" w:color="auto" w:fill="FFFFFF"/>
        </w:rPr>
        <w:t>provide</w:t>
      </w:r>
      <w:proofErr w:type="gramEnd"/>
      <w:r w:rsidRPr="00DD7BD1">
        <w:rPr>
          <w:rFonts w:ascii="Calibri" w:hAnsi="Calibri" w:cs="Calibri"/>
          <w:shd w:val="clear" w:color="auto" w:fill="FFFFFF"/>
        </w:rPr>
        <w:t xml:space="preserve"> benefits that meet or exceed those mandated by the state.</w:t>
      </w:r>
    </w:p>
    <w:p w14:paraId="698A5EF2" w14:textId="77777777" w:rsidR="00BD445F" w:rsidRPr="00DD7BD1" w:rsidRDefault="00BD445F" w:rsidP="003B29FD">
      <w:pPr>
        <w:spacing w:after="0" w:line="240" w:lineRule="auto"/>
        <w:jc w:val="center"/>
        <w:rPr>
          <w:rFonts w:ascii="Calibri" w:hAnsi="Calibri" w:cs="Calibri"/>
          <w:b/>
          <w:bCs/>
          <w:sz w:val="20"/>
          <w:szCs w:val="20"/>
          <w:shd w:val="clear" w:color="auto" w:fill="FFFFFF"/>
        </w:rPr>
      </w:pPr>
    </w:p>
    <w:p w14:paraId="350BCEBC" w14:textId="7EFDCC0F" w:rsidR="00CD70B8" w:rsidRPr="00DD7BD1" w:rsidRDefault="00CD70B8" w:rsidP="003B29FD">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Paid Leave Wage Reports - </w:t>
      </w:r>
      <w:r w:rsidRPr="00DD7BD1">
        <w:rPr>
          <w:rFonts w:ascii="Calibri" w:hAnsi="Calibri" w:cs="Calibri"/>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DD7BD1"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Minnesota employers of all sizes will be required to submit their first employee </w:t>
            </w:r>
            <w:r w:rsidRPr="00DD7BD1">
              <w:rPr>
                <w:rFonts w:ascii="Calibri" w:hAnsi="Calibri" w:cs="Calibri"/>
                <w:b/>
                <w:bCs/>
                <w:shd w:val="clear" w:color="auto" w:fill="FFFFFF"/>
              </w:rPr>
              <w:t>wage reports</w:t>
            </w:r>
            <w:r w:rsidRPr="00DD7BD1">
              <w:rPr>
                <w:rFonts w:ascii="Calibri" w:hAnsi="Calibri" w:cs="Calibri"/>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 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For more information, see </w:t>
            </w:r>
            <w:hyperlink r:id="rId887" w:tgtFrame="_blank" w:history="1">
              <w:r w:rsidRPr="00DD7BD1">
                <w:rPr>
                  <w:rStyle w:val="Hyperlink"/>
                  <w:rFonts w:ascii="Calibri" w:hAnsi="Calibri" w:cs="Calibri"/>
                  <w:shd w:val="clear" w:color="auto" w:fill="FFFFFF"/>
                </w:rPr>
                <w:t>Minnesota’s Paid Leave employer website</w:t>
              </w:r>
            </w:hyperlink>
            <w:r w:rsidRPr="00DD7BD1">
              <w:rPr>
                <w:rStyle w:val="Hyperlink"/>
                <w:rFonts w:ascii="Calibri" w:hAnsi="Calibri" w:cs="Calibri"/>
                <w:shd w:val="clear" w:color="auto" w:fill="FFFFFF"/>
              </w:rPr>
              <w:t xml:space="preserve"> </w:t>
            </w:r>
            <w:r w:rsidRPr="00DD7BD1">
              <w:rPr>
                <w:rFonts w:ascii="Calibri" w:hAnsi="Calibri" w:cs="Calibri"/>
                <w:shd w:val="clear" w:color="auto" w:fill="FFFFFF"/>
              </w:rPr>
              <w:t>or the September HR WIRE</w:t>
            </w:r>
          </w:p>
        </w:tc>
      </w:tr>
    </w:tbl>
    <w:p w14:paraId="79D7AC39" w14:textId="2E6508C3" w:rsidR="00837139" w:rsidRPr="00DD7BD1" w:rsidRDefault="00837139" w:rsidP="00CD70B8">
      <w:pPr>
        <w:spacing w:after="0" w:line="240" w:lineRule="auto"/>
        <w:jc w:val="center"/>
        <w:rPr>
          <w:rFonts w:ascii="Calibri" w:hAnsi="Calibri" w:cs="Calibri"/>
          <w:b/>
          <w:bCs/>
          <w:sz w:val="28"/>
          <w:szCs w:val="28"/>
          <w:shd w:val="clear" w:color="auto" w:fill="FFFFFF"/>
          <w:lang w:val="en"/>
        </w:rPr>
      </w:pPr>
      <w:bookmarkStart w:id="114" w:name="_Hlk183166661"/>
      <w:r w:rsidRPr="00DD7BD1">
        <w:rPr>
          <w:rFonts w:ascii="Calibri" w:hAnsi="Calibri" w:cs="Calibri"/>
          <w:b/>
          <w:bCs/>
          <w:sz w:val="28"/>
          <w:szCs w:val="28"/>
          <w:shd w:val="clear" w:color="auto" w:fill="FFFFFF"/>
          <w:lang w:val="en"/>
        </w:rPr>
        <w:t xml:space="preserve">State Makes Several Changes to Work Comp Laws – </w:t>
      </w:r>
      <w:r w:rsidRPr="00DD7BD1">
        <w:rPr>
          <w:rFonts w:ascii="Calibri" w:hAnsi="Calibri" w:cs="Calibri"/>
          <w:b/>
          <w:bCs/>
          <w:color w:val="C00000"/>
          <w:sz w:val="28"/>
          <w:szCs w:val="28"/>
          <w:shd w:val="clear" w:color="auto" w:fill="FFFFFF"/>
          <w:lang w:val="en"/>
        </w:rPr>
        <w:t>Aug &amp; Oct 2024</w:t>
      </w:r>
    </w:p>
    <w:bookmarkEnd w:id="114"/>
    <w:p w14:paraId="61F6F899"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Although changes are not likely to greatly impact employers, the below is provided for informational purposes to keep employers aware of the recent changes.</w:t>
      </w:r>
    </w:p>
    <w:p w14:paraId="5AABE304" w14:textId="77777777" w:rsidR="00837139" w:rsidRPr="00DD7BD1" w:rsidRDefault="00837139" w:rsidP="00837139">
      <w:pPr>
        <w:spacing w:after="0" w:line="240" w:lineRule="auto"/>
        <w:rPr>
          <w:rFonts w:ascii="Calibri" w:hAnsi="Calibri" w:cs="Calibri"/>
          <w:shd w:val="clear" w:color="auto" w:fill="FFFFFF"/>
        </w:rPr>
      </w:pPr>
    </w:p>
    <w:p w14:paraId="0F30FDB4"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governor of Minnesota recently signed legislation that changed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key workers’ compensation laws. The bill was enacted on May 8, 2024, with some changes going into effect Aug. 1, 2024, and others to go into effect on Oct. 1, 2024, with the aim of such being to offer improved financial support, fair compensation and more thorough processes for determining benefits.</w:t>
      </w:r>
    </w:p>
    <w:p w14:paraId="65818F6C" w14:textId="77777777" w:rsidR="00837139" w:rsidRPr="00DD7BD1" w:rsidRDefault="00837139" w:rsidP="00837139">
      <w:pPr>
        <w:spacing w:after="0" w:line="240" w:lineRule="auto"/>
        <w:rPr>
          <w:rFonts w:ascii="Calibri" w:hAnsi="Calibri" w:cs="Calibri"/>
          <w:shd w:val="clear" w:color="auto" w:fill="FFFFFF"/>
        </w:rPr>
      </w:pPr>
    </w:p>
    <w:p w14:paraId="36680271" w14:textId="77777777" w:rsidR="00837139" w:rsidRPr="00DD7BD1" w:rsidRDefault="00837139" w:rsidP="0083713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Changes</w:t>
      </w:r>
    </w:p>
    <w:p w14:paraId="4F328B95"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Procedural timeline extensions;</w:t>
      </w:r>
    </w:p>
    <w:p w14:paraId="6121A77F"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to the maximum compensation rate increase;</w:t>
      </w:r>
    </w:p>
    <w:p w14:paraId="6323A13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Medical record penalties:</w:t>
      </w:r>
    </w:p>
    <w:p w14:paraId="68EC4192"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Average weekly wage (AWW) revisions for agricultural workers;</w:t>
      </w:r>
    </w:p>
    <w:p w14:paraId="4A9C7DA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Attorney fees increase; and</w:t>
      </w:r>
    </w:p>
    <w:p w14:paraId="708CE33A"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in home remodeling benefits.</w:t>
      </w:r>
    </w:p>
    <w:p w14:paraId="0E4EA334" w14:textId="77777777" w:rsidR="00837139" w:rsidRPr="00DD7BD1" w:rsidRDefault="00837139" w:rsidP="000F6584">
      <w:pPr>
        <w:spacing w:after="0" w:line="240" w:lineRule="auto"/>
        <w:jc w:val="center"/>
        <w:rPr>
          <w:rFonts w:ascii="Calibri" w:hAnsi="Calibri" w:cs="Calibri"/>
          <w:b/>
          <w:bCs/>
          <w:shd w:val="clear" w:color="auto" w:fill="FFFFFF"/>
        </w:rPr>
      </w:pPr>
    </w:p>
    <w:p w14:paraId="54A94020" w14:textId="7A5AF3F9"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Employment Law Updates – Aug 2024</w:t>
      </w:r>
    </w:p>
    <w:p w14:paraId="7C0DE7B5"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The below take effect August 1, 2024, and apply to employers of all sizes:</w:t>
      </w:r>
    </w:p>
    <w:p w14:paraId="3C7F1406" w14:textId="77777777" w:rsidR="000F6584" w:rsidRPr="00DD7BD1" w:rsidRDefault="000F6584" w:rsidP="000F6584">
      <w:pPr>
        <w:spacing w:after="0" w:line="240" w:lineRule="auto"/>
        <w:rPr>
          <w:rFonts w:ascii="Calibri" w:hAnsi="Calibri" w:cs="Calibri"/>
          <w:b/>
          <w:bCs/>
          <w:sz w:val="16"/>
          <w:szCs w:val="16"/>
          <w:shd w:val="clear" w:color="auto" w:fill="FFFFFF"/>
        </w:rPr>
      </w:pPr>
    </w:p>
    <w:p w14:paraId="722FFB06"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ANTIDISCRIMINATION LAW EXPANDED</w:t>
      </w:r>
      <w:r w:rsidRPr="00DD7BD1">
        <w:rPr>
          <w:rFonts w:ascii="Calibri" w:hAnsi="Calibri" w:cs="Calibri"/>
          <w:shd w:val="clear" w:color="auto" w:fill="FFFFFF"/>
        </w:rPr>
        <w:br/>
      </w:r>
      <w:bookmarkStart w:id="115" w:name="_Hlk188535046"/>
      <w:r w:rsidRPr="00DD7BD1">
        <w:rPr>
          <w:rFonts w:ascii="Calibri" w:hAnsi="Calibri" w:cs="Calibri"/>
          <w:shd w:val="clear" w:color="auto" w:fill="FFFFFF"/>
        </w:rPr>
        <w:t xml:space="preserve">Minnesota’s antidiscrimination statute </w:t>
      </w:r>
      <w:bookmarkEnd w:id="115"/>
      <w:r w:rsidRPr="00DD7BD1">
        <w:rPr>
          <w:rFonts w:ascii="Calibri" w:hAnsi="Calibri" w:cs="Calibri"/>
          <w:shd w:val="clear" w:color="auto" w:fill="FFFFFF"/>
        </w:rPr>
        <w:t>has had minor updates to several definitions.</w:t>
      </w:r>
    </w:p>
    <w:p w14:paraId="35BE1502" w14:textId="77777777" w:rsidR="000F6584" w:rsidRPr="00DD7BD1" w:rsidRDefault="000F6584" w:rsidP="000F6584">
      <w:pPr>
        <w:spacing w:after="0" w:line="240" w:lineRule="auto"/>
        <w:rPr>
          <w:rFonts w:ascii="Calibri" w:hAnsi="Calibri" w:cs="Calibri"/>
          <w:shd w:val="clear" w:color="auto" w:fill="FFFFFF"/>
        </w:rPr>
      </w:pPr>
      <w:bookmarkStart w:id="116" w:name="_Hlk188535074"/>
      <w:r w:rsidRPr="00DD7BD1">
        <w:rPr>
          <w:rFonts w:ascii="Calibri" w:hAnsi="Calibri" w:cs="Calibri"/>
          <w:shd w:val="clear" w:color="auto" w:fill="FFFFFF"/>
        </w:rPr>
        <w:lastRenderedPageBreak/>
        <w:t>First, the definition of </w:t>
      </w:r>
      <w:r w:rsidRPr="00DD7BD1">
        <w:rPr>
          <w:rFonts w:ascii="Calibri" w:hAnsi="Calibri" w:cs="Calibri"/>
          <w:b/>
          <w:bCs/>
          <w:i/>
          <w:iCs/>
          <w:shd w:val="clear" w:color="auto" w:fill="FFFFFF"/>
        </w:rPr>
        <w:t>disability</w:t>
      </w:r>
      <w:r w:rsidRPr="00DD7BD1">
        <w:rPr>
          <w:rFonts w:ascii="Calibri" w:hAnsi="Calibri" w:cs="Calibri"/>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Second, the definition of </w:t>
      </w:r>
      <w:r w:rsidRPr="00DD7BD1">
        <w:rPr>
          <w:rFonts w:ascii="Calibri" w:hAnsi="Calibri" w:cs="Calibri"/>
          <w:b/>
          <w:bCs/>
          <w:i/>
          <w:iCs/>
          <w:shd w:val="clear" w:color="auto" w:fill="FFFFFF"/>
        </w:rPr>
        <w:t>discriminate</w:t>
      </w:r>
      <w:r w:rsidRPr="00DD7BD1">
        <w:rPr>
          <w:rFonts w:ascii="Calibri" w:hAnsi="Calibri" w:cs="Calibri"/>
          <w:shd w:val="clear" w:color="auto" w:fill="FFFFFF"/>
        </w:rPr>
        <w:t> has been broadened to include any form of harassment, not just sexual harassment.</w:t>
      </w:r>
    </w:p>
    <w:p w14:paraId="14A05F1C"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Finally, the definition of </w:t>
      </w:r>
      <w:r w:rsidRPr="00DD7BD1">
        <w:rPr>
          <w:rFonts w:ascii="Calibri" w:hAnsi="Calibri" w:cs="Calibri"/>
          <w:b/>
          <w:bCs/>
          <w:i/>
          <w:iCs/>
          <w:shd w:val="clear" w:color="auto" w:fill="FFFFFF"/>
        </w:rPr>
        <w:t>familial status</w:t>
      </w:r>
      <w:r w:rsidRPr="00DD7BD1">
        <w:rPr>
          <w:rFonts w:ascii="Calibri" w:hAnsi="Calibri" w:cs="Calibri"/>
          <w:shd w:val="clear" w:color="auto" w:fill="FFFFFF"/>
        </w:rPr>
        <w:t> has been broadened to include, among other things, having custody of a minor child (even when they don’t live with you) and caregiving for an incapacitated person whom the employee lives with.</w:t>
      </w:r>
    </w:p>
    <w:bookmarkEnd w:id="116"/>
    <w:p w14:paraId="676D7948"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 If your Equal Employment Opportunity (EEO) policy includes these definitions (which is unlikely), update it by August 1.</w:t>
      </w:r>
    </w:p>
    <w:p w14:paraId="6DD29D44" w14:textId="77777777" w:rsidR="000F6584" w:rsidRPr="00DD7BD1" w:rsidRDefault="000F6584" w:rsidP="000F6584">
      <w:pPr>
        <w:spacing w:after="0" w:line="240" w:lineRule="auto"/>
        <w:rPr>
          <w:rFonts w:ascii="Calibri" w:hAnsi="Calibri" w:cs="Calibri"/>
          <w:b/>
          <w:bCs/>
          <w:shd w:val="clear" w:color="auto" w:fill="FFFFFF"/>
          <w:lang w:val="en"/>
        </w:rPr>
      </w:pPr>
    </w:p>
    <w:p w14:paraId="43E818F0" w14:textId="77777777" w:rsidR="000F6584" w:rsidRPr="00DD7BD1" w:rsidRDefault="000F6584" w:rsidP="000F6584">
      <w:pPr>
        <w:spacing w:after="0" w:line="240" w:lineRule="auto"/>
        <w:rPr>
          <w:rFonts w:ascii="Calibri" w:hAnsi="Calibri" w:cs="Calibri"/>
          <w:shd w:val="clear" w:color="auto" w:fill="FFFFFF"/>
          <w:lang w:val="en"/>
        </w:rPr>
      </w:pPr>
      <w:r w:rsidRPr="00DD7BD1">
        <w:rPr>
          <w:rFonts w:ascii="Calibri" w:hAnsi="Calibri" w:cs="Calibri"/>
          <w:b/>
          <w:bCs/>
          <w:highlight w:val="lightGray"/>
          <w:shd w:val="clear" w:color="auto" w:fill="FFFFFF"/>
        </w:rPr>
        <w:t>EARNINGS STATEMENTS MUST BE RETAINED</w:t>
      </w:r>
      <w:r w:rsidRPr="00DD7BD1">
        <w:rPr>
          <w:rFonts w:ascii="Calibri" w:hAnsi="Calibri" w:cs="Calibri"/>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Pr="00DD7BD1" w:rsidRDefault="000F6584" w:rsidP="000F6584">
      <w:pPr>
        <w:spacing w:after="0" w:line="240" w:lineRule="auto"/>
        <w:rPr>
          <w:rFonts w:ascii="Calibri" w:hAnsi="Calibri" w:cs="Calibri"/>
          <w:b/>
          <w:bCs/>
          <w:color w:val="2E74B5" w:themeColor="accent5" w:themeShade="BF"/>
          <w:shd w:val="clear" w:color="auto" w:fill="FFFFFF"/>
          <w:lang w:val="en"/>
        </w:rPr>
      </w:pPr>
    </w:p>
    <w:p w14:paraId="4CFF2C02"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spacing w:val="3"/>
          <w:sz w:val="22"/>
          <w:szCs w:val="22"/>
          <w:highlight w:val="lightGray"/>
          <w:shd w:val="clear" w:color="auto" w:fill="FFFFFF"/>
        </w:rPr>
        <w:t>PREGNANCY AND PARENTING LEAVE CHANGES</w:t>
      </w:r>
      <w:r w:rsidRPr="00DD7BD1">
        <w:rPr>
          <w:rFonts w:ascii="Calibri" w:eastAsiaTheme="majorEastAsia" w:hAnsi="Calibri" w:cs="Calibr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hAnsi="Calibri" w:cs="Calibri"/>
          <w:b w:val="0"/>
          <w:bCs w:val="0"/>
          <w:shd w:val="clear" w:color="auto" w:fill="FFFFFF"/>
        </w:rPr>
        <w:t xml:space="preserve"> </w:t>
      </w:r>
      <w:r w:rsidRPr="00DD7BD1">
        <w:rPr>
          <w:rFonts w:ascii="Calibri" w:hAnsi="Calibri" w:cs="Calibri"/>
          <w:shd w:val="clear" w:color="auto" w:fill="FFFFFF"/>
        </w:rPr>
        <w:t xml:space="preserve"> </w:t>
      </w:r>
      <w:r w:rsidRPr="00DD7BD1">
        <w:rPr>
          <w:rFonts w:ascii="Calibri" w:eastAsiaTheme="majorEastAsia" w:hAnsi="Calibri" w:cs="Calibr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Pr="00DD7BD1" w:rsidRDefault="000F6584" w:rsidP="000F6584">
      <w:pPr>
        <w:pStyle w:val="Heading1"/>
        <w:spacing w:before="0" w:beforeAutospacing="0" w:after="0" w:afterAutospacing="0"/>
        <w:rPr>
          <w:rFonts w:ascii="Calibri" w:eastAsiaTheme="majorEastAsia" w:hAnsi="Calibri" w:cs="Calibri"/>
          <w:color w:val="C00000"/>
          <w:spacing w:val="3"/>
          <w:kern w:val="0"/>
          <w:sz w:val="16"/>
          <w:szCs w:val="16"/>
          <w:shd w:val="clear" w:color="auto" w:fill="FFFFFF"/>
        </w:rPr>
      </w:pPr>
    </w:p>
    <w:p w14:paraId="29FF0F6E"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TIPS RECEIVED BY ELECTRONIC MEANS</w:t>
      </w:r>
      <w:r w:rsidRPr="00DD7BD1">
        <w:rPr>
          <w:rFonts w:ascii="Calibri" w:eastAsiaTheme="majorEastAsia" w:hAnsi="Calibri" w:cs="Calibr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DD7BD1">
        <w:rPr>
          <w:rFonts w:ascii="Calibri" w:eastAsiaTheme="majorEastAsia" w:hAnsi="Calibri" w:cs="Calibri"/>
          <w:b w:val="0"/>
          <w:bCs w:val="0"/>
          <w:i/>
          <w:iCs/>
          <w:spacing w:val="3"/>
          <w:kern w:val="0"/>
          <w:sz w:val="22"/>
          <w:szCs w:val="22"/>
          <w:shd w:val="clear" w:color="auto" w:fill="FFFFFF"/>
        </w:rPr>
        <w:t>full amount of the tip</w:t>
      </w:r>
      <w:r w:rsidRPr="00DD7BD1">
        <w:rPr>
          <w:rFonts w:ascii="Calibri" w:eastAsiaTheme="majorEastAsia" w:hAnsi="Calibri" w:cs="Calibr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i/>
          <w:iCs/>
          <w:spacing w:val="3"/>
          <w:kern w:val="0"/>
          <w:sz w:val="22"/>
          <w:szCs w:val="22"/>
          <w:highlight w:val="lightGray"/>
          <w:shd w:val="clear" w:color="auto" w:fill="FFFFFF"/>
        </w:rPr>
        <w:t>Employer Takeaway:</w:t>
      </w:r>
      <w:r w:rsidRPr="00DD7BD1">
        <w:rPr>
          <w:rFonts w:ascii="Calibri" w:eastAsiaTheme="majorEastAsia" w:hAnsi="Calibri" w:cs="Calibri"/>
          <w:i/>
          <w:iCs/>
          <w:spacing w:val="3"/>
          <w:kern w:val="0"/>
          <w:sz w:val="22"/>
          <w:szCs w:val="22"/>
          <w:shd w:val="clear" w:color="auto" w:fill="FFFFFF"/>
        </w:rPr>
        <w:t xml:space="preserve"> </w:t>
      </w:r>
      <w:r w:rsidRPr="00DD7BD1">
        <w:rPr>
          <w:rFonts w:ascii="Calibri" w:eastAsiaTheme="majorEastAsia" w:hAnsi="Calibri" w:cs="Calibr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16"/>
          <w:szCs w:val="16"/>
          <w:shd w:val="clear" w:color="auto" w:fill="FFFFFF"/>
        </w:rPr>
      </w:pPr>
    </w:p>
    <w:p w14:paraId="233514C5"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ORAL FLUID DRUG TESTING</w:t>
      </w:r>
      <w:r w:rsidRPr="00DD7BD1">
        <w:rPr>
          <w:rFonts w:ascii="Calibri" w:eastAsiaTheme="majorEastAsia" w:hAnsi="Calibri" w:cs="Calibr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DD7BD1" w:rsidRDefault="000F6584" w:rsidP="000F6584">
      <w:pPr>
        <w:spacing w:after="0" w:line="240" w:lineRule="auto"/>
        <w:rPr>
          <w:rFonts w:ascii="Calibri" w:hAnsi="Calibri" w:cs="Calibri"/>
          <w:b/>
          <w:bCs/>
          <w:shd w:val="clear" w:color="auto" w:fill="FFFFFF"/>
          <w:lang w:val="en"/>
        </w:rPr>
      </w:pPr>
    </w:p>
    <w:p w14:paraId="6A995AE0" w14:textId="1C38F3B2" w:rsidR="008C6649" w:rsidRPr="00DD7BD1" w:rsidRDefault="008C6649" w:rsidP="008C664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Minimum Wage Update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DD7BD1"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Minneapolis</w:t>
            </w:r>
            <w:r w:rsidRPr="00DD7BD1">
              <w:rPr>
                <w:rFonts w:ascii="Calibri" w:eastAsia="Times New Roman" w:hAnsi="Calibri" w:cs="Calibri"/>
                <w:color w:val="282828"/>
              </w:rPr>
              <w:br/>
              <w:t>The minimum wage will be $15.57 for employers of </w:t>
            </w:r>
            <w:r w:rsidRPr="00DD7BD1">
              <w:rPr>
                <w:rFonts w:ascii="Calibri" w:eastAsia="Times New Roman" w:hAnsi="Calibri" w:cs="Calibri"/>
                <w:i/>
                <w:iCs/>
                <w:color w:val="282828"/>
              </w:rPr>
              <w:t>all </w:t>
            </w:r>
            <w:r w:rsidRPr="00DD7BD1">
              <w:rPr>
                <w:rFonts w:ascii="Calibri" w:eastAsia="Times New Roman" w:hAnsi="Calibri" w:cs="Calibri"/>
                <w:color w:val="282828"/>
              </w:rPr>
              <w:t>sizes.</w:t>
            </w:r>
          </w:p>
          <w:p w14:paraId="709C0268"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St. Paul</w:t>
            </w:r>
            <w:r w:rsidRPr="00DD7BD1">
              <w:rPr>
                <w:rFonts w:ascii="Calibri" w:eastAsia="Times New Roman" w:hAnsi="Calibri" w:cs="Calibri"/>
                <w:color w:val="282828"/>
              </w:rPr>
              <w:br/>
              <w:t>Employers with 1–5 employees: $12.25</w:t>
            </w:r>
          </w:p>
          <w:p w14:paraId="2C153D41"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color w:val="282828"/>
              </w:rPr>
              <w:t>Employers with 6–100 employees: $14</w:t>
            </w:r>
          </w:p>
          <w:p w14:paraId="45DBA8A0" w14:textId="77777777" w:rsidR="008C6649" w:rsidRPr="00DD7BD1" w:rsidRDefault="008C6649" w:rsidP="005A061B">
            <w:pPr>
              <w:spacing w:after="0" w:line="240" w:lineRule="auto"/>
              <w:rPr>
                <w:rFonts w:ascii="Calibri" w:eastAsia="Times New Roman" w:hAnsi="Calibri" w:cs="Calibri"/>
                <w:color w:val="282828"/>
                <w:sz w:val="24"/>
                <w:szCs w:val="24"/>
              </w:rPr>
            </w:pPr>
            <w:r w:rsidRPr="00DD7BD1">
              <w:rPr>
                <w:rFonts w:ascii="Calibri" w:eastAsia="Times New Roman" w:hAnsi="Calibri" w:cs="Calibri"/>
                <w:color w:val="282828"/>
              </w:rPr>
              <w:t>Employers with 101 or more employees: $15.57</w:t>
            </w:r>
          </w:p>
        </w:tc>
      </w:tr>
    </w:tbl>
    <w:p w14:paraId="59CEB8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2562D52A"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FB47F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D487BF7"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3034C272" w14:textId="77777777" w:rsidR="008C6649" w:rsidRPr="00DD7BD1" w:rsidRDefault="008C6649" w:rsidP="008C6649">
      <w:pPr>
        <w:spacing w:after="0" w:line="240" w:lineRule="auto"/>
        <w:rPr>
          <w:rFonts w:ascii="Calibri" w:eastAsia="Times New Roman" w:hAnsi="Calibri" w:cs="Calibri"/>
          <w:b/>
          <w:bCs/>
          <w:color w:val="231F20"/>
          <w:kern w:val="36"/>
          <w:sz w:val="28"/>
          <w:szCs w:val="28"/>
        </w:rPr>
      </w:pPr>
    </w:p>
    <w:p w14:paraId="752A739D"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28"/>
          <w:szCs w:val="28"/>
          <w:shd w:val="clear" w:color="auto" w:fill="FFFFFF"/>
        </w:rPr>
      </w:pPr>
    </w:p>
    <w:p w14:paraId="03478704"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16"/>
          <w:szCs w:val="16"/>
          <w:shd w:val="clear" w:color="auto" w:fill="FFFFFF"/>
        </w:rPr>
      </w:pPr>
    </w:p>
    <w:p w14:paraId="2B9880D9" w14:textId="78A23E93" w:rsidR="004B7569" w:rsidRPr="00DD7BD1" w:rsidRDefault="004B7569" w:rsidP="004142EF">
      <w:pPr>
        <w:pStyle w:val="Heading1"/>
        <w:spacing w:before="0" w:beforeAutospacing="0" w:after="0" w:afterAutospacing="0"/>
        <w:jc w:val="center"/>
        <w:rPr>
          <w:rFonts w:ascii="Calibri" w:eastAsiaTheme="majorEastAsia" w:hAnsi="Calibri" w:cs="Calibri"/>
          <w:spacing w:val="3"/>
          <w:kern w:val="0"/>
          <w:sz w:val="28"/>
          <w:szCs w:val="28"/>
          <w:shd w:val="clear" w:color="auto" w:fill="FFFFFF"/>
        </w:rPr>
      </w:pPr>
      <w:r w:rsidRPr="00DD7BD1">
        <w:rPr>
          <w:rFonts w:ascii="Calibri" w:eastAsiaTheme="majorEastAsia" w:hAnsi="Calibri" w:cs="Calibri"/>
          <w:spacing w:val="3"/>
          <w:kern w:val="0"/>
          <w:sz w:val="28"/>
          <w:szCs w:val="28"/>
          <w:shd w:val="clear" w:color="auto" w:fill="FFFFFF"/>
        </w:rPr>
        <w:t>Minnesota Amends Sick Leave, Paid Family and Medical Leave</w:t>
      </w:r>
    </w:p>
    <w:p w14:paraId="1493E15F" w14:textId="77777777" w:rsidR="004B7569" w:rsidRPr="00DD7BD1" w:rsidRDefault="004B7569" w:rsidP="004B7569">
      <w:pPr>
        <w:spacing w:after="0" w:line="240" w:lineRule="auto"/>
        <w:rPr>
          <w:rFonts w:ascii="Calibri" w:hAnsi="Calibri" w:cs="Calibri"/>
        </w:rPr>
      </w:pPr>
      <w:r w:rsidRPr="00DD7BD1">
        <w:rPr>
          <w:rFonts w:ascii="Calibri" w:hAnsi="Calibri" w:cs="Calibri"/>
        </w:rPr>
        <w:lastRenderedPageBreak/>
        <w:t>Minnesota has enacted the</w:t>
      </w:r>
      <w:r w:rsidRPr="00DD7BD1">
        <w:rPr>
          <w:rFonts w:ascii="Calibri" w:hAnsi="Calibri" w:cs="Calibri"/>
          <w:b/>
          <w:bCs/>
        </w:rPr>
        <w:t xml:space="preserve"> </w:t>
      </w:r>
      <w:hyperlink r:id="rId888" w:history="1">
        <w:r w:rsidRPr="00DD7BD1">
          <w:rPr>
            <w:rStyle w:val="Hyperlink"/>
            <w:rFonts w:ascii="Calibri" w:eastAsia="Times New Roman" w:hAnsi="Calibri" w:cs="Calibri"/>
            <w:color w:val="3052DA"/>
          </w:rPr>
          <w:t>2024 Transportation, Housing and Labor Omnibus Budget Bill</w:t>
        </w:r>
      </w:hyperlink>
      <w:r w:rsidRPr="00DD7BD1">
        <w:rPr>
          <w:rStyle w:val="Hyperlink"/>
          <w:rFonts w:ascii="Calibri" w:eastAsia="Times New Roman" w:hAnsi="Calibri" w:cs="Calibri"/>
          <w:color w:val="3052DA"/>
        </w:rPr>
        <w:t>,</w:t>
      </w:r>
      <w:r w:rsidRPr="00DD7BD1">
        <w:rPr>
          <w:rFonts w:ascii="Calibri" w:hAnsi="Calibri" w:cs="Calibri"/>
        </w:rPr>
        <w:t xml:space="preserve"> which makes numerous changes to the state’s earned sick and safe time (ESST) and paid leave laws. </w:t>
      </w:r>
    </w:p>
    <w:p w14:paraId="0839B981" w14:textId="77777777" w:rsidR="004B7569" w:rsidRPr="00DD7BD1" w:rsidRDefault="004B7569" w:rsidP="004B7569">
      <w:pPr>
        <w:spacing w:after="0" w:line="240" w:lineRule="auto"/>
        <w:rPr>
          <w:rFonts w:ascii="Calibri" w:hAnsi="Calibri" w:cs="Calibri"/>
        </w:rPr>
      </w:pPr>
    </w:p>
    <w:p w14:paraId="298E41FC" w14:textId="77777777" w:rsidR="004B7569" w:rsidRPr="00DD7BD1" w:rsidRDefault="004B7569" w:rsidP="004B7569">
      <w:pPr>
        <w:spacing w:after="0" w:line="240" w:lineRule="auto"/>
        <w:rPr>
          <w:rFonts w:ascii="Calibri" w:hAnsi="Calibri" w:cs="Calibri"/>
        </w:rPr>
      </w:pPr>
      <w:r w:rsidRPr="00DD7BD1">
        <w:rPr>
          <w:rFonts w:ascii="Calibri" w:hAnsi="Calibri" w:cs="Calibri"/>
        </w:rPr>
        <w:t>Amended Sick &amp; Safe Leave Law:</w:t>
      </w:r>
    </w:p>
    <w:p w14:paraId="51863C42" w14:textId="77777777" w:rsidR="004B7569" w:rsidRPr="00DD7BD1" w:rsidRDefault="004B7569" w:rsidP="004B7569">
      <w:pPr>
        <w:spacing w:after="0" w:line="240" w:lineRule="auto"/>
        <w:rPr>
          <w:rFonts w:ascii="Calibri" w:hAnsi="Calibri" w:cs="Calibri"/>
        </w:rPr>
      </w:pPr>
      <w:r w:rsidRPr="00DD7BD1">
        <w:rPr>
          <w:rFonts w:ascii="Calibri" w:hAnsi="Calibri" w:cs="Calibri"/>
          <w:shd w:val="clear" w:color="auto" w:fill="FFFFFF"/>
        </w:rPr>
        <w:t xml:space="preserve">The most significant changes relate to reporting and usage requirements, and </w:t>
      </w:r>
      <w:proofErr w:type="gramStart"/>
      <w:r w:rsidRPr="00DD7BD1">
        <w:rPr>
          <w:rFonts w:ascii="Calibri" w:hAnsi="Calibri" w:cs="Calibri"/>
          <w:shd w:val="clear" w:color="auto" w:fill="FFFFFF"/>
        </w:rPr>
        <w:t>a majority of</w:t>
      </w:r>
      <w:proofErr w:type="gramEnd"/>
      <w:r w:rsidRPr="00DD7BD1">
        <w:rPr>
          <w:rFonts w:ascii="Calibri" w:hAnsi="Calibri" w:cs="Calibri"/>
          <w:shd w:val="clear" w:color="auto" w:fill="FFFFFF"/>
        </w:rPr>
        <w:t xml:space="preserve"> the clarifications and updates to the ESST law are </w:t>
      </w:r>
      <w:r w:rsidRPr="00DD7BD1">
        <w:rPr>
          <w:rFonts w:ascii="Calibri" w:hAnsi="Calibri" w:cs="Calibri"/>
          <w:u w:val="single"/>
          <w:shd w:val="clear" w:color="auto" w:fill="FFFFFF"/>
        </w:rPr>
        <w:t>effective immediately</w:t>
      </w:r>
      <w:r w:rsidRPr="00DD7BD1">
        <w:rPr>
          <w:rFonts w:ascii="Calibri" w:hAnsi="Calibri" w:cs="Calibri"/>
          <w:shd w:val="clear" w:color="auto" w:fill="FFFFFF"/>
        </w:rPr>
        <w:t>.</w:t>
      </w:r>
      <w:r w:rsidRPr="00DD7BD1">
        <w:rPr>
          <w:rFonts w:ascii="Calibri" w:hAnsi="Calibri" w:cs="Calibri"/>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Employers are no longer required to include information about accrued and used ESST on each earnings statement issued to an employee. Instead, employers have the option of making the information available to employees through an electronic system, </w:t>
      </w:r>
      <w:proofErr w:type="gramStart"/>
      <w:r w:rsidRPr="00DD7BD1">
        <w:rPr>
          <w:rFonts w:ascii="Calibri" w:hAnsi="Calibri" w:cs="Calibri"/>
          <w:sz w:val="22"/>
          <w:szCs w:val="22"/>
        </w:rPr>
        <w:t>as long as</w:t>
      </w:r>
      <w:proofErr w:type="gramEnd"/>
      <w:r w:rsidRPr="00DD7BD1">
        <w:rPr>
          <w:rFonts w:ascii="Calibri" w:hAnsi="Calibri" w:cs="Calibri"/>
          <w:sz w:val="22"/>
          <w:szCs w:val="22"/>
        </w:rPr>
        <w:t xml:space="preserve"> the employer provides access to a computer that employees can use to check their ESST balance during regular working hours.</w:t>
      </w:r>
    </w:p>
    <w:p w14:paraId="61768C9A"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Jan. 1, 2025</w:t>
      </w:r>
      <w:r w:rsidRPr="00DD7BD1">
        <w:rPr>
          <w:rFonts w:ascii="Calibri" w:hAnsi="Calibri" w:cs="Calibri"/>
          <w:sz w:val="22"/>
          <w:szCs w:val="22"/>
        </w:rPr>
        <w:t xml:space="preserve">,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w:t>
      </w:r>
      <w:proofErr w:type="gramStart"/>
      <w:r w:rsidRPr="00DD7BD1">
        <w:rPr>
          <w:rFonts w:ascii="Calibri" w:hAnsi="Calibri" w:cs="Calibri"/>
          <w:sz w:val="22"/>
          <w:szCs w:val="22"/>
        </w:rPr>
        <w:t>as long as</w:t>
      </w:r>
      <w:proofErr w:type="gramEnd"/>
      <w:r w:rsidRPr="00DD7BD1">
        <w:rPr>
          <w:rFonts w:ascii="Calibri" w:hAnsi="Calibri" w:cs="Calibri"/>
          <w:sz w:val="22"/>
          <w:szCs w:val="22"/>
        </w:rPr>
        <w:t xml:space="preserve"> the time qualifies as ESST under the statute.</w:t>
      </w:r>
    </w:p>
    <w:p w14:paraId="1BFCD6C0"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An employee is immediately covered and may begin using ESST if it is anticipated that the employee will work at least 80 </w:t>
      </w:r>
      <w:proofErr w:type="gramStart"/>
      <w:r w:rsidRPr="00DD7BD1">
        <w:rPr>
          <w:rFonts w:ascii="Calibri" w:hAnsi="Calibri" w:cs="Calibri"/>
          <w:sz w:val="22"/>
          <w:szCs w:val="22"/>
        </w:rPr>
        <w:t>hours in</w:t>
      </w:r>
      <w:proofErr w:type="gramEnd"/>
      <w:r w:rsidRPr="00DD7BD1">
        <w:rPr>
          <w:rFonts w:ascii="Calibri" w:hAnsi="Calibri" w:cs="Calibri"/>
          <w:sz w:val="22"/>
          <w:szCs w:val="22"/>
        </w:rPr>
        <w:t xml:space="preserve"> a year for an employer in Minnesota. The previous statutory language had suggested that an employee was not eligible for ESST until they had </w:t>
      </w:r>
      <w:proofErr w:type="gramStart"/>
      <w:r w:rsidRPr="00DD7BD1">
        <w:rPr>
          <w:rFonts w:ascii="Calibri" w:hAnsi="Calibri" w:cs="Calibri"/>
          <w:sz w:val="22"/>
          <w:szCs w:val="22"/>
        </w:rPr>
        <w:t>actually worked</w:t>
      </w:r>
      <w:proofErr w:type="gramEnd"/>
      <w:r w:rsidRPr="00DD7BD1">
        <w:rPr>
          <w:rFonts w:ascii="Calibri" w:hAnsi="Calibri" w:cs="Calibri"/>
          <w:sz w:val="22"/>
          <w:szCs w:val="22"/>
        </w:rPr>
        <w:t xml:space="preserve"> 80 hours in the state.</w:t>
      </w:r>
    </w:p>
    <w:p w14:paraId="4DC73F51"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also include new information on how to calculate pay for ESST and use of ESST as bereavement leave.</w:t>
      </w:r>
    </w:p>
    <w:p w14:paraId="6FD4EFC6"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16"/>
          <w:szCs w:val="16"/>
        </w:rPr>
      </w:pPr>
    </w:p>
    <w:p w14:paraId="56FF679A" w14:textId="77777777" w:rsidR="004B7569" w:rsidRPr="00DD7BD1" w:rsidRDefault="004B7569" w:rsidP="004B7569">
      <w:pPr>
        <w:spacing w:after="0" w:line="240" w:lineRule="auto"/>
        <w:rPr>
          <w:rFonts w:ascii="Calibri" w:hAnsi="Calibri" w:cs="Calibri"/>
          <w:color w:val="333333"/>
          <w:shd w:val="clear" w:color="auto" w:fill="FFFFFF"/>
        </w:rPr>
      </w:pPr>
      <w:r w:rsidRPr="00DD7BD1">
        <w:rPr>
          <w:rFonts w:ascii="Calibri" w:hAnsi="Calibri" w:cs="Calibri"/>
          <w:shd w:val="clear" w:color="auto" w:fill="FFFFFF"/>
        </w:rPr>
        <w:t xml:space="preserve">Under Minnesota’s Paid Leave Law (PLL) that was passed in 2023, eligible employees may take up to 20 weeks per year of paid leave during certain family and medical leave events starting in </w:t>
      </w:r>
      <w:r w:rsidRPr="00DD7BD1">
        <w:rPr>
          <w:rFonts w:ascii="Calibri" w:hAnsi="Calibri" w:cs="Calibri"/>
          <w:color w:val="C00000"/>
          <w:shd w:val="clear" w:color="auto" w:fill="FFFFFF"/>
        </w:rPr>
        <w:t>January 2026</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 xml:space="preserve">The PLL created a state-run family and medical leave insurance account modeled after the unemployment insurance fund. By </w:t>
      </w:r>
      <w:r w:rsidRPr="00DD7BD1">
        <w:rPr>
          <w:rFonts w:ascii="Calibri" w:hAnsi="Calibri" w:cs="Calibri"/>
          <w:color w:val="C00000"/>
          <w:shd w:val="clear" w:color="auto" w:fill="FFFFFF"/>
        </w:rPr>
        <w:t xml:space="preserve">October 31, 2024, </w:t>
      </w:r>
      <w:r w:rsidRPr="00DD7BD1">
        <w:rPr>
          <w:rFonts w:ascii="Calibri" w:hAnsi="Calibri" w:cs="Calibri"/>
          <w:shd w:val="clear" w:color="auto" w:fill="FFFFFF"/>
        </w:rPr>
        <w:t>employers must submit their first quarterly wage detail report. This first report will be based on wages paid between July 1, 2024, and September 30, 2024. Reports will be submitted through DEED’s employer portal. </w:t>
      </w:r>
      <w:bookmarkStart w:id="117" w:name="_Hlk170733029"/>
      <w:r w:rsidRPr="00DD7BD1">
        <w:rPr>
          <w:rStyle w:val="Hyperlink"/>
          <w:rFonts w:ascii="Calibri" w:eastAsiaTheme="majorEastAsia" w:hAnsi="Calibri" w:cs="Calibri"/>
        </w:rPr>
        <w:fldChar w:fldCharType="begin"/>
      </w:r>
      <w:r w:rsidRPr="00DD7BD1">
        <w:rPr>
          <w:rStyle w:val="Hyperlink"/>
          <w:rFonts w:ascii="Calibri" w:eastAsiaTheme="majorEastAsia" w:hAnsi="Calibri" w:cs="Calibri"/>
        </w:rPr>
        <w:instrText>HYPERLINK "https://www.uimn.org/employers/employer-account/news-updates/submit-adjust-wage-detail-news.jsp" \t "_blank"</w:instrText>
      </w:r>
      <w:r w:rsidRPr="00DD7BD1">
        <w:rPr>
          <w:rStyle w:val="Hyperlink"/>
          <w:rFonts w:ascii="Calibri" w:eastAsiaTheme="majorEastAsia" w:hAnsi="Calibri" w:cs="Calibri"/>
        </w:rPr>
      </w:r>
      <w:r w:rsidRPr="00DD7BD1">
        <w:rPr>
          <w:rStyle w:val="Hyperlink"/>
          <w:rFonts w:ascii="Calibri" w:eastAsiaTheme="majorEastAsia" w:hAnsi="Calibri" w:cs="Calibri"/>
        </w:rPr>
        <w:fldChar w:fldCharType="separate"/>
      </w:r>
      <w:r w:rsidRPr="00DD7BD1">
        <w:rPr>
          <w:rStyle w:val="Hyperlink"/>
          <w:rFonts w:ascii="Calibri" w:eastAsiaTheme="majorEastAsia" w:hAnsi="Calibri" w:cs="Calibri"/>
        </w:rPr>
        <w:t>DEED’s website</w:t>
      </w:r>
      <w:r w:rsidRPr="00DD7BD1">
        <w:rPr>
          <w:rStyle w:val="Hyperlink"/>
          <w:rFonts w:ascii="Calibri" w:eastAsiaTheme="majorEastAsia" w:hAnsi="Calibri" w:cs="Calibri"/>
        </w:rPr>
        <w:fldChar w:fldCharType="end"/>
      </w:r>
      <w:bookmarkEnd w:id="117"/>
      <w:r w:rsidRPr="00DD7BD1">
        <w:rPr>
          <w:rFonts w:ascii="Calibri" w:hAnsi="Calibri" w:cs="Calibri"/>
          <w:color w:val="333333"/>
          <w:shd w:val="clear" w:color="auto" w:fill="FFFFFF"/>
        </w:rPr>
        <w:t> </w:t>
      </w:r>
      <w:r w:rsidRPr="00DD7BD1">
        <w:rPr>
          <w:rFonts w:ascii="Calibri" w:hAnsi="Calibri" w:cs="Calibri"/>
          <w:shd w:val="clear" w:color="auto" w:fill="FFFFFF"/>
        </w:rPr>
        <w:t>explains in detail what must be included on a wage detail report and how to submit it.</w:t>
      </w:r>
    </w:p>
    <w:p w14:paraId="78032467" w14:textId="77777777" w:rsidR="004B7569" w:rsidRPr="00DD7BD1" w:rsidRDefault="004B7569" w:rsidP="008C6649">
      <w:pPr>
        <w:spacing w:after="0" w:line="240" w:lineRule="auto"/>
        <w:jc w:val="center"/>
        <w:rPr>
          <w:rFonts w:ascii="Calibri" w:eastAsia="Times New Roman" w:hAnsi="Calibri" w:cs="Calibri"/>
          <w:b/>
          <w:bCs/>
          <w:color w:val="231F20"/>
          <w:kern w:val="36"/>
          <w:sz w:val="20"/>
          <w:szCs w:val="20"/>
        </w:rPr>
      </w:pPr>
    </w:p>
    <w:p w14:paraId="77AF429B" w14:textId="06514CFC" w:rsidR="00F85B67" w:rsidRPr="00DD7BD1" w:rsidRDefault="00F85B67" w:rsidP="008C6649">
      <w:pPr>
        <w:spacing w:after="0" w:line="240" w:lineRule="auto"/>
        <w:jc w:val="center"/>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Minnesota Employers Must Provide Paid Sick Leave in 2024</w:t>
      </w:r>
    </w:p>
    <w:p w14:paraId="13FF2E77" w14:textId="77777777" w:rsidR="00F85B67" w:rsidRPr="00DD7BD1" w:rsidRDefault="00F85B67" w:rsidP="00F85B67">
      <w:pPr>
        <w:autoSpaceDE w:val="0"/>
        <w:autoSpaceDN w:val="0"/>
        <w:adjustRightInd w:val="0"/>
        <w:spacing w:after="0" w:line="240" w:lineRule="auto"/>
        <w:jc w:val="both"/>
        <w:rPr>
          <w:rStyle w:val="Hyperlink"/>
          <w:rFonts w:ascii="Calibri" w:hAnsi="Calibri" w:cs="Calibri"/>
        </w:rPr>
      </w:pPr>
      <w:r w:rsidRPr="00DD7BD1">
        <w:rPr>
          <w:rFonts w:ascii="Calibri" w:eastAsia="Times New Roman" w:hAnsi="Calibri" w:cs="Calibri"/>
        </w:rPr>
        <w:t xml:space="preserve">Effective Jan. 1, 2024, nearly all Minnesota employers are required to provide their workers with </w:t>
      </w:r>
      <w:r w:rsidRPr="00DD7BD1">
        <w:rPr>
          <w:rStyle w:val="Hyperlink"/>
          <w:rFonts w:ascii="Calibri" w:hAnsi="Calibri" w:cs="Calibri"/>
        </w:rPr>
        <w:t>paid earned sick and</w:t>
      </w:r>
    </w:p>
    <w:p w14:paraId="3FA63C90" w14:textId="7B6937B3"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Style w:val="Hyperlink"/>
          <w:rFonts w:ascii="Calibri" w:hAnsi="Calibri" w:cs="Calibri"/>
        </w:rPr>
        <w:t xml:space="preserve">safe </w:t>
      </w:r>
      <w:hyperlink r:id="rId889" w:history="1">
        <w:r w:rsidRPr="00DD7BD1">
          <w:rPr>
            <w:rStyle w:val="Hyperlink"/>
            <w:rFonts w:ascii="Calibri" w:hAnsi="Calibri" w:cs="Calibri"/>
          </w:rPr>
          <w:t>time</w:t>
        </w:r>
      </w:hyperlink>
      <w:r w:rsidRPr="00DD7BD1">
        <w:rPr>
          <w:rStyle w:val="Hyperlink"/>
          <w:rFonts w:ascii="Calibri" w:hAnsi="Calibri" w:cs="Calibri"/>
        </w:rPr>
        <w:t xml:space="preserve"> (ESST</w:t>
      </w:r>
      <w:r w:rsidRPr="00DD7BD1">
        <w:rPr>
          <w:rFonts w:ascii="Calibri" w:eastAsia="Times New Roman" w:hAnsi="Calibri" w:cs="Calibri"/>
        </w:rPr>
        <w:t>). Employees are eligible for ESST if they work at least 80 hours in a year in Minnesota. Leave accrues</w:t>
      </w:r>
    </w:p>
    <w:p w14:paraId="676E2F23"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at a rate of one hour of ESST for every 30 hours worked, up to a maximum of 48 hours per year. Employers must give</w:t>
      </w:r>
    </w:p>
    <w:p w14:paraId="09132EDB"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notice to all employees that they are entitled to ESST, and any employee handbooks must include a notice of employee</w:t>
      </w:r>
    </w:p>
    <w:p w14:paraId="66215CE8" w14:textId="26B5E2FF" w:rsidR="00F85B67" w:rsidRPr="00DD7BD1" w:rsidRDefault="00F85B67" w:rsidP="00F85B67">
      <w:pPr>
        <w:spacing w:after="0" w:line="240" w:lineRule="auto"/>
        <w:jc w:val="both"/>
        <w:rPr>
          <w:rFonts w:ascii="Calibri" w:eastAsia="Times New Roman" w:hAnsi="Calibri" w:cs="Calibri"/>
        </w:rPr>
      </w:pPr>
      <w:r w:rsidRPr="00DD7BD1">
        <w:rPr>
          <w:rFonts w:ascii="Calibri" w:eastAsia="Times New Roman" w:hAnsi="Calibri" w:cs="Calibri"/>
        </w:rPr>
        <w:t>rights and remedies.</w:t>
      </w:r>
    </w:p>
    <w:p w14:paraId="6C9571A8" w14:textId="77777777" w:rsidR="004B7569" w:rsidRPr="00DD7BD1" w:rsidRDefault="004B7569" w:rsidP="00F85B67">
      <w:pPr>
        <w:spacing w:after="0" w:line="240" w:lineRule="auto"/>
        <w:jc w:val="both"/>
        <w:rPr>
          <w:rFonts w:ascii="Calibri" w:eastAsia="Times New Roman" w:hAnsi="Calibri" w:cs="Calibri"/>
          <w:sz w:val="20"/>
          <w:szCs w:val="20"/>
        </w:rPr>
      </w:pPr>
    </w:p>
    <w:p w14:paraId="54CE5EA3" w14:textId="77725741" w:rsidR="004B7569" w:rsidRPr="00DD7BD1" w:rsidRDefault="004B7569" w:rsidP="004B7569">
      <w:pPr>
        <w:pStyle w:val="Heading2"/>
        <w:shd w:val="clear" w:color="auto" w:fill="FFFFFF"/>
        <w:spacing w:before="0" w:line="240" w:lineRule="auto"/>
        <w:jc w:val="center"/>
        <w:textAlignment w:val="baseline"/>
        <w:rPr>
          <w:rFonts w:ascii="Calibri" w:hAnsi="Calibri" w:cs="Calibri"/>
          <w:b/>
          <w:bCs/>
          <w:color w:val="auto"/>
          <w:sz w:val="28"/>
          <w:szCs w:val="28"/>
        </w:rPr>
      </w:pPr>
      <w:r w:rsidRPr="00DD7BD1">
        <w:rPr>
          <w:rFonts w:ascii="Calibri" w:hAnsi="Calibri" w:cs="Calibri"/>
          <w:b/>
          <w:bCs/>
          <w:color w:val="auto"/>
          <w:spacing w:val="3"/>
          <w:sz w:val="28"/>
          <w:szCs w:val="28"/>
          <w:shd w:val="clear" w:color="auto" w:fill="FFFFFF"/>
        </w:rPr>
        <w:t xml:space="preserve">Significant Changes to State’s Independent Contractor &amp; Employment Laws - </w:t>
      </w:r>
      <w:r w:rsidRPr="00DD7BD1">
        <w:rPr>
          <w:rFonts w:ascii="Calibri" w:hAnsi="Calibri" w:cs="Calibri"/>
          <w:b/>
          <w:bCs/>
          <w:color w:val="auto"/>
          <w:sz w:val="28"/>
          <w:szCs w:val="28"/>
        </w:rPr>
        <w:t xml:space="preserve">Updates to Employee Misclassification Prohibitions – </w:t>
      </w:r>
      <w:r w:rsidRPr="00DD7BD1">
        <w:rPr>
          <w:rFonts w:ascii="Calibri" w:hAnsi="Calibri" w:cs="Calibri"/>
          <w:b/>
          <w:bCs/>
          <w:color w:val="C00000"/>
          <w:sz w:val="28"/>
          <w:szCs w:val="28"/>
        </w:rPr>
        <w:t>July 1</w:t>
      </w:r>
    </w:p>
    <w:p w14:paraId="0C118662" w14:textId="77777777" w:rsidR="004B7569" w:rsidRPr="00DD7BD1" w:rsidRDefault="004B7569" w:rsidP="004B7569">
      <w:pPr>
        <w:pStyle w:val="NormalWeb"/>
        <w:shd w:val="clear" w:color="auto" w:fill="FFFFFF"/>
        <w:spacing w:before="0" w:beforeAutospacing="0" w:after="0" w:afterAutospacing="0"/>
        <w:textAlignment w:val="baseline"/>
        <w:rPr>
          <w:rFonts w:ascii="Calibri" w:hAnsi="Calibri" w:cs="Calibri"/>
          <w:sz w:val="22"/>
          <w:szCs w:val="22"/>
        </w:rPr>
      </w:pPr>
      <w:r w:rsidRPr="00DD7BD1">
        <w:rPr>
          <w:rFonts w:ascii="Calibri" w:hAnsi="Calibri" w:cs="Calibri"/>
          <w:spacing w:val="3"/>
          <w:sz w:val="22"/>
          <w:szCs w:val="22"/>
          <w:shd w:val="clear" w:color="auto" w:fill="FFFFFF"/>
        </w:rPr>
        <w:t xml:space="preserve">Effective </w:t>
      </w:r>
      <w:r w:rsidRPr="00DD7BD1">
        <w:rPr>
          <w:rFonts w:ascii="Calibri" w:hAnsi="Calibri" w:cs="Calibri"/>
          <w:color w:val="C00000"/>
          <w:spacing w:val="3"/>
          <w:sz w:val="22"/>
          <w:szCs w:val="22"/>
          <w:shd w:val="clear" w:color="auto" w:fill="FFFFFF"/>
        </w:rPr>
        <w:t xml:space="preserve">July 1, 2024, </w:t>
      </w:r>
      <w:r w:rsidRPr="00DD7BD1">
        <w:rPr>
          <w:rFonts w:ascii="Calibri" w:hAnsi="Calibri" w:cs="Calibri"/>
          <w:spacing w:val="3"/>
          <w:sz w:val="22"/>
          <w:szCs w:val="22"/>
          <w:shd w:val="clear" w:color="auto" w:fill="FFFFFF"/>
        </w:rPr>
        <w:t xml:space="preserve">all employers, as well as their owners, risk significantly increased penalties for misclassifying employees as independent contractors.  </w:t>
      </w:r>
      <w:r w:rsidRPr="00DD7BD1">
        <w:rPr>
          <w:rFonts w:ascii="Calibri" w:hAnsi="Calibri" w:cs="Calibri"/>
          <w:sz w:val="22"/>
          <w:szCs w:val="22"/>
        </w:rPr>
        <w:t> In addition, it changes the independent contractor test for those performing building construction or improvement services. Under the new statute, no person may:</w:t>
      </w:r>
    </w:p>
    <w:p w14:paraId="175D180C"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classify, represent, or treat an individual who is an employee as an employee under applicable law.</w:t>
      </w:r>
    </w:p>
    <w:p w14:paraId="697051E8"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report a person as an employee when required by applicable law.</w:t>
      </w:r>
    </w:p>
    <w:p w14:paraId="15033169"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Require an employee to misrepresent or misclassify themselves as non-employees, including as an independent contractor.</w:t>
      </w:r>
    </w:p>
    <w:p w14:paraId="368B53D9" w14:textId="77777777" w:rsidR="004B7569" w:rsidRPr="00DD7BD1" w:rsidRDefault="004B7569" w:rsidP="004B7569">
      <w:pPr>
        <w:spacing w:after="0" w:line="240" w:lineRule="auto"/>
        <w:jc w:val="both"/>
        <w:rPr>
          <w:rFonts w:ascii="Calibri" w:hAnsi="Calibri" w:cs="Calibri"/>
          <w:color w:val="000000"/>
          <w:shd w:val="clear" w:color="auto" w:fill="FFFFFF"/>
        </w:rPr>
      </w:pPr>
      <w:r w:rsidRPr="00DD7BD1">
        <w:rPr>
          <w:rFonts w:ascii="Calibri" w:hAnsi="Calibri" w:cs="Calibri"/>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DD7BD1" w:rsidRDefault="004B7569" w:rsidP="004B7569">
      <w:pPr>
        <w:spacing w:after="0" w:line="240" w:lineRule="auto"/>
        <w:jc w:val="both"/>
        <w:rPr>
          <w:rFonts w:ascii="Calibri" w:hAnsi="Calibri" w:cs="Calibri"/>
          <w:color w:val="292929"/>
          <w:spacing w:val="3"/>
          <w:sz w:val="16"/>
          <w:szCs w:val="16"/>
          <w:shd w:val="clear" w:color="auto" w:fill="FFFFFF"/>
        </w:rPr>
      </w:pPr>
    </w:p>
    <w:p w14:paraId="53CDC2D2" w14:textId="77777777" w:rsidR="004B7569" w:rsidRPr="00DD7BD1" w:rsidRDefault="004B7569" w:rsidP="004B7569">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Key Takeaway:</w:t>
      </w:r>
      <w:r w:rsidRPr="00DD7BD1">
        <w:rPr>
          <w:rFonts w:ascii="Calibri" w:hAnsi="Calibri" w:cs="Calibri"/>
          <w:spacing w:val="3"/>
          <w:shd w:val="clear" w:color="auto" w:fill="FFFFFF"/>
        </w:rPr>
        <w:t xml:space="preserve"> Employers operating in Minnesota should carefully evaluate whether the independent contractors with whom they conduct business are properly classified under state law. </w:t>
      </w:r>
      <w:proofErr w:type="gramStart"/>
      <w:r w:rsidRPr="00DD7BD1">
        <w:rPr>
          <w:rFonts w:ascii="Calibri" w:hAnsi="Calibri" w:cs="Calibri"/>
          <w:spacing w:val="3"/>
          <w:shd w:val="clear" w:color="auto" w:fill="FFFFFF"/>
        </w:rPr>
        <w:t>In particular, in</w:t>
      </w:r>
      <w:proofErr w:type="gramEnd"/>
      <w:r w:rsidRPr="00DD7BD1">
        <w:rPr>
          <w:rFonts w:ascii="Calibri" w:hAnsi="Calibri" w:cs="Calibri"/>
          <w:spacing w:val="3"/>
          <w:shd w:val="clear" w:color="auto" w:fill="FFFFFF"/>
        </w:rPr>
        <w:t xml:space="preserve">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Pr="00DD7BD1" w:rsidRDefault="004B7569" w:rsidP="004B7569">
      <w:pPr>
        <w:pStyle w:val="Heading2"/>
        <w:shd w:val="clear" w:color="auto" w:fill="FFFFFF"/>
        <w:spacing w:before="0" w:line="240" w:lineRule="auto"/>
        <w:textAlignment w:val="baseline"/>
        <w:rPr>
          <w:rFonts w:ascii="Calibri" w:hAnsi="Calibri" w:cs="Calibri"/>
          <w:color w:val="000000"/>
          <w:sz w:val="22"/>
          <w:szCs w:val="22"/>
        </w:rPr>
      </w:pPr>
      <w:r w:rsidRPr="00DD7BD1">
        <w:rPr>
          <w:rFonts w:ascii="Calibri" w:hAnsi="Calibri" w:cs="Calibri"/>
          <w:color w:val="292929"/>
          <w:spacing w:val="3"/>
          <w:sz w:val="22"/>
          <w:szCs w:val="22"/>
          <w:shd w:val="clear" w:color="auto" w:fill="FFFFFF"/>
        </w:rPr>
        <w:t>(</w:t>
      </w:r>
      <w:hyperlink r:id="rId890" w:history="1">
        <w:r w:rsidRPr="00DD7BD1">
          <w:rPr>
            <w:rStyle w:val="Hyperlink"/>
            <w:rFonts w:ascii="Calibri" w:hAnsi="Calibri" w:cs="Calibri"/>
            <w:sz w:val="22"/>
            <w:szCs w:val="22"/>
          </w:rPr>
          <w:t>Minn. Stat. §§ 177.27, 181.722, 181.723</w:t>
        </w:r>
      </w:hyperlink>
      <w:r w:rsidRPr="00DD7BD1">
        <w:rPr>
          <w:rFonts w:ascii="Calibri" w:hAnsi="Calibri" w:cs="Calibri"/>
          <w:color w:val="000000"/>
          <w:sz w:val="22"/>
          <w:szCs w:val="22"/>
        </w:rPr>
        <w:t>)</w:t>
      </w:r>
    </w:p>
    <w:p w14:paraId="7F8991E4" w14:textId="77777777" w:rsidR="004B7569" w:rsidRPr="00DD7BD1" w:rsidRDefault="004B7569" w:rsidP="004B7569">
      <w:pPr>
        <w:spacing w:after="0" w:line="240" w:lineRule="auto"/>
        <w:rPr>
          <w:rFonts w:ascii="Calibri" w:hAnsi="Calibri" w:cs="Calibri"/>
          <w:sz w:val="16"/>
          <w:szCs w:val="16"/>
        </w:rPr>
      </w:pPr>
    </w:p>
    <w:p w14:paraId="5BAEDD33" w14:textId="72490C86" w:rsidR="004B7569" w:rsidRPr="00DD7BD1" w:rsidRDefault="004B7569" w:rsidP="004B7569">
      <w:pPr>
        <w:pStyle w:val="Heading1"/>
        <w:shd w:val="clear" w:color="auto" w:fill="FFFFFF"/>
        <w:spacing w:before="0" w:beforeAutospacing="0" w:after="0" w:afterAutospacing="0"/>
        <w:jc w:val="center"/>
        <w:rPr>
          <w:rFonts w:ascii="Calibri" w:hAnsi="Calibri" w:cs="Calibri"/>
          <w:b w:val="0"/>
          <w:bCs w:val="0"/>
          <w:sz w:val="28"/>
          <w:szCs w:val="28"/>
        </w:rPr>
      </w:pPr>
      <w:r w:rsidRPr="00DD7BD1">
        <w:rPr>
          <w:rFonts w:ascii="Calibri" w:hAnsi="Calibri" w:cs="Calibri"/>
          <w:sz w:val="28"/>
          <w:szCs w:val="28"/>
        </w:rPr>
        <w:t>New Pay Transparency Disclosure Requirements</w:t>
      </w:r>
      <w:r w:rsidRPr="00DD7BD1">
        <w:rPr>
          <w:rFonts w:ascii="Calibri" w:hAnsi="Calibri" w:cs="Calibri"/>
          <w:b w:val="0"/>
          <w:bCs w:val="0"/>
          <w:sz w:val="28"/>
          <w:szCs w:val="28"/>
        </w:rPr>
        <w:t xml:space="preserve"> - </w:t>
      </w:r>
      <w:r w:rsidRPr="00DD7BD1">
        <w:rPr>
          <w:rFonts w:ascii="Calibri" w:hAnsi="Calibri" w:cs="Calibri"/>
          <w:b w:val="0"/>
          <w:bCs w:val="0"/>
          <w:color w:val="C00000"/>
          <w:sz w:val="28"/>
          <w:szCs w:val="28"/>
        </w:rPr>
        <w:t>Jan 1, 2025</w:t>
      </w:r>
    </w:p>
    <w:p w14:paraId="5E68D3A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333333"/>
          <w:sz w:val="23"/>
          <w:szCs w:val="23"/>
        </w:rPr>
      </w:pPr>
      <w:r w:rsidRPr="00DD7BD1">
        <w:rPr>
          <w:rFonts w:ascii="Calibri" w:hAnsi="Calibri" w:cs="Calibri"/>
          <w:sz w:val="23"/>
          <w:szCs w:val="23"/>
        </w:rPr>
        <w:t xml:space="preserve">The Minnesota legislature continues to expand protections for job applicants. In 2023, Minnesota enacted </w:t>
      </w:r>
      <w:r w:rsidRPr="00DD7BD1">
        <w:rPr>
          <w:rFonts w:ascii="Calibri" w:hAnsi="Calibri" w:cs="Calibri"/>
          <w:sz w:val="22"/>
          <w:szCs w:val="22"/>
        </w:rPr>
        <w:t>legislation that prohibits employers from inquiring into an applicants’ pay history during</w:t>
      </w:r>
      <w:r w:rsidRPr="00DD7BD1">
        <w:rPr>
          <w:rFonts w:ascii="Calibri" w:hAnsi="Calibri" w:cs="Calibri"/>
          <w:sz w:val="23"/>
          <w:szCs w:val="23"/>
        </w:rPr>
        <w:t xml:space="preserve"> the hiring process. </w:t>
      </w:r>
      <w:r w:rsidRPr="00DD7BD1">
        <w:rPr>
          <w:rFonts w:ascii="Calibri" w:hAnsi="Calibri" w:cs="Calibri"/>
          <w:color w:val="333333"/>
          <w:sz w:val="23"/>
          <w:szCs w:val="23"/>
          <w:shd w:val="clear" w:color="auto" w:fill="FFFFFF"/>
        </w:rPr>
        <w:t>Minnesota Gov. Walz signed the </w:t>
      </w:r>
      <w:hyperlink r:id="rId891" w:tgtFrame="_blank" w:history="1">
        <w:r w:rsidRPr="00DD7BD1">
          <w:rPr>
            <w:rStyle w:val="Hyperlink"/>
            <w:rFonts w:ascii="Calibri" w:eastAsiaTheme="majorEastAsia" w:hAnsi="Calibri" w:cs="Calibri"/>
            <w:sz w:val="22"/>
            <w:szCs w:val="22"/>
          </w:rPr>
          <w:t>Omnibus Labor and Industry policy bill</w:t>
        </w:r>
      </w:hyperlink>
      <w:r w:rsidRPr="00DD7BD1">
        <w:rPr>
          <w:rStyle w:val="Hyperlink"/>
          <w:rFonts w:ascii="Calibri" w:eastAsiaTheme="majorEastAsia" w:hAnsi="Calibri" w:cs="Calibri"/>
          <w:sz w:val="22"/>
          <w:szCs w:val="22"/>
        </w:rPr>
        <w:t>,</w:t>
      </w:r>
      <w:r w:rsidRPr="00DD7BD1">
        <w:rPr>
          <w:rFonts w:ascii="Calibri" w:hAnsi="Calibri" w:cs="Calibri"/>
          <w:color w:val="333333"/>
          <w:sz w:val="23"/>
          <w:szCs w:val="23"/>
          <w:shd w:val="clear" w:color="auto" w:fill="FFFFFF"/>
        </w:rPr>
        <w:t xml:space="preserve"> including new job posting requirements. This law is in addition to existing Minnesota </w:t>
      </w:r>
      <w:hyperlink r:id="rId892" w:tgtFrame="_blank" w:history="1">
        <w:r w:rsidRPr="00DD7BD1">
          <w:rPr>
            <w:rStyle w:val="Hyperlink"/>
            <w:rFonts w:ascii="Calibri" w:eastAsiaTheme="majorEastAsia" w:hAnsi="Calibri" w:cs="Calibri"/>
            <w:sz w:val="22"/>
            <w:szCs w:val="22"/>
          </w:rPr>
          <w:t>wage disclosure protections</w:t>
        </w:r>
      </w:hyperlink>
      <w:r w:rsidRPr="00DD7BD1">
        <w:rPr>
          <w:rFonts w:ascii="Calibri" w:hAnsi="Calibri" w:cs="Calibri"/>
          <w:color w:val="333333"/>
          <w:sz w:val="23"/>
          <w:szCs w:val="23"/>
          <w:shd w:val="clear" w:color="auto" w:fill="FFFFFF"/>
        </w:rPr>
        <w:t xml:space="preserve"> for employees. </w:t>
      </w:r>
      <w:r w:rsidRPr="00DD7BD1">
        <w:rPr>
          <w:rFonts w:ascii="Calibri" w:hAnsi="Calibri" w:cs="Calibri"/>
          <w:sz w:val="23"/>
          <w:szCs w:val="23"/>
        </w:rPr>
        <w:t xml:space="preserve">Now, most employers will be required to disclose salary ranges in their job postings. The pay transparency law will take effect </w:t>
      </w:r>
      <w:r w:rsidRPr="00DD7BD1">
        <w:rPr>
          <w:rFonts w:ascii="Calibri" w:hAnsi="Calibri" w:cs="Calibri"/>
          <w:color w:val="C00000"/>
          <w:sz w:val="23"/>
          <w:szCs w:val="23"/>
        </w:rPr>
        <w:t>January 1, 2025</w:t>
      </w:r>
      <w:r w:rsidRPr="00DD7BD1">
        <w:rPr>
          <w:rFonts w:ascii="Calibri" w:hAnsi="Calibri" w:cs="Calibri"/>
          <w:color w:val="333333"/>
          <w:sz w:val="23"/>
          <w:szCs w:val="23"/>
        </w:rPr>
        <w:t>.</w:t>
      </w:r>
    </w:p>
    <w:p w14:paraId="768C9D9C"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Who must comply with the pay transparency requirements?</w:t>
      </w:r>
    </w:p>
    <w:p w14:paraId="0B8751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The pay transparency requirements apply to any person or entity that employs 30 or more employees at one or more sites in Minnesota.</w:t>
      </w:r>
    </w:p>
    <w:p w14:paraId="6157F1C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must be included in job postings?</w:t>
      </w:r>
    </w:p>
    <w:p w14:paraId="05E2BCD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is a “posting”?</w:t>
      </w:r>
    </w:p>
    <w:p w14:paraId="47BA28E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highlight w:val="lightGray"/>
        </w:rPr>
        <w:t>Employer Take away:</w:t>
      </w:r>
      <w:r w:rsidRPr="00DD7BD1">
        <w:rPr>
          <w:rFonts w:ascii="Calibri" w:hAnsi="Calibri" w:cs="Calibri"/>
          <w:sz w:val="23"/>
          <w:szCs w:val="23"/>
        </w:rPr>
        <w:t xml:space="preserve"> Minnesota employers should review their current pay rates, hiring practices, and job postings in anticipation of the January 1, </w:t>
      </w:r>
      <w:proofErr w:type="gramStart"/>
      <w:r w:rsidRPr="00DD7BD1">
        <w:rPr>
          <w:rFonts w:ascii="Calibri" w:hAnsi="Calibri" w:cs="Calibri"/>
          <w:sz w:val="23"/>
          <w:szCs w:val="23"/>
        </w:rPr>
        <w:t>2025, effective date</w:t>
      </w:r>
      <w:proofErr w:type="gramEnd"/>
      <w:r w:rsidRPr="00DD7BD1">
        <w:rPr>
          <w:rFonts w:ascii="Calibri" w:hAnsi="Calibri" w:cs="Calibri"/>
          <w:sz w:val="23"/>
          <w:szCs w:val="23"/>
        </w:rPr>
        <w:t>.</w:t>
      </w:r>
    </w:p>
    <w:p w14:paraId="569596F7" w14:textId="77777777" w:rsidR="00472E17" w:rsidRPr="00DD7BD1" w:rsidRDefault="00472E17" w:rsidP="00F85B67">
      <w:pPr>
        <w:spacing w:after="0" w:line="240" w:lineRule="auto"/>
        <w:jc w:val="both"/>
        <w:rPr>
          <w:rFonts w:ascii="Calibri" w:eastAsia="Times New Roman" w:hAnsi="Calibri" w:cs="Calibri"/>
          <w:sz w:val="16"/>
          <w:szCs w:val="16"/>
        </w:rPr>
      </w:pPr>
    </w:p>
    <w:p w14:paraId="3159F5B3" w14:textId="098B48CA"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Missouri</w:t>
      </w:r>
    </w:p>
    <w:p w14:paraId="3EB0CB1D" w14:textId="77777777" w:rsidR="008B7ABB" w:rsidRPr="00DD7BD1" w:rsidRDefault="008B7ABB" w:rsidP="008B7ABB">
      <w:pPr>
        <w:jc w:val="center"/>
        <w:rPr>
          <w:rFonts w:ascii="Calibri" w:hAnsi="Calibri" w:cs="Calibri"/>
          <w:b/>
          <w:spacing w:val="-2"/>
          <w:sz w:val="28"/>
        </w:rPr>
      </w:pPr>
      <w:bookmarkStart w:id="118" w:name="_Hlk188875717"/>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5F5E4603" w14:textId="16D91437" w:rsidR="008B7ABB" w:rsidRPr="00DD7BD1" w:rsidRDefault="008B7ABB" w:rsidP="008B7ABB">
      <w:pPr>
        <w:jc w:val="both"/>
        <w:rPr>
          <w:rFonts w:ascii="Calibri" w:hAnsi="Calibri" w:cs="Calibri"/>
          <w:shd w:val="clear" w:color="auto" w:fill="FFFFFF"/>
          <w:lang w:val="en"/>
        </w:rPr>
      </w:pPr>
      <w:r w:rsidRPr="00DD7BD1">
        <w:rPr>
          <w:rFonts w:ascii="Calibri" w:hAnsi="Calibri" w:cs="Calibri"/>
          <w:shd w:val="clear" w:color="auto" w:fill="FFFFFF"/>
          <w:lang w:val="en"/>
        </w:rPr>
        <w:t xml:space="preserve">On January 1, 2026, Missouri’s minimum wage will increase to $15 per hour. The tipped employee base wage will increase to $7.50 per hour. Retail and service employers with less than $500,000 in gross annual business are exempt from the state minimum </w:t>
      </w:r>
      <w:proofErr w:type="gramStart"/>
      <w:r w:rsidRPr="00DD7BD1">
        <w:rPr>
          <w:rFonts w:ascii="Calibri" w:hAnsi="Calibri" w:cs="Calibri"/>
          <w:shd w:val="clear" w:color="auto" w:fill="FFFFFF"/>
          <w:lang w:val="en"/>
        </w:rPr>
        <w:t>wage, but</w:t>
      </w:r>
      <w:proofErr w:type="gramEnd"/>
      <w:r w:rsidRPr="00DD7BD1">
        <w:rPr>
          <w:rFonts w:ascii="Calibri" w:hAnsi="Calibri" w:cs="Calibri"/>
          <w:shd w:val="clear" w:color="auto" w:fill="FFFFFF"/>
          <w:lang w:val="en"/>
        </w:rPr>
        <w:t xml:space="preserve"> still need to pay at least the federal minimum wage.</w:t>
      </w:r>
    </w:p>
    <w:p w14:paraId="2D98AB8B" w14:textId="27396180" w:rsidR="003A22A9" w:rsidRPr="00DD7BD1" w:rsidRDefault="003A22A9" w:rsidP="003A22A9">
      <w:pPr>
        <w:spacing w:before="12"/>
        <w:ind w:left="1149"/>
        <w:rPr>
          <w:rFonts w:ascii="Calibri" w:hAnsi="Calibri" w:cs="Calibri"/>
          <w:b/>
          <w:color w:val="C00000"/>
          <w:spacing w:val="-7"/>
          <w:sz w:val="28"/>
        </w:rPr>
      </w:pPr>
      <w:r w:rsidRPr="00DD7BD1">
        <w:rPr>
          <w:rFonts w:ascii="Calibri" w:hAnsi="Calibri" w:cs="Calibri"/>
          <w:b/>
          <w:color w:val="C00000"/>
          <w:spacing w:val="-7"/>
          <w:sz w:val="28"/>
        </w:rPr>
        <w:t xml:space="preserve">Reminder: </w:t>
      </w:r>
      <w:r w:rsidRPr="00DD7BD1">
        <w:rPr>
          <w:rFonts w:ascii="Calibri" w:hAnsi="Calibri" w:cs="Calibri"/>
          <w:b/>
          <w:spacing w:val="-7"/>
          <w:sz w:val="28"/>
        </w:rPr>
        <w:t xml:space="preserve">State Legislature Repeals State’s Paid Sick Leave - </w:t>
      </w:r>
      <w:r w:rsidRPr="00DD7BD1">
        <w:rPr>
          <w:rFonts w:ascii="Calibri" w:hAnsi="Calibri" w:cs="Calibri"/>
          <w:b/>
          <w:color w:val="C00000"/>
          <w:spacing w:val="-7"/>
          <w:sz w:val="28"/>
        </w:rPr>
        <w:t>Eff Aug 28, 2025</w:t>
      </w:r>
    </w:p>
    <w:p w14:paraId="0A0BD824" w14:textId="7D9A9024"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 Legislature </w:t>
      </w:r>
      <w:r w:rsidRPr="00DD7BD1">
        <w:rPr>
          <w:rFonts w:ascii="Calibri" w:hAnsi="Calibri" w:cs="Calibri"/>
          <w:b/>
          <w:bCs/>
          <w:sz w:val="28"/>
          <w:szCs w:val="28"/>
          <w:u w:val="single"/>
          <w:shd w:val="clear" w:color="auto" w:fill="FFFFFF"/>
          <w:lang w:val="en"/>
        </w:rPr>
        <w:t xml:space="preserve">Repeals </w:t>
      </w:r>
      <w:r w:rsidRPr="00DD7BD1">
        <w:rPr>
          <w:rFonts w:ascii="Calibri" w:hAnsi="Calibri" w:cs="Calibri"/>
          <w:b/>
          <w:bCs/>
          <w:sz w:val="28"/>
          <w:szCs w:val="28"/>
          <w:shd w:val="clear" w:color="auto" w:fill="FFFFFF"/>
          <w:lang w:val="en"/>
        </w:rPr>
        <w:t xml:space="preserve">State’s Paid Sick Leave - </w:t>
      </w:r>
      <w:r w:rsidRPr="00DD7BD1">
        <w:rPr>
          <w:rFonts w:ascii="Calibri" w:hAnsi="Calibri" w:cs="Calibri"/>
          <w:b/>
          <w:bCs/>
          <w:color w:val="C00000"/>
          <w:sz w:val="28"/>
          <w:szCs w:val="28"/>
          <w:shd w:val="clear" w:color="auto" w:fill="FFFFFF"/>
          <w:lang w:val="en"/>
        </w:rPr>
        <w:t>Eff Aug 28, 2025</w:t>
      </w:r>
    </w:p>
    <w:p w14:paraId="67ADC46A" w14:textId="69C2BCB8"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 The Missouri Senate has passed a bill to repeal that new paid sick leave law less than a month after it went into effect, and Gov. Mike Kehoe has supported the repeal bill, meaning he will almost certainly sign it into law </w:t>
      </w:r>
      <w:proofErr w:type="gramStart"/>
      <w:r w:rsidRPr="00DD7BD1">
        <w:rPr>
          <w:rFonts w:ascii="Calibri" w:hAnsi="Calibri" w:cs="Calibri"/>
          <w:shd w:val="clear" w:color="auto" w:fill="FFFFFF"/>
        </w:rPr>
        <w:t>in the near future</w:t>
      </w:r>
      <w:proofErr w:type="gramEnd"/>
      <w:r w:rsidRPr="00DD7BD1">
        <w:rPr>
          <w:rFonts w:ascii="Calibri" w:hAnsi="Calibri" w:cs="Calibri"/>
          <w:shd w:val="clear" w:color="auto" w:fill="FFFFFF"/>
        </w:rPr>
        <w:t>.</w:t>
      </w:r>
    </w:p>
    <w:p w14:paraId="28BA33CB" w14:textId="6ECEC7F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The state’s sick leave law will remain in effect until </w:t>
      </w:r>
      <w:r w:rsidRPr="00DD7BD1">
        <w:rPr>
          <w:rFonts w:ascii="Calibri" w:hAnsi="Calibri" w:cs="Calibri"/>
          <w:u w:val="single"/>
          <w:shd w:val="clear" w:color="auto" w:fill="FFFFFF"/>
        </w:rPr>
        <w:t>August 28, 2025</w:t>
      </w:r>
      <w:r w:rsidRPr="00DD7BD1">
        <w:rPr>
          <w:rFonts w:ascii="Calibri" w:hAnsi="Calibri" w:cs="Calibri"/>
          <w:shd w:val="clear" w:color="auto" w:fill="FFFFFF"/>
        </w:rPr>
        <w:t xml:space="preserve">. Until that time, employers must still allow employees to earn one hour of paid sick leave for every 30 hours worked and to use paid sick leave if they or a covered family member have </w:t>
      </w:r>
      <w:r w:rsidRPr="00DD7BD1">
        <w:rPr>
          <w:rFonts w:ascii="Calibri" w:hAnsi="Calibri" w:cs="Calibri"/>
          <w:shd w:val="clear" w:color="auto" w:fill="FFFFFF"/>
        </w:rPr>
        <w:lastRenderedPageBreak/>
        <w:t>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After August 28? That decision is up to employers. </w:t>
      </w:r>
    </w:p>
    <w:p w14:paraId="552E71E4" w14:textId="6BA310A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DD7BD1">
        <w:rPr>
          <w:rFonts w:ascii="Calibri" w:hAnsi="Calibri" w:cs="Calibri"/>
          <w:u w:val="single"/>
          <w:shd w:val="clear" w:color="auto" w:fill="FFFFFF"/>
        </w:rPr>
        <w:t>not</w:t>
      </w:r>
      <w:r w:rsidRPr="00DD7BD1">
        <w:rPr>
          <w:rFonts w:ascii="Calibri" w:hAnsi="Calibri" w:cs="Calibri"/>
          <w:shd w:val="clear" w:color="auto" w:fill="FFFFFF"/>
        </w:rPr>
        <w:t xml:space="preserve"> be required to allow employees to accrue additional paid sick leave after that date. Further, there appears to be </w:t>
      </w:r>
      <w:r w:rsidRPr="00DD7BD1">
        <w:rPr>
          <w:rFonts w:ascii="Calibri" w:hAnsi="Calibri" w:cs="Calibri"/>
          <w:u w:val="single"/>
          <w:shd w:val="clear" w:color="auto" w:fill="FFFFFF"/>
        </w:rPr>
        <w:t>nothing to prevent employers from revoking accrued but unused paid sick leave after August 28</w:t>
      </w:r>
      <w:r w:rsidRPr="00DD7BD1">
        <w:rPr>
          <w:rFonts w:ascii="Calibri" w:hAnsi="Calibri" w:cs="Calibri"/>
          <w:shd w:val="clear" w:color="auto" w:fill="FFFFFF"/>
        </w:rPr>
        <w:t>.</w:t>
      </w:r>
    </w:p>
    <w:p w14:paraId="14A19ED1" w14:textId="3682DB93" w:rsidR="00BB4530" w:rsidRPr="00DD7BD1" w:rsidRDefault="00BB4530" w:rsidP="00BB453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&amp; Reminder: </w:t>
      </w:r>
      <w:r w:rsidRPr="00DD7BD1">
        <w:rPr>
          <w:rFonts w:ascii="Calibri" w:hAnsi="Calibri" w:cs="Calibri"/>
          <w:b/>
          <w:bCs/>
          <w:sz w:val="28"/>
          <w:szCs w:val="28"/>
          <w:shd w:val="clear" w:color="auto" w:fill="FFFFFF"/>
          <w:lang w:val="en"/>
        </w:rPr>
        <w:t>Upcoming State Earned (Paid) Sick Leave –</w:t>
      </w:r>
      <w:r w:rsidRPr="00DD7BD1">
        <w:rPr>
          <w:rFonts w:ascii="Calibri" w:hAnsi="Calibri" w:cs="Calibri"/>
          <w:b/>
          <w:bCs/>
          <w:color w:val="C00000"/>
          <w:sz w:val="28"/>
          <w:szCs w:val="28"/>
          <w:shd w:val="clear" w:color="auto" w:fill="FFFFFF"/>
          <w:lang w:val="en"/>
        </w:rPr>
        <w:t xml:space="preserve"> April 15 &amp; May 1, 2025</w:t>
      </w:r>
    </w:p>
    <w:p w14:paraId="17566230"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UPDATE:</w:t>
      </w:r>
      <w:r w:rsidRPr="00DD7BD1">
        <w:rPr>
          <w:rFonts w:ascii="Calibri" w:hAnsi="Calibri" w:cs="Calibri"/>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Pr="00DD7BD1" w:rsidRDefault="00BB4530" w:rsidP="00BB4530">
      <w:pPr>
        <w:spacing w:after="0" w:line="240" w:lineRule="auto"/>
        <w:rPr>
          <w:rFonts w:ascii="Calibri" w:hAnsi="Calibri" w:cs="Calibri"/>
        </w:rPr>
      </w:pPr>
    </w:p>
    <w:p w14:paraId="1EFE0B32" w14:textId="77777777" w:rsidR="00BB4530" w:rsidRPr="00DD7BD1" w:rsidRDefault="00BB4530" w:rsidP="00BB4530">
      <w:pPr>
        <w:spacing w:after="0" w:line="240" w:lineRule="auto"/>
        <w:rPr>
          <w:rFonts w:ascii="Calibri" w:hAnsi="Calibri" w:cs="Calibri"/>
        </w:rPr>
      </w:pPr>
      <w:r w:rsidRPr="00DD7BD1">
        <w:rPr>
          <w:rFonts w:ascii="Calibri" w:hAnsi="Calibri" w:cs="Calibri"/>
        </w:rPr>
        <w:t xml:space="preserve">The state of Missouri has issued </w:t>
      </w:r>
      <w:hyperlink r:id="rId893"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894" w:tgtFrame="_blank" w:history="1">
        <w:r w:rsidRPr="00DD7BD1">
          <w:rPr>
            <w:rStyle w:val="Hyperlink"/>
            <w:rFonts w:ascii="Calibri" w:hAnsi="Calibri" w:cs="Calibri"/>
          </w:rPr>
          <w:t>Proposition A</w:t>
        </w:r>
      </w:hyperlink>
      <w:r w:rsidRPr="00DD7BD1">
        <w:rPr>
          <w:rFonts w:ascii="Calibri" w:hAnsi="Calibri" w:cs="Calibri"/>
        </w:rPr>
        <w:t xml:space="preserve"> which was approved November 5, 2024. As a reminder, the effective date of this new private employer requirement is May 1.  </w:t>
      </w:r>
    </w:p>
    <w:p w14:paraId="130043AD"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0C30F468"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w:t>
      </w:r>
      <w:r w:rsidRPr="00DD7BD1">
        <w:rPr>
          <w:rFonts w:ascii="Calibri" w:hAnsi="Calibri" w:cs="Calibri"/>
          <w:color w:val="C00000"/>
        </w:rPr>
        <w:t>April 15, 2025</w:t>
      </w:r>
      <w:r w:rsidRPr="00DD7BD1">
        <w:rPr>
          <w:rFonts w:ascii="Calibri" w:hAnsi="Calibri" w:cs="Calibri"/>
        </w:rPr>
        <w:t xml:space="preserve">.  ETC will monitor and advise once the poster is released.  </w:t>
      </w:r>
    </w:p>
    <w:p w14:paraId="4D1CE1DE"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ETC will release a State Handbook Addendum inclusive of the new required workplace policy in advance on May 1. </w:t>
      </w:r>
    </w:p>
    <w:p w14:paraId="6811E24E" w14:textId="77777777" w:rsidR="00BB4530" w:rsidRPr="00DD7BD1" w:rsidRDefault="00BB4530" w:rsidP="00BB4530">
      <w:pPr>
        <w:pStyle w:val="ListParagraph"/>
        <w:spacing w:after="0" w:line="240" w:lineRule="auto"/>
        <w:rPr>
          <w:rFonts w:ascii="Calibri" w:hAnsi="Calibri" w:cs="Calibri"/>
        </w:rPr>
      </w:pPr>
    </w:p>
    <w:p w14:paraId="1123B051" w14:textId="77777777" w:rsidR="00BB4530" w:rsidRPr="00DD7BD1" w:rsidRDefault="00BB4530" w:rsidP="00BB4530">
      <w:pPr>
        <w:spacing w:after="0" w:line="240" w:lineRule="auto"/>
        <w:rPr>
          <w:rFonts w:ascii="Calibri" w:hAnsi="Calibri" w:cs="Calibri"/>
          <w:b/>
          <w:bCs/>
        </w:rPr>
      </w:pPr>
      <w:r w:rsidRPr="00DD7BD1">
        <w:rPr>
          <w:rFonts w:ascii="Calibri" w:hAnsi="Calibri" w:cs="Calibri"/>
          <w:b/>
          <w:bCs/>
        </w:rPr>
        <w:t>Key Provisions:</w:t>
      </w:r>
    </w:p>
    <w:p w14:paraId="212FCF12"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Application</w:t>
      </w:r>
      <w:r w:rsidRPr="00DD7BD1">
        <w:rPr>
          <w:rFonts w:ascii="Calibri" w:hAnsi="Calibri" w:cs="Calibri"/>
        </w:rPr>
        <w:br/>
        <w:t xml:space="preserve">The EPST law applies to employers of all sizes and most Missouri employees. However, the law contains some unique employee exemptions, </w:t>
      </w:r>
      <w:proofErr w:type="gramStart"/>
      <w:r w:rsidRPr="00DD7BD1">
        <w:rPr>
          <w:rFonts w:ascii="Calibri" w:hAnsi="Calibri" w:cs="Calibri"/>
        </w:rPr>
        <w:t>including for</w:t>
      </w:r>
      <w:proofErr w:type="gramEnd"/>
      <w:r w:rsidRPr="00DD7BD1">
        <w:rPr>
          <w:rFonts w:ascii="Calibri" w:hAnsi="Calibri" w:cs="Calibri"/>
        </w:rPr>
        <w:t xml:space="preserve"> employees of retail or services businesses with less than $500,000 of annual gross sales.</w:t>
      </w:r>
    </w:p>
    <w:p w14:paraId="4227AF7E" w14:textId="77777777" w:rsidR="00BB4530" w:rsidRPr="00DD7BD1" w:rsidRDefault="00BB4530" w:rsidP="00BB4530">
      <w:pPr>
        <w:spacing w:after="0" w:line="240" w:lineRule="auto"/>
        <w:rPr>
          <w:rFonts w:ascii="Calibri" w:hAnsi="Calibri" w:cs="Calibri"/>
          <w:b/>
          <w:bCs/>
        </w:rPr>
      </w:pPr>
    </w:p>
    <w:p w14:paraId="07845955"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Accrual, Carryover, and Frontloading</w:t>
      </w:r>
      <w:r w:rsidRPr="00DD7BD1">
        <w:rPr>
          <w:rFonts w:ascii="Calibri" w:hAnsi="Calibri" w:cs="Calibri"/>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DD7BD1" w:rsidRDefault="00BB4530" w:rsidP="00BB4530">
      <w:pPr>
        <w:spacing w:after="0" w:line="240" w:lineRule="auto"/>
        <w:rPr>
          <w:rFonts w:ascii="Calibri" w:hAnsi="Calibri" w:cs="Calibri"/>
        </w:rPr>
      </w:pPr>
      <w:r w:rsidRPr="00DD7BD1">
        <w:rPr>
          <w:rFonts w:ascii="Calibri" w:hAnsi="Calibri" w:cs="Calibri"/>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DD7BD1">
        <w:rPr>
          <w:rFonts w:ascii="Calibri" w:hAnsi="Calibri" w:cs="Calibri"/>
          <w:i/>
          <w:iCs/>
        </w:rPr>
        <w:t>and </w:t>
      </w:r>
      <w:r w:rsidRPr="00DD7BD1">
        <w:rPr>
          <w:rFonts w:ascii="Calibri" w:hAnsi="Calibri" w:cs="Calibri"/>
        </w:rPr>
        <w:t>provide a lump sum of their full amount of EPST for immediate use at the beginning of the new benefit year.</w:t>
      </w:r>
    </w:p>
    <w:p w14:paraId="3C385582" w14:textId="77777777" w:rsidR="00BB4530" w:rsidRPr="00DD7BD1" w:rsidRDefault="00BB4530" w:rsidP="00BB4530">
      <w:pPr>
        <w:spacing w:after="0" w:line="240" w:lineRule="auto"/>
        <w:rPr>
          <w:rFonts w:ascii="Calibri" w:hAnsi="Calibri" w:cs="Calibri"/>
          <w:b/>
          <w:bCs/>
        </w:rPr>
      </w:pPr>
    </w:p>
    <w:p w14:paraId="583539A9"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Use</w:t>
      </w:r>
      <w:r w:rsidRPr="00DD7BD1">
        <w:rPr>
          <w:rFonts w:ascii="Calibri" w:hAnsi="Calibri" w:cs="Calibri"/>
        </w:rPr>
        <w:br/>
        <w:t>Employers with 14 or fewer employees can cap employees’ use at 40 hours of EPST per year, while those with 15 or more employees can cap employees’ use at 56 hours per year.</w:t>
      </w:r>
    </w:p>
    <w:p w14:paraId="0CF1F5A5" w14:textId="77777777" w:rsidR="00BB4530" w:rsidRPr="00DD7BD1" w:rsidRDefault="00BB4530" w:rsidP="00BB4530">
      <w:pPr>
        <w:spacing w:after="0" w:line="240" w:lineRule="auto"/>
        <w:rPr>
          <w:rFonts w:ascii="Calibri" w:hAnsi="Calibri" w:cs="Calibri"/>
        </w:rPr>
      </w:pPr>
      <w:r w:rsidRPr="00DD7BD1">
        <w:rPr>
          <w:rFonts w:ascii="Calibri" w:hAnsi="Calibri" w:cs="Calibri"/>
        </w:rPr>
        <w:t>Employees can use EPST as soon as it’s accrued for the following reasons:</w:t>
      </w:r>
    </w:p>
    <w:p w14:paraId="396967F9"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Their own or their family member’s mental or physical illness, injury, or health condition, including preventive medical care</w:t>
      </w:r>
    </w:p>
    <w:p w14:paraId="1BC69BAB"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 closure of their workplace or their child’s school or place of care because of a public health emergency</w:t>
      </w:r>
    </w:p>
    <w:p w14:paraId="2D4EAB4A"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To care for themselves or a family member because of a determination of exposure to a communicable disease</w:t>
      </w:r>
    </w:p>
    <w:p w14:paraId="3E0E0A41"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Certain covered reasons related to domestic abuse, sexual assault, or stalking of the employee or their family member</w:t>
      </w:r>
    </w:p>
    <w:p w14:paraId="3BAC2752" w14:textId="77777777" w:rsidR="00BB4530" w:rsidRPr="00DD7BD1" w:rsidRDefault="00BB4530" w:rsidP="00BB4530">
      <w:pPr>
        <w:spacing w:after="0" w:line="240" w:lineRule="auto"/>
        <w:rPr>
          <w:rFonts w:ascii="Calibri" w:hAnsi="Calibri" w:cs="Calibri"/>
        </w:rPr>
      </w:pPr>
      <w:r w:rsidRPr="00DD7BD1">
        <w:rPr>
          <w:rFonts w:ascii="Calibri" w:hAnsi="Calibri" w:cs="Calibri"/>
        </w:rPr>
        <w:lastRenderedPageBreak/>
        <w:t xml:space="preserve">EPST needs to be provided in the smallest </w:t>
      </w:r>
      <w:proofErr w:type="gramStart"/>
      <w:r w:rsidRPr="00DD7BD1">
        <w:rPr>
          <w:rFonts w:ascii="Calibri" w:hAnsi="Calibri" w:cs="Calibri"/>
        </w:rPr>
        <w:t>increment</w:t>
      </w:r>
      <w:proofErr w:type="gramEnd"/>
      <w:r w:rsidRPr="00DD7BD1">
        <w:rPr>
          <w:rFonts w:ascii="Calibri" w:hAnsi="Calibri" w:cs="Calibri"/>
        </w:rPr>
        <w:t xml:space="preserve">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DD7BD1" w:rsidRDefault="00BB4530" w:rsidP="00BB4530">
      <w:pPr>
        <w:spacing w:after="0" w:line="240" w:lineRule="auto"/>
        <w:rPr>
          <w:rFonts w:ascii="Calibri" w:hAnsi="Calibri" w:cs="Calibri"/>
        </w:rPr>
      </w:pPr>
      <w:r w:rsidRPr="00DD7BD1">
        <w:rPr>
          <w:rFonts w:ascii="Calibri" w:hAnsi="Calibri" w:cs="Calibri"/>
        </w:rPr>
        <w:t>As is standard with sick leave laws, employers can’t require that employees find their own coverage or deny them use of EPST if a replacement worker can’t be found.</w:t>
      </w:r>
    </w:p>
    <w:p w14:paraId="3974336A" w14:textId="77777777" w:rsidR="00BB4530" w:rsidRPr="00DD7BD1" w:rsidRDefault="00BB4530" w:rsidP="00BB4530">
      <w:pPr>
        <w:spacing w:after="0" w:line="240" w:lineRule="auto"/>
        <w:rPr>
          <w:rFonts w:ascii="Calibri" w:hAnsi="Calibri" w:cs="Calibri"/>
          <w:b/>
          <w:bCs/>
        </w:rPr>
      </w:pPr>
    </w:p>
    <w:p w14:paraId="39E529CC"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Documentation</w:t>
      </w:r>
      <w:r w:rsidRPr="00DD7BD1">
        <w:rPr>
          <w:rFonts w:ascii="Calibri" w:hAnsi="Calibri" w:cs="Calibri"/>
        </w:rPr>
        <w:br/>
        <w:t>When employees use EPST for three or more consecutive workdays, employers can request reasonable documentation that the leave was used for a covered purpose.</w:t>
      </w:r>
    </w:p>
    <w:p w14:paraId="27814B1B" w14:textId="77777777" w:rsidR="00BB4530" w:rsidRPr="00DD7BD1" w:rsidRDefault="00BB4530" w:rsidP="00BB4530">
      <w:pPr>
        <w:spacing w:after="0" w:line="240" w:lineRule="auto"/>
        <w:rPr>
          <w:rFonts w:ascii="Calibri" w:hAnsi="Calibri" w:cs="Calibri"/>
          <w:b/>
          <w:bCs/>
        </w:rPr>
      </w:pPr>
    </w:p>
    <w:p w14:paraId="262B160A"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Notice</w:t>
      </w:r>
      <w:r w:rsidRPr="00DD7BD1">
        <w:rPr>
          <w:rFonts w:ascii="Calibri" w:hAnsi="Calibri" w:cs="Calibri"/>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Beginning May 1, 2025, employees are entitled to accrue EPST at the rate of one hour for every 30 hours of work and may use EPST subject to the limits and terms of the law</w:t>
      </w:r>
    </w:p>
    <w:p w14:paraId="3DFA3888"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Employers can’t take retaliatory action against employees who request or use EPST</w:t>
      </w:r>
    </w:p>
    <w:p w14:paraId="43578B4E"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Employees’ rights to bring a civil action in certain circumstances</w:t>
      </w:r>
    </w:p>
    <w:p w14:paraId="1087F745"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Contact information for the Missouri Department of Labor and Industrial Relations (DOL)</w:t>
      </w:r>
    </w:p>
    <w:p w14:paraId="4B25D3EE" w14:textId="77777777" w:rsidR="00BB4530" w:rsidRPr="00DD7BD1" w:rsidRDefault="00BB4530" w:rsidP="00BB4530">
      <w:pPr>
        <w:spacing w:after="0" w:line="240" w:lineRule="auto"/>
        <w:rPr>
          <w:rFonts w:ascii="Calibri" w:hAnsi="Calibri" w:cs="Calibri"/>
        </w:rPr>
      </w:pPr>
      <w:r w:rsidRPr="00DD7BD1">
        <w:rPr>
          <w:rFonts w:ascii="Calibri" w:hAnsi="Calibri" w:cs="Calibri"/>
        </w:rPr>
        <w:t>Additionally, employers must display a poster that contains this information in a conspicuous and accessible place for employees </w:t>
      </w:r>
      <w:r w:rsidRPr="00DD7BD1">
        <w:rPr>
          <w:rFonts w:ascii="Calibri" w:hAnsi="Calibri" w:cs="Calibri"/>
          <w:i/>
          <w:iCs/>
        </w:rPr>
        <w:t>if </w:t>
      </w:r>
      <w:r w:rsidRPr="00DD7BD1">
        <w:rPr>
          <w:rFonts w:ascii="Calibri" w:hAnsi="Calibri" w:cs="Calibri"/>
        </w:rPr>
        <w:t xml:space="preserve">the state has created one. We’re hoping the state will release a model notice and poster </w:t>
      </w:r>
      <w:proofErr w:type="gramStart"/>
      <w:r w:rsidRPr="00DD7BD1">
        <w:rPr>
          <w:rFonts w:ascii="Calibri" w:hAnsi="Calibri" w:cs="Calibri"/>
        </w:rPr>
        <w:t>in the near future</w:t>
      </w:r>
      <w:proofErr w:type="gramEnd"/>
      <w:r w:rsidRPr="00DD7BD1">
        <w:rPr>
          <w:rFonts w:ascii="Calibri" w:hAnsi="Calibri" w:cs="Calibri"/>
        </w:rPr>
        <w:t>.</w:t>
      </w:r>
    </w:p>
    <w:p w14:paraId="05401E57" w14:textId="77777777" w:rsidR="00BB4530" w:rsidRPr="00DD7BD1" w:rsidRDefault="00BB4530" w:rsidP="00BB4530">
      <w:pPr>
        <w:spacing w:after="0" w:line="240" w:lineRule="auto"/>
        <w:rPr>
          <w:rFonts w:ascii="Calibri" w:hAnsi="Calibri" w:cs="Calibri"/>
          <w:b/>
          <w:bCs/>
        </w:rPr>
      </w:pPr>
    </w:p>
    <w:p w14:paraId="07D8B106"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Payout</w:t>
      </w:r>
      <w:r w:rsidRPr="00DD7BD1">
        <w:rPr>
          <w:rFonts w:ascii="Calibri" w:hAnsi="Calibri" w:cs="Calibri"/>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DD7BD1" w:rsidRDefault="00BB4530" w:rsidP="00BB4530">
      <w:pPr>
        <w:spacing w:after="0" w:line="240" w:lineRule="auto"/>
        <w:rPr>
          <w:rFonts w:ascii="Calibri" w:hAnsi="Calibri" w:cs="Calibri"/>
        </w:rPr>
      </w:pPr>
    </w:p>
    <w:p w14:paraId="24270907"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Missouri DOL has released </w:t>
      </w:r>
      <w:hyperlink r:id="rId895" w:tgtFrame="_blank" w:history="1">
        <w:r w:rsidRPr="00DD7BD1">
          <w:rPr>
            <w:rStyle w:val="Hyperlink"/>
            <w:rFonts w:ascii="Calibri" w:hAnsi="Calibri" w:cs="Calibri"/>
          </w:rPr>
          <w:t>FAQs</w:t>
        </w:r>
      </w:hyperlink>
      <w:r w:rsidRPr="00DD7BD1">
        <w:rPr>
          <w:rFonts w:ascii="Calibri" w:hAnsi="Calibri" w:cs="Calibri"/>
        </w:rPr>
        <w:t> on its website.</w:t>
      </w:r>
    </w:p>
    <w:p w14:paraId="36F94A3C" w14:textId="77777777" w:rsidR="00BB4530" w:rsidRPr="00DD7BD1" w:rsidRDefault="00BB4530" w:rsidP="00BB4530">
      <w:pPr>
        <w:spacing w:after="0" w:line="240" w:lineRule="auto"/>
        <w:rPr>
          <w:rFonts w:ascii="Calibri" w:hAnsi="Calibri" w:cs="Calibri"/>
          <w:b/>
          <w:bCs/>
          <w:sz w:val="16"/>
          <w:szCs w:val="16"/>
          <w:shd w:val="clear" w:color="auto" w:fill="FFFFFF"/>
          <w:lang w:val="en"/>
        </w:rPr>
      </w:pPr>
    </w:p>
    <w:p w14:paraId="0C6B605F" w14:textId="2A486938"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Reminder: State Earned (Paid) Sick Leave –</w:t>
      </w:r>
      <w:r w:rsidRPr="00DD7BD1">
        <w:rPr>
          <w:rFonts w:ascii="Calibri" w:hAnsi="Calibri" w:cs="Calibri"/>
          <w:b/>
          <w:bCs/>
          <w:color w:val="C00000"/>
          <w:sz w:val="28"/>
          <w:szCs w:val="28"/>
          <w:shd w:val="clear" w:color="auto" w:fill="FFFFFF"/>
          <w:lang w:val="en"/>
        </w:rPr>
        <w:t xml:space="preserve"> May 1, 2025</w:t>
      </w:r>
    </w:p>
    <w:p w14:paraId="0E5CD90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state of Missouri has issued </w:t>
      </w:r>
      <w:hyperlink r:id="rId896"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897" w:tgtFrame="_blank" w:history="1">
        <w:r w:rsidRPr="00DD7BD1">
          <w:rPr>
            <w:rStyle w:val="Hyperlink"/>
            <w:rFonts w:ascii="Calibri" w:hAnsi="Calibri" w:cs="Calibri"/>
          </w:rPr>
          <w:t>Proposition A</w:t>
        </w:r>
      </w:hyperlink>
      <w:r w:rsidRPr="00DD7BD1">
        <w:rPr>
          <w:rFonts w:ascii="Calibri" w:hAnsi="Calibri" w:cs="Calibri"/>
        </w:rPr>
        <w:t> which was approved November 5, 2024.</w:t>
      </w:r>
    </w:p>
    <w:p w14:paraId="1AFFBEF0"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As a reminder, the effective date of this new private employer requirement is May 1.  </w:t>
      </w:r>
    </w:p>
    <w:p w14:paraId="604CB049"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7913DC13"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April 15, 2025.  ETC will monitor and advise once the poster is released.  </w:t>
      </w:r>
    </w:p>
    <w:p w14:paraId="09EEB2E7"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Additionally, ETC will release a State Handbook Addendum inclusive of the new required workplace policy in advance on May 1. </w:t>
      </w:r>
    </w:p>
    <w:bookmarkEnd w:id="118"/>
    <w:p w14:paraId="32EEC0E8" w14:textId="77777777" w:rsidR="00BD445F" w:rsidRPr="00DD7BD1" w:rsidRDefault="00BD445F" w:rsidP="003B29FD">
      <w:pPr>
        <w:spacing w:after="0" w:line="240" w:lineRule="auto"/>
        <w:jc w:val="center"/>
        <w:rPr>
          <w:rFonts w:ascii="Calibri" w:hAnsi="Calibri" w:cs="Calibri"/>
          <w:b/>
          <w:bCs/>
          <w:sz w:val="20"/>
          <w:szCs w:val="20"/>
          <w:shd w:val="clear" w:color="auto" w:fill="FFFFFF"/>
          <w:lang w:val="en"/>
        </w:rPr>
      </w:pPr>
    </w:p>
    <w:p w14:paraId="46E4A843" w14:textId="1062A208"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Paid Sick Leave Initiative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Spring 2025</w:t>
      </w:r>
    </w:p>
    <w:p w14:paraId="4D17DF24" w14:textId="77777777" w:rsidR="003B29FD" w:rsidRPr="00DD7BD1" w:rsidRDefault="003B29FD" w:rsidP="003B29FD">
      <w:pPr>
        <w:rPr>
          <w:rFonts w:ascii="Calibri" w:hAnsi="Calibri" w:cs="Calibri"/>
        </w:rPr>
      </w:pPr>
      <w:r w:rsidRPr="00DD7BD1">
        <w:rPr>
          <w:rFonts w:ascii="Calibri" w:hAnsi="Calibri" w:cs="Calibri"/>
        </w:rPr>
        <w:t xml:space="preserve">On Nov. 5, 2024, voters in Missouri passed </w:t>
      </w:r>
      <w:hyperlink r:id="rId898" w:history="1">
        <w:r w:rsidRPr="00DD7BD1">
          <w:rPr>
            <w:rStyle w:val="Hyperlink"/>
            <w:rFonts w:ascii="Calibri" w:hAnsi="Calibri" w:cs="Calibri"/>
          </w:rPr>
          <w:t>Proposition A</w:t>
        </w:r>
      </w:hyperlink>
      <w:r w:rsidRPr="00DD7BD1">
        <w:rPr>
          <w:rFonts w:ascii="Calibri" w:hAnsi="Calibri" w:cs="Calibri"/>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DD7BD1" w:rsidRDefault="003B29FD" w:rsidP="003B29FD">
      <w:pPr>
        <w:pStyle w:val="CallOutBox"/>
        <w:jc w:val="left"/>
        <w:rPr>
          <w:rFonts w:ascii="Calibri" w:hAnsi="Calibri" w:cs="Calibri"/>
          <w:b w:val="0"/>
          <w:bCs/>
          <w:i w:val="0"/>
          <w:iCs/>
          <w:color w:val="auto"/>
          <w:sz w:val="22"/>
          <w:szCs w:val="22"/>
        </w:rPr>
      </w:pPr>
      <w:bookmarkStart w:id="119" w:name="_Hlk181799663"/>
      <w:bookmarkStart w:id="120" w:name="_Hlk181799664"/>
      <w:r w:rsidRPr="00DD7BD1">
        <w:rPr>
          <w:rFonts w:ascii="Calibri" w:hAnsi="Calibri" w:cs="Calibri"/>
          <w:b w:val="0"/>
          <w:bCs/>
          <w:i w:val="0"/>
          <w:iCs/>
          <w:color w:val="auto"/>
          <w:sz w:val="22"/>
          <w:szCs w:val="22"/>
        </w:rPr>
        <w:t xml:space="preserve">The annual leave amount for larger employers is 56 hours; for smaller employers, the amount is only 40 hours. </w:t>
      </w:r>
      <w:bookmarkEnd w:id="119"/>
      <w:bookmarkEnd w:id="120"/>
    </w:p>
    <w:p w14:paraId="2F70FA04" w14:textId="77777777" w:rsidR="003B29FD" w:rsidRPr="00DD7BD1" w:rsidRDefault="003B29FD" w:rsidP="003B29FD">
      <w:pPr>
        <w:pStyle w:val="SectionBoxBold"/>
        <w:rPr>
          <w:rFonts w:cs="Calibri"/>
          <w:sz w:val="22"/>
          <w:szCs w:val="22"/>
        </w:rPr>
      </w:pPr>
      <w:r w:rsidRPr="00DD7BD1">
        <w:rPr>
          <w:rFonts w:cs="Calibri"/>
          <w:color w:val="C00000"/>
          <w:sz w:val="22"/>
          <w:szCs w:val="22"/>
        </w:rPr>
        <w:t xml:space="preserve">April 15, 2025 </w:t>
      </w:r>
      <w:r w:rsidRPr="00DD7BD1">
        <w:rPr>
          <w:rFonts w:cs="Calibri"/>
          <w:sz w:val="22"/>
          <w:szCs w:val="22"/>
        </w:rPr>
        <w:t xml:space="preserve">- </w:t>
      </w:r>
      <w:r w:rsidRPr="00DD7BD1">
        <w:rPr>
          <w:rFonts w:cs="Calibri"/>
          <w:b w:val="0"/>
          <w:bCs/>
          <w:sz w:val="22"/>
          <w:szCs w:val="22"/>
        </w:rPr>
        <w:t>Employers must provide notice of the law to employees.</w:t>
      </w:r>
    </w:p>
    <w:p w14:paraId="1C344538" w14:textId="77777777" w:rsidR="003B29FD" w:rsidRPr="00DD7BD1" w:rsidRDefault="003B29FD" w:rsidP="003B29FD">
      <w:pPr>
        <w:pStyle w:val="SectionBoxBold"/>
        <w:rPr>
          <w:rFonts w:cs="Calibri"/>
          <w:b w:val="0"/>
          <w:bCs/>
          <w:sz w:val="22"/>
          <w:szCs w:val="22"/>
        </w:rPr>
      </w:pPr>
      <w:r w:rsidRPr="00DD7BD1">
        <w:rPr>
          <w:rFonts w:cs="Calibri"/>
          <w:color w:val="C00000"/>
          <w:sz w:val="22"/>
          <w:szCs w:val="22"/>
        </w:rPr>
        <w:t xml:space="preserve">May 1, 2025 </w:t>
      </w:r>
      <w:r w:rsidRPr="00DD7BD1">
        <w:rPr>
          <w:rFonts w:cs="Calibri"/>
          <w:sz w:val="22"/>
          <w:szCs w:val="22"/>
        </w:rPr>
        <w:t xml:space="preserve">- </w:t>
      </w:r>
      <w:r w:rsidRPr="00DD7BD1">
        <w:rPr>
          <w:rFonts w:cs="Calibri"/>
          <w:b w:val="0"/>
          <w:bCs/>
          <w:sz w:val="22"/>
          <w:szCs w:val="22"/>
        </w:rPr>
        <w:t>Workers may accrue and use earned paid sick time.</w:t>
      </w:r>
    </w:p>
    <w:p w14:paraId="1C50400D" w14:textId="77777777" w:rsidR="003B29FD" w:rsidRPr="00DD7BD1" w:rsidRDefault="003B29FD" w:rsidP="003B29FD">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4EB38590" w14:textId="77777777" w:rsidR="003B29FD" w:rsidRPr="00DD7BD1" w:rsidRDefault="003B29FD" w:rsidP="00472E17">
      <w:pPr>
        <w:spacing w:after="0" w:line="240" w:lineRule="auto"/>
        <w:jc w:val="both"/>
        <w:rPr>
          <w:rFonts w:ascii="Calibri" w:hAnsi="Calibri" w:cs="Calibri"/>
          <w:b/>
          <w:bCs/>
          <w:color w:val="2E74B5" w:themeColor="accent5" w:themeShade="BF"/>
          <w:sz w:val="2"/>
          <w:szCs w:val="2"/>
          <w:shd w:val="clear" w:color="auto" w:fill="FFFFFF"/>
          <w:lang w:val="en"/>
        </w:rPr>
      </w:pPr>
    </w:p>
    <w:p w14:paraId="4A8202B1" w14:textId="36325B5F" w:rsidR="00F45F26" w:rsidRPr="00DD7BD1" w:rsidRDefault="00F45F26" w:rsidP="00E704B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Montana</w:t>
      </w:r>
    </w:p>
    <w:p w14:paraId="4BF3FEB0" w14:textId="77777777" w:rsidR="00E704B9" w:rsidRPr="00DD7BD1" w:rsidRDefault="00E704B9" w:rsidP="00E704B9">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19A0E167" w14:textId="0C676E91" w:rsidR="00E704B9" w:rsidRPr="00DD7BD1" w:rsidRDefault="00E704B9" w:rsidP="00E704B9">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lastRenderedPageBreak/>
        <w:t xml:space="preserve">On </w:t>
      </w:r>
      <w:r w:rsidRPr="00DD7BD1">
        <w:rPr>
          <w:rFonts w:ascii="Calibri" w:hAnsi="Calibri" w:cs="Calibri"/>
          <w:shd w:val="clear" w:color="auto" w:fill="FFFFFF"/>
        </w:rPr>
        <w:t>January 1, 2026, Montana’s minimum wage will increase to $10.85 per hour. Employers with annual gross sales of $110,000 or less can pay the federal minimum wage.  </w:t>
      </w:r>
    </w:p>
    <w:p w14:paraId="3161F12A" w14:textId="77777777" w:rsidR="00E704B9" w:rsidRPr="00DD7BD1" w:rsidRDefault="00E704B9" w:rsidP="00E704B9">
      <w:pPr>
        <w:spacing w:after="0" w:line="240" w:lineRule="auto"/>
        <w:jc w:val="both"/>
        <w:rPr>
          <w:rFonts w:ascii="Calibri" w:hAnsi="Calibri" w:cs="Calibri"/>
          <w:shd w:val="clear" w:color="auto" w:fill="FFFFFF"/>
          <w:lang w:val="en"/>
        </w:rPr>
      </w:pPr>
    </w:p>
    <w:p w14:paraId="6575A741" w14:textId="4B79A15C" w:rsidR="003A22A9" w:rsidRPr="00DD7BD1" w:rsidRDefault="00E704B9" w:rsidP="00E704B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003A22A9" w:rsidRPr="00DD7BD1">
        <w:rPr>
          <w:rFonts w:ascii="Calibri" w:hAnsi="Calibri" w:cs="Calibri"/>
          <w:b/>
          <w:spacing w:val="-9"/>
          <w:sz w:val="28"/>
        </w:rPr>
        <w:t xml:space="preserve"> </w:t>
      </w:r>
      <w:r w:rsidR="003A22A9" w:rsidRPr="00DD7BD1">
        <w:rPr>
          <w:rFonts w:ascii="Calibri" w:hAnsi="Calibri" w:cs="Calibri"/>
          <w:b/>
          <w:spacing w:val="-6"/>
          <w:sz w:val="28"/>
        </w:rPr>
        <w:t>Adds</w:t>
      </w:r>
      <w:r w:rsidR="003A22A9" w:rsidRPr="00DD7BD1">
        <w:rPr>
          <w:rFonts w:ascii="Calibri" w:hAnsi="Calibri" w:cs="Calibri"/>
          <w:b/>
          <w:spacing w:val="-9"/>
          <w:sz w:val="28"/>
        </w:rPr>
        <w:t xml:space="preserve"> </w:t>
      </w:r>
      <w:r w:rsidR="003A22A9" w:rsidRPr="00DD7BD1">
        <w:rPr>
          <w:rFonts w:ascii="Calibri" w:hAnsi="Calibri" w:cs="Calibri"/>
          <w:b/>
          <w:spacing w:val="-6"/>
          <w:sz w:val="28"/>
        </w:rPr>
        <w:t>Protections</w:t>
      </w:r>
      <w:r w:rsidR="003A22A9" w:rsidRPr="00DD7BD1">
        <w:rPr>
          <w:rFonts w:ascii="Calibri" w:hAnsi="Calibri" w:cs="Calibri"/>
          <w:b/>
          <w:spacing w:val="-12"/>
          <w:sz w:val="28"/>
        </w:rPr>
        <w:t xml:space="preserve"> </w:t>
      </w:r>
      <w:r w:rsidR="003A22A9" w:rsidRPr="00DD7BD1">
        <w:rPr>
          <w:rFonts w:ascii="Calibri" w:hAnsi="Calibri" w:cs="Calibri"/>
          <w:b/>
          <w:spacing w:val="-6"/>
          <w:sz w:val="28"/>
        </w:rPr>
        <w:t>for</w:t>
      </w:r>
      <w:r w:rsidR="003A22A9" w:rsidRPr="00DD7BD1">
        <w:rPr>
          <w:rFonts w:ascii="Calibri" w:hAnsi="Calibri" w:cs="Calibri"/>
          <w:b/>
          <w:spacing w:val="-9"/>
          <w:sz w:val="28"/>
        </w:rPr>
        <w:t xml:space="preserve"> </w:t>
      </w:r>
      <w:r w:rsidR="003A22A9" w:rsidRPr="00DD7BD1">
        <w:rPr>
          <w:rFonts w:ascii="Calibri" w:hAnsi="Calibri" w:cs="Calibri"/>
          <w:b/>
          <w:spacing w:val="-6"/>
          <w:sz w:val="28"/>
        </w:rPr>
        <w:t>Volunteer</w:t>
      </w:r>
      <w:r w:rsidR="003A22A9" w:rsidRPr="00DD7BD1">
        <w:rPr>
          <w:rFonts w:ascii="Calibri" w:hAnsi="Calibri" w:cs="Calibri"/>
          <w:b/>
          <w:spacing w:val="-9"/>
          <w:sz w:val="28"/>
        </w:rPr>
        <w:t xml:space="preserve"> </w:t>
      </w:r>
      <w:r w:rsidR="003A22A9" w:rsidRPr="00DD7BD1">
        <w:rPr>
          <w:rFonts w:ascii="Calibri" w:hAnsi="Calibri" w:cs="Calibri"/>
          <w:b/>
          <w:spacing w:val="-6"/>
          <w:sz w:val="28"/>
        </w:rPr>
        <w:t>Firefighters</w:t>
      </w:r>
      <w:r w:rsidR="003A22A9" w:rsidRPr="00DD7BD1">
        <w:rPr>
          <w:rFonts w:ascii="Calibri" w:hAnsi="Calibri" w:cs="Calibri"/>
          <w:b/>
          <w:spacing w:val="-9"/>
          <w:sz w:val="28"/>
        </w:rPr>
        <w:t xml:space="preserve"> </w:t>
      </w:r>
      <w:r w:rsidR="003A22A9" w:rsidRPr="00DD7BD1">
        <w:rPr>
          <w:rFonts w:ascii="Calibri" w:hAnsi="Calibri" w:cs="Calibri"/>
          <w:b/>
          <w:spacing w:val="-6"/>
          <w:sz w:val="28"/>
        </w:rPr>
        <w:t>and</w:t>
      </w:r>
      <w:r w:rsidR="003A22A9" w:rsidRPr="00DD7BD1">
        <w:rPr>
          <w:rFonts w:ascii="Calibri" w:hAnsi="Calibri" w:cs="Calibri"/>
          <w:b/>
          <w:spacing w:val="-12"/>
          <w:sz w:val="28"/>
        </w:rPr>
        <w:t xml:space="preserve"> </w:t>
      </w:r>
      <w:r w:rsidR="003A22A9" w:rsidRPr="00DD7BD1">
        <w:rPr>
          <w:rFonts w:ascii="Calibri" w:hAnsi="Calibri" w:cs="Calibri"/>
          <w:b/>
          <w:spacing w:val="-6"/>
          <w:sz w:val="28"/>
        </w:rPr>
        <w:t>EMTs</w:t>
      </w:r>
      <w:r w:rsidR="003A22A9" w:rsidRPr="00DD7BD1">
        <w:rPr>
          <w:rFonts w:ascii="Calibri" w:hAnsi="Calibri" w:cs="Calibri"/>
          <w:b/>
          <w:spacing w:val="-11"/>
          <w:sz w:val="28"/>
        </w:rPr>
        <w:t xml:space="preserve"> </w:t>
      </w:r>
      <w:r w:rsidR="003A22A9" w:rsidRPr="00DD7BD1">
        <w:rPr>
          <w:rFonts w:ascii="Calibri" w:hAnsi="Calibri" w:cs="Calibri"/>
          <w:b/>
          <w:spacing w:val="-6"/>
          <w:sz w:val="28"/>
        </w:rPr>
        <w:t>–</w:t>
      </w:r>
      <w:r w:rsidR="003A22A9" w:rsidRPr="00DD7BD1">
        <w:rPr>
          <w:rFonts w:ascii="Calibri" w:hAnsi="Calibri" w:cs="Calibri"/>
          <w:b/>
          <w:spacing w:val="-11"/>
          <w:sz w:val="28"/>
        </w:rPr>
        <w:t xml:space="preserve"> </w:t>
      </w:r>
      <w:r w:rsidR="003A22A9" w:rsidRPr="00DD7BD1">
        <w:rPr>
          <w:rFonts w:ascii="Calibri" w:hAnsi="Calibri" w:cs="Calibri"/>
          <w:b/>
          <w:color w:val="C00000"/>
          <w:spacing w:val="-6"/>
          <w:sz w:val="28"/>
        </w:rPr>
        <w:t>Eff</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Oct</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 xml:space="preserve">1, </w:t>
      </w:r>
      <w:r w:rsidR="003A22A9" w:rsidRPr="00DD7BD1">
        <w:rPr>
          <w:rFonts w:ascii="Calibri" w:hAnsi="Calibri" w:cs="Calibri"/>
          <w:b/>
          <w:color w:val="C00000"/>
          <w:spacing w:val="-4"/>
          <w:sz w:val="28"/>
        </w:rPr>
        <w:t>2025</w:t>
      </w:r>
    </w:p>
    <w:p w14:paraId="6D9E5DB9" w14:textId="77777777" w:rsidR="003A22A9" w:rsidRPr="00DD7BD1" w:rsidRDefault="003A22A9" w:rsidP="003A22A9">
      <w:pPr>
        <w:pStyle w:val="BodyText"/>
        <w:spacing w:after="0" w:line="240" w:lineRule="auto"/>
        <w:ind w:right="-187"/>
        <w:jc w:val="left"/>
        <w:rPr>
          <w:rFonts w:cs="Calibri"/>
          <w:color w:val="auto"/>
          <w:szCs w:val="22"/>
        </w:rPr>
      </w:pPr>
      <w:hyperlink r:id="rId899">
        <w:r w:rsidRPr="00DD7BD1">
          <w:rPr>
            <w:rFonts w:cs="Calibri"/>
            <w:color w:val="0000FF"/>
            <w:w w:val="110"/>
            <w:szCs w:val="22"/>
            <w:u w:val="single" w:color="0000FF"/>
          </w:rPr>
          <w:t>MT</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128</w:t>
        </w:r>
      </w:hyperlink>
      <w:r w:rsidRPr="00DD7BD1">
        <w:rPr>
          <w:rFonts w:cs="Calibri"/>
          <w:color w:val="0000FF"/>
          <w:spacing w:val="-14"/>
          <w:w w:val="110"/>
          <w:szCs w:val="22"/>
        </w:rPr>
        <w:t xml:space="preserve"> </w:t>
      </w:r>
      <w:r w:rsidRPr="00DD7BD1">
        <w:rPr>
          <w:rFonts w:cs="Calibri"/>
          <w:color w:val="auto"/>
          <w:w w:val="110"/>
          <w:szCs w:val="22"/>
        </w:rPr>
        <w:t>was</w:t>
      </w:r>
      <w:r w:rsidRPr="00DD7BD1">
        <w:rPr>
          <w:rFonts w:cs="Calibri"/>
          <w:color w:val="auto"/>
          <w:spacing w:val="-7"/>
          <w:w w:val="110"/>
          <w:szCs w:val="22"/>
        </w:rPr>
        <w:t xml:space="preserve"> </w:t>
      </w:r>
      <w:r w:rsidRPr="00DD7BD1">
        <w:rPr>
          <w:rFonts w:cs="Calibri"/>
          <w:color w:val="auto"/>
          <w:w w:val="110"/>
          <w:szCs w:val="22"/>
        </w:rPr>
        <w:t>signed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governor</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8"/>
          <w:w w:val="110"/>
          <w:szCs w:val="22"/>
        </w:rPr>
        <w:t xml:space="preserve"> </w:t>
      </w:r>
      <w:r w:rsidRPr="00DD7BD1">
        <w:rPr>
          <w:rFonts w:cs="Calibri"/>
          <w:color w:val="auto"/>
          <w:w w:val="110"/>
          <w:szCs w:val="22"/>
        </w:rPr>
        <w:t>April</w:t>
      </w:r>
      <w:r w:rsidRPr="00DD7BD1">
        <w:rPr>
          <w:rFonts w:cs="Calibri"/>
          <w:color w:val="auto"/>
          <w:spacing w:val="-8"/>
          <w:w w:val="110"/>
          <w:szCs w:val="22"/>
        </w:rPr>
        <w:t xml:space="preserve"> </w:t>
      </w:r>
      <w:r w:rsidRPr="00DD7BD1">
        <w:rPr>
          <w:rFonts w:cs="Calibri"/>
          <w:color w:val="auto"/>
          <w:w w:val="110"/>
          <w:szCs w:val="22"/>
        </w:rPr>
        <w:t>16,</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Beginning</w:t>
      </w:r>
      <w:r w:rsidRPr="00DD7BD1">
        <w:rPr>
          <w:rFonts w:cs="Calibri"/>
          <w:color w:val="auto"/>
          <w:spacing w:val="-8"/>
          <w:w w:val="110"/>
          <w:szCs w:val="22"/>
        </w:rPr>
        <w:t xml:space="preserve"> </w:t>
      </w:r>
      <w:r w:rsidRPr="00DD7BD1">
        <w:rPr>
          <w:rFonts w:cs="Calibri"/>
          <w:color w:val="auto"/>
          <w:w w:val="110"/>
          <w:szCs w:val="22"/>
        </w:rPr>
        <w:t>October</w:t>
      </w:r>
      <w:r w:rsidRPr="00DD7BD1">
        <w:rPr>
          <w:rFonts w:cs="Calibri"/>
          <w:color w:val="auto"/>
          <w:spacing w:val="-7"/>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2025,</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sizes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8"/>
          <w:w w:val="110"/>
          <w:szCs w:val="22"/>
        </w:rPr>
        <w:t xml:space="preserve"> </w:t>
      </w:r>
      <w:r w:rsidRPr="00DD7BD1">
        <w:rPr>
          <w:rFonts w:cs="Calibri"/>
          <w:color w:val="auto"/>
          <w:spacing w:val="-5"/>
          <w:w w:val="110"/>
          <w:szCs w:val="22"/>
        </w:rPr>
        <w:t>be</w:t>
      </w:r>
      <w:r w:rsidRPr="00DD7BD1">
        <w:rPr>
          <w:rFonts w:cs="Calibri"/>
          <w:color w:val="auto"/>
          <w:szCs w:val="22"/>
        </w:rPr>
        <w:t xml:space="preserve"> </w:t>
      </w:r>
      <w:r w:rsidRPr="00DD7BD1">
        <w:rPr>
          <w:rFonts w:cs="Calibri"/>
          <w:color w:val="auto"/>
          <w:spacing w:val="-2"/>
          <w:w w:val="110"/>
          <w:szCs w:val="22"/>
        </w:rPr>
        <w:t>prohibited</w:t>
      </w:r>
      <w:r w:rsidRPr="00DD7BD1">
        <w:rPr>
          <w:rFonts w:cs="Calibri"/>
          <w:color w:val="auto"/>
          <w:spacing w:val="-6"/>
          <w:w w:val="110"/>
          <w:szCs w:val="22"/>
        </w:rPr>
        <w:t xml:space="preserve"> </w:t>
      </w:r>
      <w:r w:rsidRPr="00DD7BD1">
        <w:rPr>
          <w:rFonts w:cs="Calibri"/>
          <w:color w:val="auto"/>
          <w:spacing w:val="-2"/>
          <w:w w:val="110"/>
          <w:szCs w:val="22"/>
        </w:rPr>
        <w:t>from</w:t>
      </w:r>
      <w:r w:rsidRPr="00DD7BD1">
        <w:rPr>
          <w:rFonts w:cs="Calibri"/>
          <w:color w:val="auto"/>
          <w:spacing w:val="-1"/>
          <w:w w:val="110"/>
          <w:szCs w:val="22"/>
        </w:rPr>
        <w:t xml:space="preserve"> </w:t>
      </w:r>
      <w:r w:rsidRPr="00DD7BD1">
        <w:rPr>
          <w:rFonts w:cs="Calibri"/>
          <w:color w:val="auto"/>
          <w:spacing w:val="-2"/>
          <w:w w:val="110"/>
          <w:szCs w:val="22"/>
        </w:rPr>
        <w:t>terminating</w:t>
      </w:r>
      <w:r w:rsidRPr="00DD7BD1">
        <w:rPr>
          <w:rFonts w:cs="Calibri"/>
          <w:color w:val="auto"/>
          <w:spacing w:val="-4"/>
          <w:w w:val="110"/>
          <w:szCs w:val="22"/>
        </w:rPr>
        <w:t xml:space="preserve"> </w:t>
      </w:r>
      <w:r w:rsidRPr="00DD7BD1">
        <w:rPr>
          <w:rFonts w:cs="Calibri"/>
          <w:color w:val="auto"/>
          <w:spacing w:val="-2"/>
          <w:w w:val="110"/>
          <w:szCs w:val="22"/>
        </w:rPr>
        <w:t>employees</w:t>
      </w:r>
      <w:r w:rsidRPr="00DD7BD1">
        <w:rPr>
          <w:rFonts w:cs="Calibri"/>
          <w:color w:val="auto"/>
          <w:spacing w:val="-3"/>
          <w:w w:val="110"/>
          <w:szCs w:val="22"/>
        </w:rPr>
        <w:t xml:space="preserve"> </w:t>
      </w:r>
      <w:r w:rsidRPr="00DD7BD1">
        <w:rPr>
          <w:rFonts w:cs="Calibri"/>
          <w:color w:val="auto"/>
          <w:spacing w:val="-2"/>
          <w:w w:val="110"/>
          <w:szCs w:val="22"/>
        </w:rPr>
        <w:t>because they’re volunteer</w:t>
      </w:r>
      <w:r w:rsidRPr="00DD7BD1">
        <w:rPr>
          <w:rFonts w:cs="Calibri"/>
          <w:color w:val="auto"/>
          <w:spacing w:val="-6"/>
          <w:w w:val="110"/>
          <w:szCs w:val="22"/>
        </w:rPr>
        <w:t xml:space="preserve"> </w:t>
      </w:r>
      <w:r w:rsidRPr="00DD7BD1">
        <w:rPr>
          <w:rFonts w:cs="Calibri"/>
          <w:color w:val="auto"/>
          <w:spacing w:val="-2"/>
          <w:w w:val="110"/>
          <w:szCs w:val="22"/>
        </w:rPr>
        <w:t>emergency</w:t>
      </w:r>
      <w:r w:rsidRPr="00DD7BD1">
        <w:rPr>
          <w:rFonts w:cs="Calibri"/>
          <w:color w:val="auto"/>
          <w:spacing w:val="-4"/>
          <w:w w:val="110"/>
          <w:szCs w:val="22"/>
        </w:rPr>
        <w:t xml:space="preserve"> </w:t>
      </w:r>
      <w:r w:rsidRPr="00DD7BD1">
        <w:rPr>
          <w:rFonts w:cs="Calibri"/>
          <w:color w:val="auto"/>
          <w:spacing w:val="-2"/>
          <w:w w:val="110"/>
          <w:szCs w:val="22"/>
        </w:rPr>
        <w:t>services</w:t>
      </w:r>
      <w:r w:rsidRPr="00DD7BD1">
        <w:rPr>
          <w:rFonts w:cs="Calibri"/>
          <w:color w:val="auto"/>
          <w:spacing w:val="-1"/>
          <w:w w:val="110"/>
          <w:szCs w:val="22"/>
        </w:rPr>
        <w:t xml:space="preserve"> </w:t>
      </w:r>
      <w:r w:rsidRPr="00DD7BD1">
        <w:rPr>
          <w:rFonts w:cs="Calibri"/>
          <w:color w:val="auto"/>
          <w:spacing w:val="-2"/>
          <w:w w:val="110"/>
          <w:szCs w:val="22"/>
        </w:rPr>
        <w:t>providers.</w:t>
      </w:r>
    </w:p>
    <w:p w14:paraId="6F7E7EBC" w14:textId="77777777" w:rsidR="003A22A9" w:rsidRPr="00DD7BD1" w:rsidRDefault="003A22A9" w:rsidP="003A22A9">
      <w:pPr>
        <w:pStyle w:val="BodyText"/>
        <w:spacing w:after="0" w:line="240" w:lineRule="auto"/>
        <w:ind w:right="-187"/>
        <w:jc w:val="left"/>
        <w:rPr>
          <w:rFonts w:cs="Calibri"/>
          <w:color w:val="auto"/>
          <w:szCs w:val="22"/>
        </w:rPr>
      </w:pPr>
    </w:p>
    <w:p w14:paraId="62D0EE4D"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w:t>
      </w:r>
      <w:r w:rsidRPr="00DD7BD1">
        <w:rPr>
          <w:rFonts w:cs="Calibri"/>
          <w:color w:val="auto"/>
          <w:spacing w:val="-18"/>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prohibited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5"/>
          <w:w w:val="110"/>
          <w:szCs w:val="22"/>
        </w:rPr>
        <w:t xml:space="preserve"> </w:t>
      </w:r>
      <w:r w:rsidRPr="00DD7BD1">
        <w:rPr>
          <w:rFonts w:cs="Calibri"/>
          <w:color w:val="auto"/>
          <w:w w:val="110"/>
          <w:szCs w:val="22"/>
        </w:rPr>
        <w:t>terminating</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when</w:t>
      </w:r>
      <w:r w:rsidRPr="00DD7BD1">
        <w:rPr>
          <w:rFonts w:cs="Calibri"/>
          <w:color w:val="auto"/>
          <w:spacing w:val="-15"/>
          <w:w w:val="110"/>
          <w:szCs w:val="22"/>
        </w:rPr>
        <w:t xml:space="preserve"> </w:t>
      </w:r>
      <w:r w:rsidRPr="00DD7BD1">
        <w:rPr>
          <w:rFonts w:cs="Calibri"/>
          <w:color w:val="auto"/>
          <w:w w:val="110"/>
          <w:szCs w:val="22"/>
        </w:rPr>
        <w:t>they’re</w:t>
      </w:r>
      <w:r w:rsidRPr="00DD7BD1">
        <w:rPr>
          <w:rFonts w:cs="Calibri"/>
          <w:color w:val="auto"/>
          <w:spacing w:val="-14"/>
          <w:w w:val="110"/>
          <w:szCs w:val="22"/>
        </w:rPr>
        <w:t xml:space="preserve"> </w:t>
      </w:r>
      <w:r w:rsidRPr="00DD7BD1">
        <w:rPr>
          <w:rFonts w:cs="Calibri"/>
          <w:color w:val="auto"/>
          <w:w w:val="110"/>
          <w:szCs w:val="22"/>
        </w:rPr>
        <w:t>late</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work</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absent</w:t>
      </w:r>
      <w:r w:rsidRPr="00DD7BD1">
        <w:rPr>
          <w:rFonts w:cs="Calibri"/>
          <w:color w:val="auto"/>
          <w:spacing w:val="-16"/>
          <w:w w:val="110"/>
          <w:szCs w:val="22"/>
        </w:rPr>
        <w:t xml:space="preserve"> </w:t>
      </w:r>
      <w:r w:rsidRPr="00DD7BD1">
        <w:rPr>
          <w:rFonts w:cs="Calibri"/>
          <w:color w:val="auto"/>
          <w:w w:val="110"/>
          <w:szCs w:val="22"/>
        </w:rPr>
        <w:t>due</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acting</w:t>
      </w:r>
      <w:r w:rsidRPr="00DD7BD1">
        <w:rPr>
          <w:rFonts w:cs="Calibri"/>
          <w:color w:val="auto"/>
          <w:spacing w:val="-15"/>
          <w:w w:val="110"/>
          <w:szCs w:val="22"/>
        </w:rPr>
        <w:t xml:space="preserve"> </w:t>
      </w:r>
      <w:r w:rsidRPr="00DD7BD1">
        <w:rPr>
          <w:rFonts w:cs="Calibri"/>
          <w:color w:val="auto"/>
          <w:spacing w:val="-5"/>
          <w:w w:val="110"/>
          <w:szCs w:val="22"/>
        </w:rPr>
        <w:t xml:space="preserve">in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capacity.</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i/>
          <w:color w:val="auto"/>
          <w:w w:val="110"/>
          <w:szCs w:val="22"/>
        </w:rPr>
        <w:t>volunteer</w:t>
      </w:r>
      <w:r w:rsidRPr="00DD7BD1">
        <w:rPr>
          <w:rFonts w:cs="Calibri"/>
          <w:i/>
          <w:color w:val="auto"/>
          <w:spacing w:val="-7"/>
          <w:w w:val="110"/>
          <w:szCs w:val="22"/>
        </w:rPr>
        <w:t xml:space="preserve"> </w:t>
      </w:r>
      <w:r w:rsidRPr="00DD7BD1">
        <w:rPr>
          <w:rFonts w:cs="Calibri"/>
          <w:i/>
          <w:color w:val="auto"/>
          <w:w w:val="110"/>
          <w:szCs w:val="22"/>
        </w:rPr>
        <w:t>emergency</w:t>
      </w:r>
      <w:r w:rsidRPr="00DD7BD1">
        <w:rPr>
          <w:rFonts w:cs="Calibri"/>
          <w:i/>
          <w:color w:val="auto"/>
          <w:spacing w:val="-7"/>
          <w:w w:val="110"/>
          <w:szCs w:val="22"/>
        </w:rPr>
        <w:t xml:space="preserve"> </w:t>
      </w:r>
      <w:r w:rsidRPr="00DD7BD1">
        <w:rPr>
          <w:rFonts w:cs="Calibri"/>
          <w:i/>
          <w:color w:val="auto"/>
          <w:w w:val="110"/>
          <w:szCs w:val="22"/>
        </w:rPr>
        <w:t>services</w:t>
      </w:r>
      <w:r w:rsidRPr="00DD7BD1">
        <w:rPr>
          <w:rFonts w:cs="Calibri"/>
          <w:i/>
          <w:color w:val="auto"/>
          <w:spacing w:val="-7"/>
          <w:w w:val="110"/>
          <w:szCs w:val="22"/>
        </w:rPr>
        <w:t xml:space="preserve"> </w:t>
      </w:r>
      <w:r w:rsidRPr="00DD7BD1">
        <w:rPr>
          <w:rFonts w:cs="Calibri"/>
          <w:i/>
          <w:color w:val="auto"/>
          <w:w w:val="110"/>
          <w:szCs w:val="22"/>
        </w:rPr>
        <w:t>provider</w:t>
      </w:r>
      <w:r w:rsidRPr="00DD7BD1">
        <w:rPr>
          <w:rFonts w:cs="Calibri"/>
          <w:i/>
          <w:color w:val="auto"/>
          <w:spacing w:val="6"/>
          <w:w w:val="110"/>
          <w:szCs w:val="22"/>
        </w:rPr>
        <w:t xml:space="preserve"> </w:t>
      </w:r>
      <w:r w:rsidRPr="00DD7BD1">
        <w:rPr>
          <w:rFonts w:cs="Calibri"/>
          <w:color w:val="auto"/>
          <w:w w:val="110"/>
          <w:szCs w:val="22"/>
        </w:rPr>
        <w:t>means</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firefighter</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medical</w:t>
      </w:r>
      <w:r w:rsidRPr="00DD7BD1">
        <w:rPr>
          <w:rFonts w:cs="Calibri"/>
          <w:color w:val="auto"/>
          <w:spacing w:val="-8"/>
          <w:w w:val="110"/>
          <w:szCs w:val="22"/>
        </w:rPr>
        <w:t xml:space="preserve"> </w:t>
      </w:r>
      <w:r w:rsidRPr="00DD7BD1">
        <w:rPr>
          <w:rFonts w:cs="Calibri"/>
          <w:color w:val="auto"/>
          <w:spacing w:val="-2"/>
          <w:w w:val="110"/>
          <w:szCs w:val="22"/>
        </w:rPr>
        <w:t>technician.</w:t>
      </w:r>
    </w:p>
    <w:p w14:paraId="0452F17E" w14:textId="77777777" w:rsidR="003A22A9" w:rsidRPr="00DD7BD1" w:rsidRDefault="003A22A9" w:rsidP="003A22A9">
      <w:pPr>
        <w:pStyle w:val="BodyText"/>
        <w:spacing w:after="0" w:line="240" w:lineRule="auto"/>
        <w:ind w:right="-187"/>
        <w:jc w:val="left"/>
        <w:rPr>
          <w:rFonts w:cs="Calibri"/>
          <w:color w:val="auto"/>
          <w:w w:val="110"/>
          <w:sz w:val="16"/>
          <w:szCs w:val="16"/>
        </w:rPr>
      </w:pPr>
    </w:p>
    <w:p w14:paraId="7D07295D" w14:textId="77777777"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4"/>
          <w:w w:val="110"/>
          <w:szCs w:val="22"/>
        </w:rPr>
        <w:t xml:space="preserve"> </w:t>
      </w:r>
      <w:r w:rsidRPr="00DD7BD1">
        <w:rPr>
          <w:rFonts w:cs="Calibri"/>
          <w:color w:val="auto"/>
          <w:w w:val="110"/>
          <w:szCs w:val="22"/>
        </w:rPr>
        <w:t>decide</w:t>
      </w:r>
      <w:r w:rsidRPr="00DD7BD1">
        <w:rPr>
          <w:rFonts w:cs="Calibri"/>
          <w:color w:val="auto"/>
          <w:spacing w:val="-14"/>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respond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emergency</w:t>
      </w:r>
      <w:r w:rsidRPr="00DD7BD1">
        <w:rPr>
          <w:rFonts w:cs="Calibri"/>
          <w:color w:val="auto"/>
          <w:spacing w:val="-14"/>
          <w:w w:val="110"/>
          <w:szCs w:val="22"/>
        </w:rPr>
        <w:t xml:space="preserve"> </w:t>
      </w:r>
      <w:r w:rsidRPr="00DD7BD1">
        <w:rPr>
          <w:rFonts w:cs="Calibri"/>
          <w:color w:val="auto"/>
          <w:w w:val="110"/>
          <w:szCs w:val="22"/>
        </w:rPr>
        <w:t>if</w:t>
      </w:r>
      <w:r w:rsidRPr="00DD7BD1">
        <w:rPr>
          <w:rFonts w:cs="Calibri"/>
          <w:color w:val="auto"/>
          <w:spacing w:val="-15"/>
          <w:w w:val="110"/>
          <w:szCs w:val="22"/>
        </w:rPr>
        <w:t xml:space="preserve"> </w:t>
      </w:r>
      <w:r w:rsidRPr="00DD7BD1">
        <w:rPr>
          <w:rFonts w:cs="Calibri"/>
          <w:color w:val="auto"/>
          <w:w w:val="110"/>
          <w:szCs w:val="22"/>
        </w:rPr>
        <w:t>they’ve</w:t>
      </w:r>
      <w:r w:rsidRPr="00DD7BD1">
        <w:rPr>
          <w:rFonts w:cs="Calibri"/>
          <w:color w:val="auto"/>
          <w:spacing w:val="-14"/>
          <w:w w:val="110"/>
          <w:szCs w:val="22"/>
        </w:rPr>
        <w:t xml:space="preserve"> </w:t>
      </w:r>
      <w:r w:rsidRPr="00DD7BD1">
        <w:rPr>
          <w:rFonts w:cs="Calibri"/>
          <w:color w:val="auto"/>
          <w:w w:val="110"/>
          <w:szCs w:val="22"/>
        </w:rPr>
        <w:t>already started</w:t>
      </w:r>
      <w:r w:rsidRPr="00DD7BD1">
        <w:rPr>
          <w:rFonts w:cs="Calibri"/>
          <w:color w:val="auto"/>
          <w:spacing w:val="-11"/>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workday.</w:t>
      </w:r>
      <w:r w:rsidRPr="00DD7BD1">
        <w:rPr>
          <w:rFonts w:cs="Calibri"/>
          <w:color w:val="auto"/>
          <w:spacing w:val="-12"/>
          <w:w w:val="110"/>
          <w:szCs w:val="22"/>
        </w:rPr>
        <w:t xml:space="preserve"> </w:t>
      </w:r>
      <w:r w:rsidRPr="00DD7BD1">
        <w:rPr>
          <w:rFonts w:cs="Calibri"/>
          <w:color w:val="auto"/>
          <w:w w:val="110"/>
          <w:szCs w:val="22"/>
        </w:rPr>
        <w:t>Additionally,</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require</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request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receive</w:t>
      </w:r>
      <w:r w:rsidRPr="00DD7BD1">
        <w:rPr>
          <w:rFonts w:cs="Calibri"/>
          <w:color w:val="auto"/>
          <w:spacing w:val="-11"/>
          <w:w w:val="110"/>
          <w:szCs w:val="22"/>
        </w:rPr>
        <w:t xml:space="preserve"> </w:t>
      </w:r>
      <w:r w:rsidRPr="00DD7BD1">
        <w:rPr>
          <w:rFonts w:cs="Calibri"/>
          <w:color w:val="auto"/>
          <w:w w:val="110"/>
          <w:szCs w:val="22"/>
        </w:rPr>
        <w:t>permission</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late or</w:t>
      </w:r>
      <w:r w:rsidRPr="00DD7BD1">
        <w:rPr>
          <w:rFonts w:cs="Calibri"/>
          <w:color w:val="auto"/>
          <w:spacing w:val="-6"/>
          <w:w w:val="110"/>
          <w:szCs w:val="22"/>
        </w:rPr>
        <w:t xml:space="preserve"> </w:t>
      </w:r>
      <w:r w:rsidRPr="00DD7BD1">
        <w:rPr>
          <w:rFonts w:cs="Calibri"/>
          <w:color w:val="auto"/>
          <w:w w:val="110"/>
          <w:szCs w:val="22"/>
        </w:rPr>
        <w:t>absent</w:t>
      </w:r>
      <w:r w:rsidRPr="00DD7BD1">
        <w:rPr>
          <w:rFonts w:cs="Calibri"/>
          <w:color w:val="auto"/>
          <w:spacing w:val="-6"/>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6"/>
          <w:w w:val="110"/>
          <w:szCs w:val="22"/>
        </w:rPr>
        <w:t xml:space="preserve"> </w:t>
      </w:r>
      <w:r w:rsidRPr="00DD7BD1">
        <w:rPr>
          <w:rFonts w:cs="Calibri"/>
          <w:color w:val="auto"/>
          <w:w w:val="110"/>
          <w:szCs w:val="22"/>
        </w:rPr>
        <w:t>absence</w:t>
      </w:r>
      <w:r w:rsidRPr="00DD7BD1">
        <w:rPr>
          <w:rFonts w:cs="Calibri"/>
          <w:color w:val="auto"/>
          <w:spacing w:val="-5"/>
          <w:w w:val="110"/>
          <w:szCs w:val="22"/>
        </w:rPr>
        <w:t xml:space="preserve"> </w:t>
      </w:r>
      <w:proofErr w:type="gramStart"/>
      <w:r w:rsidRPr="00DD7BD1">
        <w:rPr>
          <w:rFonts w:cs="Calibri"/>
          <w:color w:val="auto"/>
          <w:w w:val="110"/>
          <w:szCs w:val="22"/>
        </w:rPr>
        <w:t>would</w:t>
      </w:r>
      <w:r w:rsidRPr="00DD7BD1">
        <w:rPr>
          <w:rFonts w:cs="Calibri"/>
          <w:color w:val="auto"/>
          <w:spacing w:val="-6"/>
          <w:w w:val="110"/>
          <w:szCs w:val="22"/>
        </w:rPr>
        <w:t xml:space="preserve"> </w:t>
      </w:r>
      <w:r w:rsidRPr="00DD7BD1">
        <w:rPr>
          <w:rFonts w:cs="Calibri"/>
          <w:color w:val="auto"/>
          <w:w w:val="110"/>
          <w:szCs w:val="22"/>
        </w:rPr>
        <w:t>pose</w:t>
      </w:r>
      <w:proofErr w:type="gramEnd"/>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risk</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6"/>
          <w:w w:val="110"/>
          <w:szCs w:val="22"/>
        </w:rPr>
        <w:t xml:space="preserve"> </w:t>
      </w:r>
      <w:r w:rsidRPr="00DD7BD1">
        <w:rPr>
          <w:rFonts w:cs="Calibri"/>
          <w:color w:val="auto"/>
          <w:w w:val="110"/>
          <w:szCs w:val="22"/>
        </w:rPr>
        <w:t>safety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prevent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performing</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 xml:space="preserve">essential function. Employers don’t need to extend these protections to employees in their probationary period but certainly </w:t>
      </w:r>
      <w:r w:rsidRPr="00DD7BD1">
        <w:rPr>
          <w:rFonts w:cs="Calibri"/>
          <w:i/>
          <w:color w:val="auto"/>
          <w:w w:val="110"/>
          <w:szCs w:val="22"/>
        </w:rPr>
        <w:t xml:space="preserve">can </w:t>
      </w:r>
      <w:r w:rsidRPr="00DD7BD1">
        <w:rPr>
          <w:rFonts w:cs="Calibri"/>
          <w:color w:val="auto"/>
          <w:w w:val="110"/>
          <w:szCs w:val="22"/>
        </w:rPr>
        <w:t>in the interest of public safety.</w:t>
      </w:r>
    </w:p>
    <w:p w14:paraId="16CAD6A4" w14:textId="77777777" w:rsidR="003A22A9" w:rsidRPr="00DD7BD1" w:rsidRDefault="003A22A9" w:rsidP="003A22A9">
      <w:pPr>
        <w:pStyle w:val="BodyText"/>
        <w:spacing w:after="0" w:line="240" w:lineRule="auto"/>
        <w:ind w:right="-187"/>
        <w:jc w:val="left"/>
        <w:rPr>
          <w:rFonts w:cs="Calibri"/>
          <w:color w:val="auto"/>
          <w:sz w:val="16"/>
          <w:szCs w:val="16"/>
        </w:rPr>
      </w:pPr>
    </w:p>
    <w:p w14:paraId="7E98FCCF"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 can require notice that an employee is a volunteer emergency service provider and can also request</w:t>
      </w:r>
      <w:r w:rsidRPr="00DD7BD1">
        <w:rPr>
          <w:rFonts w:cs="Calibri"/>
          <w:color w:val="auto"/>
          <w:spacing w:val="-1"/>
          <w:w w:val="110"/>
          <w:szCs w:val="22"/>
        </w:rPr>
        <w:t xml:space="preserve"> </w:t>
      </w:r>
      <w:r w:rsidRPr="00DD7BD1">
        <w:rPr>
          <w:rFonts w:cs="Calibri"/>
          <w:color w:val="auto"/>
          <w:w w:val="110"/>
          <w:szCs w:val="22"/>
        </w:rPr>
        <w:t>a note</w:t>
      </w:r>
      <w:r w:rsidRPr="00DD7BD1">
        <w:rPr>
          <w:rFonts w:cs="Calibri"/>
          <w:color w:val="auto"/>
          <w:spacing w:val="-3"/>
          <w:w w:val="110"/>
          <w:szCs w:val="22"/>
        </w:rPr>
        <w:t xml:space="preserve"> </w:t>
      </w:r>
      <w:r w:rsidRPr="00DD7BD1">
        <w:rPr>
          <w:rFonts w:cs="Calibri"/>
          <w:color w:val="auto"/>
          <w:w w:val="110"/>
          <w:szCs w:val="22"/>
        </w:rPr>
        <w:t>from</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emergency</w:t>
      </w:r>
      <w:r w:rsidRPr="00DD7BD1">
        <w:rPr>
          <w:rFonts w:cs="Calibri"/>
          <w:color w:val="auto"/>
          <w:spacing w:val="-2"/>
          <w:w w:val="110"/>
          <w:szCs w:val="22"/>
        </w:rPr>
        <w:t xml:space="preserve"> </w:t>
      </w:r>
      <w:r w:rsidRPr="00DD7BD1">
        <w:rPr>
          <w:rFonts w:cs="Calibri"/>
          <w:color w:val="auto"/>
          <w:w w:val="110"/>
          <w:szCs w:val="22"/>
        </w:rPr>
        <w:t>response</w:t>
      </w:r>
      <w:r w:rsidRPr="00DD7BD1">
        <w:rPr>
          <w:rFonts w:cs="Calibri"/>
          <w:color w:val="auto"/>
          <w:spacing w:val="-5"/>
          <w:w w:val="110"/>
          <w:szCs w:val="22"/>
        </w:rPr>
        <w:t xml:space="preserve"> </w:t>
      </w:r>
      <w:r w:rsidRPr="00DD7BD1">
        <w:rPr>
          <w:rFonts w:cs="Calibri"/>
          <w:color w:val="auto"/>
          <w:w w:val="110"/>
          <w:szCs w:val="22"/>
        </w:rPr>
        <w:t>supervisor</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they</w:t>
      </w:r>
      <w:r w:rsidRPr="00DD7BD1">
        <w:rPr>
          <w:rFonts w:cs="Calibri"/>
          <w:color w:val="auto"/>
          <w:spacing w:val="-2"/>
          <w:w w:val="110"/>
          <w:szCs w:val="22"/>
        </w:rPr>
        <w:t xml:space="preserve"> </w:t>
      </w:r>
      <w:r w:rsidRPr="00DD7BD1">
        <w:rPr>
          <w:rFonts w:cs="Calibri"/>
          <w:color w:val="auto"/>
          <w:w w:val="110"/>
          <w:szCs w:val="22"/>
        </w:rPr>
        <w:t>missed</w:t>
      </w:r>
      <w:r w:rsidRPr="00DD7BD1">
        <w:rPr>
          <w:rFonts w:cs="Calibri"/>
          <w:color w:val="auto"/>
          <w:spacing w:val="-3"/>
          <w:w w:val="110"/>
          <w:szCs w:val="22"/>
        </w:rPr>
        <w:t xml:space="preserve"> </w:t>
      </w:r>
      <w:r w:rsidRPr="00DD7BD1">
        <w:rPr>
          <w:rFonts w:cs="Calibri"/>
          <w:color w:val="auto"/>
          <w:w w:val="110"/>
          <w:szCs w:val="22"/>
        </w:rPr>
        <w:t>work</w:t>
      </w:r>
      <w:r w:rsidRPr="00DD7BD1">
        <w:rPr>
          <w:rFonts w:cs="Calibri"/>
          <w:color w:val="auto"/>
          <w:spacing w:val="-3"/>
          <w:w w:val="110"/>
          <w:szCs w:val="22"/>
        </w:rPr>
        <w:t xml:space="preserve"> </w:t>
      </w:r>
      <w:r w:rsidRPr="00DD7BD1">
        <w:rPr>
          <w:rFonts w:cs="Calibri"/>
          <w:color w:val="auto"/>
          <w:w w:val="110"/>
          <w:szCs w:val="22"/>
        </w:rPr>
        <w:t>during</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given</w:t>
      </w:r>
      <w:r w:rsidRPr="00DD7BD1">
        <w:rPr>
          <w:rFonts w:cs="Calibri"/>
          <w:color w:val="auto"/>
          <w:spacing w:val="-3"/>
          <w:w w:val="110"/>
          <w:szCs w:val="22"/>
        </w:rPr>
        <w:t xml:space="preserve"> </w:t>
      </w:r>
      <w:r w:rsidRPr="00DD7BD1">
        <w:rPr>
          <w:rFonts w:cs="Calibri"/>
          <w:color w:val="auto"/>
          <w:w w:val="110"/>
          <w:szCs w:val="22"/>
        </w:rPr>
        <w:t>day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time</w:t>
      </w:r>
      <w:r w:rsidRPr="00DD7BD1">
        <w:rPr>
          <w:rFonts w:cs="Calibri"/>
          <w:color w:val="auto"/>
          <w:spacing w:val="-3"/>
          <w:w w:val="110"/>
          <w:szCs w:val="22"/>
        </w:rPr>
        <w:t xml:space="preserve"> </w:t>
      </w:r>
      <w:r w:rsidRPr="00DD7BD1">
        <w:rPr>
          <w:rFonts w:cs="Calibri"/>
          <w:color w:val="auto"/>
          <w:w w:val="110"/>
          <w:szCs w:val="22"/>
        </w:rPr>
        <w:t>due to</w:t>
      </w:r>
      <w:r w:rsidRPr="00DD7BD1">
        <w:rPr>
          <w:rFonts w:cs="Calibri"/>
          <w:color w:val="auto"/>
          <w:spacing w:val="-2"/>
          <w:w w:val="110"/>
          <w:szCs w:val="22"/>
        </w:rPr>
        <w:t xml:space="preserve"> </w:t>
      </w:r>
      <w:r w:rsidRPr="00DD7BD1">
        <w:rPr>
          <w:rFonts w:cs="Calibri"/>
          <w:color w:val="auto"/>
          <w:w w:val="110"/>
          <w:szCs w:val="22"/>
        </w:rPr>
        <w:t>service.</w:t>
      </w:r>
    </w:p>
    <w:p w14:paraId="4E2789FC" w14:textId="77777777" w:rsidR="003A22A9" w:rsidRPr="00DD7BD1" w:rsidRDefault="003A22A9" w:rsidP="003A22A9">
      <w:pPr>
        <w:pStyle w:val="BodyText"/>
        <w:spacing w:after="0" w:line="240" w:lineRule="auto"/>
        <w:ind w:right="-187"/>
        <w:jc w:val="left"/>
        <w:rPr>
          <w:rFonts w:cs="Calibri"/>
          <w:color w:val="auto"/>
          <w:sz w:val="16"/>
          <w:szCs w:val="16"/>
        </w:rPr>
      </w:pPr>
    </w:p>
    <w:p w14:paraId="517403A5" w14:textId="359897EA"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ETC is releasing an updated State Handbook Addendum to address this new state change alongside the Aug/Sept HR</w:t>
      </w:r>
      <w:r w:rsidRPr="00DD7BD1">
        <w:rPr>
          <w:rFonts w:cs="Calibri"/>
          <w:color w:val="auto"/>
          <w:spacing w:val="-2"/>
          <w:w w:val="110"/>
          <w:szCs w:val="22"/>
        </w:rPr>
        <w:t xml:space="preserve"> </w:t>
      </w:r>
      <w:r w:rsidRPr="00DD7BD1">
        <w:rPr>
          <w:rFonts w:cs="Calibri"/>
          <w:color w:val="auto"/>
          <w:w w:val="110"/>
          <w:szCs w:val="22"/>
        </w:rPr>
        <w:t>WIRE.</w:t>
      </w:r>
    </w:p>
    <w:p w14:paraId="7F07F713" w14:textId="77777777" w:rsidR="003A22A9" w:rsidRPr="00DD7BD1" w:rsidRDefault="003A22A9" w:rsidP="003A22A9">
      <w:pPr>
        <w:pStyle w:val="BodyText"/>
        <w:spacing w:after="0" w:line="240" w:lineRule="auto"/>
        <w:ind w:right="-187"/>
        <w:jc w:val="left"/>
        <w:rPr>
          <w:rFonts w:cs="Calibri"/>
          <w:color w:val="auto"/>
          <w:szCs w:val="22"/>
        </w:rPr>
      </w:pPr>
    </w:p>
    <w:p w14:paraId="40479311" w14:textId="3CC0F496"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Protections for Elected Officials – </w:t>
      </w:r>
      <w:r w:rsidRPr="00DD7BD1">
        <w:rPr>
          <w:rFonts w:ascii="Calibri" w:hAnsi="Calibri" w:cs="Calibri"/>
          <w:b/>
          <w:bCs/>
          <w:color w:val="C00000"/>
          <w:sz w:val="28"/>
          <w:szCs w:val="28"/>
          <w:shd w:val="clear" w:color="auto" w:fill="FFFFFF"/>
          <w:lang w:val="en"/>
        </w:rPr>
        <w:t>Retro Effective Date Jan 1, 2025</w:t>
      </w:r>
    </w:p>
    <w:p w14:paraId="379F4BD0" w14:textId="4D4331D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This law was made retroactively effective to January 1, 2025.</w:t>
      </w:r>
    </w:p>
    <w:p w14:paraId="16C8B812" w14:textId="2B688C56" w:rsidR="00F45F26" w:rsidRPr="00DD7BD1" w:rsidRDefault="00F45F26" w:rsidP="00F057A7">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Employers having an elected official leave policy should update their policy. ETC’s State Handbook Addendum does not address elected official leave</w:t>
      </w:r>
    </w:p>
    <w:p w14:paraId="472E0847" w14:textId="5D20B30E"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Nebraska</w:t>
      </w:r>
    </w:p>
    <w:p w14:paraId="29016587" w14:textId="77777777" w:rsidR="00204F44" w:rsidRDefault="00204F44" w:rsidP="00204F44">
      <w:pPr>
        <w:rPr>
          <w:b/>
          <w:bCs/>
          <w:caps/>
          <w:noProof/>
          <w:color w:val="0E425C"/>
          <w:sz w:val="26"/>
          <w:szCs w:val="26"/>
        </w:rPr>
      </w:pPr>
      <w:r w:rsidRPr="00D56833">
        <w:rPr>
          <w:b/>
          <w:bCs/>
          <w:caps/>
          <w:noProof/>
          <w:color w:val="0E425C"/>
          <w:sz w:val="26"/>
          <w:szCs w:val="26"/>
        </w:rPr>
        <w:t>Reminder:</w:t>
      </w:r>
    </w:p>
    <w:p w14:paraId="4F747731" w14:textId="063A9B8E" w:rsidR="00204F44" w:rsidRPr="00204F44" w:rsidRDefault="00204F44">
      <w:pPr>
        <w:pStyle w:val="ListParagraph"/>
        <w:numPr>
          <w:ilvl w:val="0"/>
          <w:numId w:val="364"/>
        </w:numPr>
        <w:spacing w:after="100" w:line="276" w:lineRule="auto"/>
        <w:rPr>
          <w:caps/>
          <w:noProof/>
          <w:color w:val="0E425C"/>
        </w:rPr>
      </w:pPr>
      <w:r w:rsidRPr="0055141A">
        <w:rPr>
          <w:caps/>
          <w:noProof/>
          <w:color w:val="0E425C"/>
        </w:rPr>
        <w:t xml:space="preserve">State Enacts Mini-WARN Regulations Effective </w:t>
      </w:r>
      <w:r w:rsidRPr="0055141A">
        <w:rPr>
          <w:caps/>
          <w:color w:val="0070C0"/>
        </w:rPr>
        <w:t>July 18, 2026</w:t>
      </w:r>
    </w:p>
    <w:p w14:paraId="5F34AB8A" w14:textId="1B275855" w:rsidR="00C6528C" w:rsidRDefault="00C6528C" w:rsidP="00C6528C">
      <w:pPr>
        <w:rPr>
          <w:b/>
          <w:bCs/>
          <w:caps/>
          <w:noProof/>
          <w:color w:val="0E425C"/>
          <w:sz w:val="28"/>
          <w:szCs w:val="28"/>
        </w:rPr>
      </w:pPr>
      <w:r w:rsidRPr="00275D0A">
        <w:rPr>
          <w:b/>
          <w:bCs/>
          <w:caps/>
          <w:color w:val="0070C0"/>
          <w:sz w:val="26"/>
          <w:szCs w:val="26"/>
        </w:rPr>
        <w:t xml:space="preserve">New! </w:t>
      </w:r>
      <w:r w:rsidRPr="00275D0A">
        <w:rPr>
          <w:b/>
          <w:bCs/>
          <w:caps/>
          <w:noProof/>
          <w:color w:val="0E425C"/>
          <w:sz w:val="26"/>
          <w:szCs w:val="26"/>
        </w:rPr>
        <w:t xml:space="preserve">State Enacts Mini- WARN Regulations Effective </w:t>
      </w:r>
      <w:r w:rsidRPr="00275D0A">
        <w:rPr>
          <w:b/>
          <w:bCs/>
          <w:caps/>
          <w:color w:val="0070C0"/>
          <w:sz w:val="26"/>
          <w:szCs w:val="26"/>
        </w:rPr>
        <w:t>July 18, 2026</w:t>
      </w:r>
    </w:p>
    <w:p w14:paraId="02A5C911" w14:textId="77777777" w:rsidR="00C6528C" w:rsidRPr="00771A4F" w:rsidRDefault="00C6528C" w:rsidP="00C6528C">
      <w:r w:rsidRPr="00771A4F">
        <w:t>Nebraska’s Governor approved </w:t>
      </w:r>
      <w:hyperlink r:id="rId900" w:tgtFrame="_blank" w:history="1">
        <w:r w:rsidRPr="00771A4F">
          <w:rPr>
            <w:rStyle w:val="Hyperlink"/>
            <w:caps/>
            <w:noProof/>
          </w:rPr>
          <w:t>Legislative Bill 921</w:t>
        </w:r>
      </w:hyperlink>
      <w:r w:rsidRPr="00771A4F">
        <w:t>, enacting the Nebraska Worker Adjustment and Retraining Notification Act (“Nebraska WARN”).</w:t>
      </w:r>
    </w:p>
    <w:p w14:paraId="2D1F5549" w14:textId="77777777" w:rsidR="00C6528C" w:rsidRPr="00771A4F" w:rsidRDefault="00C6528C" w:rsidP="00C6528C">
      <w:r>
        <w:t xml:space="preserve">The </w:t>
      </w:r>
      <w:r w:rsidRPr="00771A4F">
        <w:t xml:space="preserve">law borrows concepts from federal WARN, </w:t>
      </w:r>
      <w:r>
        <w:t xml:space="preserve">but the </w:t>
      </w:r>
      <w:r w:rsidRPr="00771A4F">
        <w:t>Nebraska WARN expands on the federal statute requiring a longer notice period, imposing different trigger thresholds</w:t>
      </w:r>
      <w:r>
        <w:t xml:space="preserve"> </w:t>
      </w:r>
      <w:r w:rsidRPr="00771A4F">
        <w:t>and requiring greater detail in WARN notices.</w:t>
      </w:r>
    </w:p>
    <w:p w14:paraId="2617AFA2" w14:textId="77777777" w:rsidR="00C6528C" w:rsidRPr="00771A4F" w:rsidRDefault="00C6528C">
      <w:pPr>
        <w:numPr>
          <w:ilvl w:val="0"/>
          <w:numId w:val="355"/>
        </w:numPr>
        <w:spacing w:after="100" w:line="240" w:lineRule="auto"/>
      </w:pPr>
      <w:r w:rsidRPr="00771A4F">
        <w:rPr>
          <w:b/>
          <w:bCs/>
        </w:rPr>
        <w:t>Business closings or mass layoffs affecting 100+ non-“part-time” employees </w:t>
      </w:r>
      <w:r w:rsidRPr="00771A4F">
        <w:t>at a single site of employment may trigger notice obligations.</w:t>
      </w:r>
    </w:p>
    <w:p w14:paraId="75B9A9B9" w14:textId="77777777" w:rsidR="00C6528C" w:rsidRPr="00771A4F" w:rsidRDefault="00C6528C">
      <w:pPr>
        <w:numPr>
          <w:ilvl w:val="0"/>
          <w:numId w:val="355"/>
        </w:numPr>
        <w:spacing w:after="100" w:line="240" w:lineRule="auto"/>
      </w:pPr>
      <w:r w:rsidRPr="00771A4F">
        <w:rPr>
          <w:b/>
          <w:bCs/>
        </w:rPr>
        <w:t>Employers must provide 90 days’ advance notice</w:t>
      </w:r>
      <w:r w:rsidRPr="00771A4F">
        <w:t>, rather than the 60-day notice requirements of federal WARN.</w:t>
      </w:r>
    </w:p>
    <w:p w14:paraId="6EB1102C" w14:textId="77777777" w:rsidR="00C6528C" w:rsidRPr="00771A4F" w:rsidRDefault="00C6528C">
      <w:pPr>
        <w:numPr>
          <w:ilvl w:val="0"/>
          <w:numId w:val="355"/>
        </w:numPr>
        <w:spacing w:after="100" w:line="240" w:lineRule="auto"/>
      </w:pPr>
      <w:r w:rsidRPr="00771A4F">
        <w:rPr>
          <w:b/>
          <w:bCs/>
        </w:rPr>
        <w:lastRenderedPageBreak/>
        <w:t>Greater detail is required in Nebraska WARN notices, </w:t>
      </w:r>
      <w:r w:rsidRPr="00771A4F">
        <w:t>including the names and addresses of affected employees.</w:t>
      </w:r>
    </w:p>
    <w:p w14:paraId="19C64C77" w14:textId="77777777" w:rsidR="00C6528C" w:rsidRPr="00771A4F" w:rsidRDefault="00C6528C">
      <w:pPr>
        <w:numPr>
          <w:ilvl w:val="0"/>
          <w:numId w:val="355"/>
        </w:numPr>
        <w:spacing w:after="100" w:line="240" w:lineRule="auto"/>
      </w:pPr>
      <w:r w:rsidRPr="00771A4F">
        <w:rPr>
          <w:b/>
          <w:bCs/>
        </w:rPr>
        <w:t>Employers should review the new law</w:t>
      </w:r>
      <w:r w:rsidRPr="00771A4F">
        <w:t> to ensure compliance by its effective date on July 18, 2026.</w:t>
      </w:r>
    </w:p>
    <w:p w14:paraId="67703B08" w14:textId="77777777" w:rsidR="00C6528C" w:rsidRPr="00771A4F" w:rsidRDefault="00C6528C">
      <w:pPr>
        <w:numPr>
          <w:ilvl w:val="0"/>
          <w:numId w:val="355"/>
        </w:numPr>
        <w:spacing w:after="100" w:line="240" w:lineRule="auto"/>
      </w:pPr>
      <w:r w:rsidRPr="00771A4F">
        <w:rPr>
          <w:b/>
          <w:bCs/>
        </w:rPr>
        <w:t>A civil fine of $100 per day for each day of a violation</w:t>
      </w:r>
      <w:r w:rsidRPr="00771A4F">
        <w:t xml:space="preserve"> is </w:t>
      </w:r>
      <w:proofErr w:type="gramStart"/>
      <w:r w:rsidRPr="00771A4F">
        <w:t>the</w:t>
      </w:r>
      <w:proofErr w:type="gramEnd"/>
      <w:r w:rsidRPr="00771A4F">
        <w:t xml:space="preserve"> exclusive remedy.</w:t>
      </w:r>
    </w:p>
    <w:p w14:paraId="7D6EADD5" w14:textId="77777777" w:rsidR="00C6528C" w:rsidRDefault="00C6528C" w:rsidP="00C6528C">
      <w:pPr>
        <w:spacing w:after="0" w:line="240" w:lineRule="auto"/>
        <w:jc w:val="center"/>
        <w:rPr>
          <w:rFonts w:ascii="Calibri" w:hAnsi="Calibri" w:cs="Calibri"/>
          <w:b/>
          <w:spacing w:val="-2"/>
          <w:sz w:val="28"/>
        </w:rPr>
      </w:pPr>
    </w:p>
    <w:p w14:paraId="12CFE3EF" w14:textId="682F6626" w:rsidR="00743C08" w:rsidRPr="00DD7BD1" w:rsidRDefault="00743C08" w:rsidP="00C6528C">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4C6815EB" w14:textId="77777777" w:rsidR="00743C08" w:rsidRPr="00DD7BD1" w:rsidRDefault="00743C08" w:rsidP="00743C08">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Nebraska’s minimum wage will increase to $15 per hour. The minimum base wage for tipped employees remains the same at $2.13 per hour. Nebraska’s minimum wage law covers employers with four or more employees, not counting seasonal employees who work for 20 weeks or less in a calendar year.</w:t>
      </w:r>
    </w:p>
    <w:p w14:paraId="0CC8EA44" w14:textId="77777777" w:rsidR="00743C08" w:rsidRPr="00DD7BD1" w:rsidRDefault="00743C08" w:rsidP="00743C08">
      <w:pPr>
        <w:spacing w:after="0" w:line="240" w:lineRule="auto"/>
        <w:jc w:val="center"/>
        <w:rPr>
          <w:rFonts w:ascii="Calibri" w:hAnsi="Calibri" w:cs="Calibri"/>
          <w:b/>
          <w:bCs/>
          <w:shd w:val="clear" w:color="auto" w:fill="FFFFFF"/>
          <w:lang w:val="en"/>
        </w:rPr>
      </w:pPr>
    </w:p>
    <w:p w14:paraId="755910E8" w14:textId="00064D1C" w:rsidR="00F45F26" w:rsidRPr="00DD7BD1" w:rsidRDefault="00F45F26" w:rsidP="00743C0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Regulations – </w:t>
      </w:r>
      <w:r w:rsidRPr="00DD7BD1">
        <w:rPr>
          <w:rFonts w:ascii="Calibri" w:hAnsi="Calibri" w:cs="Calibri"/>
          <w:b/>
          <w:bCs/>
          <w:color w:val="C00000"/>
          <w:sz w:val="28"/>
          <w:szCs w:val="28"/>
          <w:shd w:val="clear" w:color="auto" w:fill="FFFFFF"/>
          <w:lang w:val="en"/>
        </w:rPr>
        <w:t xml:space="preserve">Eff Sept 15 (Notices) &amp; Oct 1 </w:t>
      </w:r>
    </w:p>
    <w:p w14:paraId="64D0DC11" w14:textId="589FC80D" w:rsidR="00F45F26" w:rsidRPr="00DD7BD1" w:rsidRDefault="00F45F26" w:rsidP="00743C0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Nebraska has enacted </w:t>
      </w:r>
      <w:bookmarkStart w:id="121" w:name="_Hlk202782919"/>
      <w:r w:rsidRPr="00DD7BD1">
        <w:rPr>
          <w:rFonts w:ascii="Calibri" w:hAnsi="Calibri" w:cs="Calibri"/>
        </w:rPr>
        <w:fldChar w:fldCharType="begin"/>
      </w:r>
      <w:r w:rsidRPr="00DD7BD1">
        <w:rPr>
          <w:rFonts w:ascii="Calibri" w:hAnsi="Calibri" w:cs="Calibri"/>
        </w:rPr>
        <w:instrText>HYPERLINK "https://nebraskalegislature.gov/FloorDocs/109/PDF/Slip/LB415.pdf"</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Legislative Bill (LB) 415</w:t>
      </w:r>
      <w:r w:rsidRPr="00DD7BD1">
        <w:rPr>
          <w:rFonts w:ascii="Calibri" w:hAnsi="Calibri" w:cs="Calibri"/>
        </w:rPr>
        <w:fldChar w:fldCharType="end"/>
      </w:r>
      <w:r w:rsidRPr="00DD7BD1">
        <w:rPr>
          <w:rFonts w:ascii="Calibri" w:hAnsi="Calibri" w:cs="Calibri"/>
          <w:color w:val="2E74B5" w:themeColor="accent5" w:themeShade="BF"/>
          <w:shd w:val="clear" w:color="auto" w:fill="FFFFFF"/>
        </w:rPr>
        <w:t xml:space="preserve">, </w:t>
      </w:r>
      <w:bookmarkEnd w:id="121"/>
      <w:r w:rsidRPr="00DD7BD1">
        <w:rPr>
          <w:rFonts w:ascii="Calibri" w:hAnsi="Calibri" w:cs="Calibri"/>
          <w:shd w:val="clear" w:color="auto" w:fill="FFFFFF"/>
        </w:rPr>
        <w:t xml:space="preserve">amending its paid sick leave law, the </w:t>
      </w:r>
      <w:hyperlink r:id="rId901"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p>
    <w:p w14:paraId="3AE10AB5" w14:textId="04CA8559"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June 4, 2025, amendments were enacted. </w:t>
      </w:r>
    </w:p>
    <w:p w14:paraId="66649226"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The amendments:</w:t>
      </w:r>
    </w:p>
    <w:p w14:paraId="4971D0FE"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carve out an </w:t>
      </w:r>
      <w:r w:rsidRPr="00DD7BD1">
        <w:rPr>
          <w:rFonts w:ascii="Calibri" w:hAnsi="Calibri" w:cs="Calibri"/>
          <w:u w:val="single"/>
          <w:shd w:val="clear" w:color="auto" w:fill="FFFFFF"/>
        </w:rPr>
        <w:t>exception from the law for employers with 10 employees or fewer</w:t>
      </w:r>
      <w:r w:rsidRPr="00DD7BD1">
        <w:rPr>
          <w:rFonts w:ascii="Calibri" w:hAnsi="Calibri" w:cs="Calibri"/>
          <w:shd w:val="clear" w:color="auto" w:fill="FFFFFF"/>
        </w:rPr>
        <w:t xml:space="preserve">, </w:t>
      </w:r>
    </w:p>
    <w:p w14:paraId="2E6B8C06"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exempt certain workers from coverage,</w:t>
      </w:r>
    </w:p>
    <w:p w14:paraId="6EE77D4C"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 remove workers’ private right of action for employer violations and </w:t>
      </w:r>
    </w:p>
    <w:p w14:paraId="4BD326A1" w14:textId="72BFAB46"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make other employer-friendly changes, discussed below. </w:t>
      </w:r>
    </w:p>
    <w:p w14:paraId="1A29505E" w14:textId="77777777" w:rsidR="00F45F26" w:rsidRPr="00DD7BD1" w:rsidRDefault="00F45F26" w:rsidP="00743C08">
      <w:pPr>
        <w:spacing w:after="0" w:line="240" w:lineRule="auto"/>
        <w:rPr>
          <w:rFonts w:ascii="Calibri" w:hAnsi="Calibri" w:cs="Calibri"/>
          <w:shd w:val="clear" w:color="auto" w:fill="FFFFFF"/>
        </w:rPr>
      </w:pPr>
    </w:p>
    <w:p w14:paraId="7E7DBC8F"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Covered Employers and Employees</w:t>
      </w:r>
    </w:p>
    <w:p w14:paraId="38B7C47E"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change the paid sick leave law so that it applies </w:t>
      </w:r>
      <w:r w:rsidRPr="00DD7BD1">
        <w:rPr>
          <w:rFonts w:ascii="Calibri" w:hAnsi="Calibri" w:cs="Calibri"/>
          <w:u w:val="single"/>
          <w:shd w:val="clear" w:color="auto" w:fill="FFFFFF"/>
        </w:rPr>
        <w:t>only to employers with 11 or more employees</w:t>
      </w:r>
      <w:r w:rsidRPr="00DD7BD1">
        <w:rPr>
          <w:rFonts w:ascii="Calibri" w:hAnsi="Calibri" w:cs="Calibri"/>
          <w:shd w:val="clear" w:color="auto" w:fill="FFFFFF"/>
        </w:rPr>
        <w:t>. Employers with fewer workers are, therefore, exempt from the requirement.</w:t>
      </w:r>
    </w:p>
    <w:p w14:paraId="1A957548" w14:textId="4465EE3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Accrual and Carryover of Leave</w:t>
      </w:r>
    </w:p>
    <w:p w14:paraId="476AD7B8" w14:textId="503CE8B2"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amendments, employees will not begin accruing paid sick leave until they have worked for their employer for 80 hours. </w:t>
      </w:r>
    </w:p>
    <w:p w14:paraId="71395645"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In advance of the effective date, ETC will release the applicable State Handbook addendum.</w:t>
      </w:r>
    </w:p>
    <w:p w14:paraId="3AA616A3" w14:textId="6CA8EB7A" w:rsidR="0095771D" w:rsidRPr="00DD7BD1" w:rsidRDefault="0095771D" w:rsidP="0095771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New Earned Paid Sick Time Requirement – </w:t>
      </w:r>
      <w:r w:rsidRPr="00DD7BD1">
        <w:rPr>
          <w:rFonts w:ascii="Calibri" w:hAnsi="Calibri" w:cs="Calibri"/>
          <w:b/>
          <w:bCs/>
          <w:color w:val="C00000"/>
          <w:sz w:val="28"/>
          <w:szCs w:val="28"/>
          <w:shd w:val="clear" w:color="auto" w:fill="FFFFFF"/>
          <w:lang w:val="en"/>
        </w:rPr>
        <w:t>Eff Sept 15 &amp; Oct 1, 2025</w:t>
      </w:r>
    </w:p>
    <w:p w14:paraId="10BF39D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Nebraska voters passed the </w:t>
      </w:r>
      <w:hyperlink r:id="rId902"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via ballot initiative, joining the growing number of states that have already enacted paid sick leave laws.</w:t>
      </w:r>
    </w:p>
    <w:p w14:paraId="131B3F0F" w14:textId="77777777" w:rsidR="0095771D" w:rsidRPr="00DD7BD1" w:rsidRDefault="0095771D" w:rsidP="0095771D">
      <w:pPr>
        <w:spacing w:after="0" w:line="240" w:lineRule="auto"/>
        <w:rPr>
          <w:rFonts w:ascii="Calibri" w:hAnsi="Calibri" w:cs="Calibri"/>
          <w:shd w:val="clear" w:color="auto" w:fill="FFFFFF"/>
        </w:rPr>
      </w:pPr>
    </w:p>
    <w:p w14:paraId="174ED448"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requires employers to provide 40-56 hours </w:t>
      </w:r>
      <w:proofErr w:type="gramStart"/>
      <w:r w:rsidRPr="00DD7BD1">
        <w:rPr>
          <w:rFonts w:ascii="Calibri" w:hAnsi="Calibri" w:cs="Calibri"/>
          <w:shd w:val="clear" w:color="auto" w:fill="FFFFFF"/>
        </w:rPr>
        <w:t>of earned</w:t>
      </w:r>
      <w:proofErr w:type="gramEnd"/>
      <w:r w:rsidRPr="00DD7BD1">
        <w:rPr>
          <w:rFonts w:ascii="Calibri" w:hAnsi="Calibri" w:cs="Calibri"/>
          <w:shd w:val="clear" w:color="auto" w:fill="FFFFFF"/>
        </w:rPr>
        <w:t xml:space="preserve"> paid sick time (EPST) per year, depending on their size. </w:t>
      </w:r>
    </w:p>
    <w:p w14:paraId="4632799D"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must provide their employees with written notice of the law </w:t>
      </w:r>
      <w:r w:rsidRPr="00DD7BD1">
        <w:rPr>
          <w:rFonts w:ascii="Calibri" w:hAnsi="Calibri" w:cs="Calibri"/>
          <w:color w:val="C00000"/>
          <w:shd w:val="clear" w:color="auto" w:fill="FFFFFF"/>
        </w:rPr>
        <w:t>by Sept. 15, 2025</w:t>
      </w:r>
      <w:r w:rsidRPr="00DD7BD1">
        <w:rPr>
          <w:rFonts w:ascii="Calibri" w:hAnsi="Calibri" w:cs="Calibri"/>
          <w:shd w:val="clear" w:color="auto" w:fill="FFFFFF"/>
        </w:rPr>
        <w:t xml:space="preserve">, and employees begin accruing and using EPST </w:t>
      </w:r>
      <w:r w:rsidRPr="00DD7BD1">
        <w:rPr>
          <w:rFonts w:ascii="Calibri" w:hAnsi="Calibri" w:cs="Calibri"/>
          <w:color w:val="C00000"/>
          <w:shd w:val="clear" w:color="auto" w:fill="FFFFFF"/>
        </w:rPr>
        <w:t>Oct. 1, 2025</w:t>
      </w:r>
      <w:r w:rsidRPr="00DD7BD1">
        <w:rPr>
          <w:rFonts w:ascii="Calibri" w:hAnsi="Calibri" w:cs="Calibri"/>
          <w:shd w:val="clear" w:color="auto" w:fill="FFFFFF"/>
        </w:rPr>
        <w:t xml:space="preserve">. </w:t>
      </w:r>
    </w:p>
    <w:p w14:paraId="1970635D" w14:textId="77777777" w:rsidR="0095771D" w:rsidRPr="00DD7BD1" w:rsidRDefault="0095771D" w:rsidP="0095771D">
      <w:pPr>
        <w:spacing w:after="0" w:line="240" w:lineRule="auto"/>
        <w:rPr>
          <w:rFonts w:ascii="Calibri" w:hAnsi="Calibri" w:cs="Calibri"/>
          <w:shd w:val="clear" w:color="auto" w:fill="FFFFFF"/>
        </w:rPr>
      </w:pPr>
    </w:p>
    <w:p w14:paraId="07A0ACC6"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w:t>
      </w:r>
    </w:p>
    <w:p w14:paraId="3A10CE12"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D7BD1" w:rsidRDefault="0095771D" w:rsidP="0095771D">
      <w:pPr>
        <w:spacing w:after="0" w:line="240" w:lineRule="auto"/>
        <w:rPr>
          <w:rFonts w:ascii="Calibri" w:hAnsi="Calibri" w:cs="Calibri"/>
          <w:shd w:val="clear" w:color="auto" w:fill="FFFFFF"/>
        </w:rPr>
      </w:pPr>
    </w:p>
    <w:p w14:paraId="6CAEF8FD"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0F93008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who work in Nebraska for at least </w:t>
      </w:r>
      <w:r w:rsidRPr="00DD7BD1">
        <w:rPr>
          <w:rFonts w:ascii="Calibri" w:hAnsi="Calibri" w:cs="Calibri"/>
          <w:b/>
          <w:bCs/>
          <w:shd w:val="clear" w:color="auto" w:fill="FFFFFF"/>
        </w:rPr>
        <w:t>80 hours</w:t>
      </w:r>
      <w:r w:rsidRPr="00DD7BD1">
        <w:rPr>
          <w:rFonts w:ascii="Calibri" w:hAnsi="Calibri" w:cs="Calibri"/>
          <w:shd w:val="clear" w:color="auto" w:fill="FFFFFF"/>
        </w:rPr>
        <w:t xml:space="preserve"> in a calendar year are eligible for EPST, except railroad employees subject to the federal Railroad Unemployment Insurance Act.</w:t>
      </w:r>
    </w:p>
    <w:p w14:paraId="15888713" w14:textId="77777777" w:rsidR="0095771D" w:rsidRPr="00DD7BD1" w:rsidRDefault="0095771D" w:rsidP="0095771D">
      <w:pPr>
        <w:spacing w:after="0" w:line="240" w:lineRule="auto"/>
        <w:rPr>
          <w:rFonts w:ascii="Calibri" w:hAnsi="Calibri" w:cs="Calibri"/>
          <w:shd w:val="clear" w:color="auto" w:fill="FFFFFF"/>
        </w:rPr>
      </w:pPr>
    </w:p>
    <w:p w14:paraId="31B2AEAF" w14:textId="77777777" w:rsidR="0095771D" w:rsidRPr="00DD7BD1" w:rsidRDefault="0095771D" w:rsidP="0095771D">
      <w:pPr>
        <w:spacing w:after="0" w:line="240" w:lineRule="auto"/>
        <w:jc w:val="center"/>
        <w:rPr>
          <w:rFonts w:ascii="Calibri" w:hAnsi="Calibri" w:cs="Calibri"/>
          <w:shd w:val="clear" w:color="auto" w:fill="FFFFFF"/>
        </w:rPr>
      </w:pPr>
      <w:r w:rsidRPr="00DD7BD1">
        <w:rPr>
          <w:rFonts w:ascii="Calibri" w:hAnsi="Calibri" w:cs="Calibri"/>
          <w:noProof/>
          <w:shd w:val="clear" w:color="auto" w:fill="FFFFFF"/>
        </w:rPr>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903"/>
                    <a:stretch>
                      <a:fillRect/>
                    </a:stretch>
                  </pic:blipFill>
                  <pic:spPr>
                    <a:xfrm>
                      <a:off x="0" y="0"/>
                      <a:ext cx="4791744" cy="2162477"/>
                    </a:xfrm>
                    <a:prstGeom prst="rect">
                      <a:avLst/>
                    </a:prstGeom>
                  </pic:spPr>
                </pic:pic>
              </a:graphicData>
            </a:graphic>
          </wp:inline>
        </w:drawing>
      </w:r>
    </w:p>
    <w:p w14:paraId="2EE42DB1" w14:textId="77777777" w:rsidR="0095771D" w:rsidRPr="00DD7BD1" w:rsidRDefault="0095771D" w:rsidP="0095771D">
      <w:pPr>
        <w:spacing w:after="0" w:line="240" w:lineRule="auto"/>
        <w:rPr>
          <w:rFonts w:ascii="Calibri" w:hAnsi="Calibri" w:cs="Calibri"/>
          <w:shd w:val="clear" w:color="auto" w:fill="FFFFFF"/>
        </w:rPr>
      </w:pPr>
    </w:p>
    <w:p w14:paraId="02B9A90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provisions of the Act include that:</w:t>
      </w:r>
    </w:p>
    <w:p w14:paraId="2796678F"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 law contains front-loading and carryover provisions;</w:t>
      </w:r>
    </w:p>
    <w:p w14:paraId="500F8FA6"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waiting period—leave may be used as it is accrued;</w:t>
      </w:r>
    </w:p>
    <w:p w14:paraId="0006B4B7"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notice of leave if the requirement is included in a written policy;</w:t>
      </w:r>
    </w:p>
    <w:p w14:paraId="324996E2"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reasonable documentation for more than three days of EPST;</w:t>
      </w:r>
    </w:p>
    <w:p w14:paraId="4C2E3770"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with paid leave policies that meet the requirements of the law do not have to provide additional paid sick leave;</w:t>
      </w:r>
    </w:p>
    <w:p w14:paraId="2411ADA3"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Notice and recordkeeping provisions apply;</w:t>
      </w:r>
    </w:p>
    <w:p w14:paraId="553F19E9"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payout requirement for accrued, unused EPST; and</w:t>
      </w:r>
    </w:p>
    <w:p w14:paraId="70D1D55C"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Retaliation is prohibited, and employer violations of the law are subject to administrative penalties and civil suits.</w:t>
      </w:r>
    </w:p>
    <w:p w14:paraId="3CF322D5" w14:textId="77777777" w:rsidR="0095771D" w:rsidRPr="00DD7BD1" w:rsidRDefault="0095771D" w:rsidP="0095771D">
      <w:pPr>
        <w:spacing w:after="0" w:line="240" w:lineRule="auto"/>
        <w:rPr>
          <w:rFonts w:ascii="Calibri" w:hAnsi="Calibri" w:cs="Calibri"/>
          <w:shd w:val="clear" w:color="auto" w:fill="FFFFFF"/>
        </w:rPr>
      </w:pPr>
    </w:p>
    <w:p w14:paraId="5BCAC320" w14:textId="0843BD35"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Closer to the effective date ETC will provide the released Notice and State Handbook Addendum with the applicable Paid Sick Leve Policy.</w:t>
      </w:r>
    </w:p>
    <w:p w14:paraId="25CC807C" w14:textId="02CF0A4C" w:rsidR="003B29FD" w:rsidRPr="00DD7BD1" w:rsidRDefault="003B29FD" w:rsidP="003B29FD">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State Enacts Paid Sick Leave – </w:t>
      </w:r>
      <w:r w:rsidRPr="00DD7BD1">
        <w:rPr>
          <w:rFonts w:ascii="Calibri" w:hAnsi="Calibri" w:cs="Calibri"/>
          <w:b/>
          <w:bCs/>
          <w:color w:val="C00000"/>
          <w:sz w:val="28"/>
          <w:szCs w:val="28"/>
        </w:rPr>
        <w:t xml:space="preserve">Fall </w:t>
      </w:r>
      <w:r w:rsidRPr="00DD7BD1">
        <w:rPr>
          <w:rFonts w:ascii="Calibri" w:hAnsi="Calibri" w:cs="Calibri"/>
          <w:b/>
          <w:bCs/>
          <w:color w:val="C00000"/>
          <w:sz w:val="28"/>
          <w:szCs w:val="28"/>
          <w:shd w:val="clear" w:color="auto" w:fill="FFFFFF"/>
          <w:lang w:val="en"/>
        </w:rPr>
        <w:t>2025</w:t>
      </w:r>
    </w:p>
    <w:p w14:paraId="3169EC1D"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On Nov. 5, 2024, Nebraska voters passed </w:t>
      </w:r>
      <w:hyperlink r:id="rId904" w:history="1">
        <w:r w:rsidRPr="00DD7BD1">
          <w:rPr>
            <w:rStyle w:val="Hyperlink"/>
            <w:rFonts w:ascii="Calibri" w:hAnsi="Calibri" w:cs="Calibri"/>
            <w:shd w:val="clear" w:color="auto" w:fill="FFFFFF"/>
          </w:rPr>
          <w:t>Initiative Measure 436</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DD7BD1">
        <w:rPr>
          <w:rFonts w:ascii="Calibri" w:hAnsi="Calibri" w:cs="Calibri"/>
          <w:color w:val="C00000"/>
          <w:shd w:val="clear" w:color="auto" w:fill="FFFFFF"/>
        </w:rPr>
        <w:t>Oct. 1, 2025</w:t>
      </w:r>
      <w:r w:rsidRPr="00DD7BD1">
        <w:rPr>
          <w:rFonts w:ascii="Calibri" w:hAnsi="Calibri" w:cs="Calibri"/>
          <w:color w:val="2E74B5" w:themeColor="accent5" w:themeShade="BF"/>
          <w:shd w:val="clear" w:color="auto" w:fill="FFFFFF"/>
        </w:rPr>
        <w:t xml:space="preserve">. </w:t>
      </w:r>
    </w:p>
    <w:p w14:paraId="4793F0EC" w14:textId="77777777" w:rsidR="003B29FD" w:rsidRPr="00DD7BD1" w:rsidRDefault="003B29FD" w:rsidP="003B29FD">
      <w:pPr>
        <w:spacing w:after="0" w:line="240" w:lineRule="auto"/>
        <w:rPr>
          <w:rFonts w:ascii="Calibri" w:hAnsi="Calibri" w:cs="Calibri"/>
          <w:color w:val="2E74B5" w:themeColor="accent5" w:themeShade="BF"/>
          <w:sz w:val="16"/>
          <w:szCs w:val="16"/>
          <w:shd w:val="clear" w:color="auto" w:fill="FFFFFF"/>
        </w:rPr>
      </w:pPr>
    </w:p>
    <w:p w14:paraId="118E6627" w14:textId="77777777" w:rsidR="003B29FD" w:rsidRPr="00DD7BD1" w:rsidRDefault="003B29FD" w:rsidP="003B29FD">
      <w:pPr>
        <w:spacing w:after="0" w:line="240" w:lineRule="auto"/>
        <w:rPr>
          <w:rFonts w:ascii="Calibri" w:hAnsi="Calibri" w:cs="Calibri"/>
          <w:b/>
          <w:shd w:val="clear" w:color="auto" w:fill="FFFFFF"/>
        </w:rPr>
      </w:pPr>
      <w:r w:rsidRPr="00DD7BD1">
        <w:rPr>
          <w:rFonts w:ascii="Calibri" w:hAnsi="Calibri" w:cs="Calibri"/>
          <w:b/>
          <w:color w:val="C00000"/>
          <w:shd w:val="clear" w:color="auto" w:fill="FFFFFF"/>
        </w:rPr>
        <w:t xml:space="preserve">Sept. 15, 2025 </w:t>
      </w:r>
      <w:r w:rsidRPr="00DD7BD1">
        <w:rPr>
          <w:rFonts w:ascii="Calibri" w:hAnsi="Calibri" w:cs="Calibri"/>
          <w:b/>
          <w:shd w:val="clear" w:color="auto" w:fill="FFFFFF"/>
        </w:rPr>
        <w:t xml:space="preserve">- </w:t>
      </w:r>
      <w:r w:rsidRPr="00DD7BD1">
        <w:rPr>
          <w:rFonts w:ascii="Calibri" w:hAnsi="Calibri" w:cs="Calibri"/>
          <w:shd w:val="clear" w:color="auto" w:fill="FFFFFF"/>
        </w:rPr>
        <w:t>Notice requirements take effect under the new paid sick time law.</w:t>
      </w:r>
    </w:p>
    <w:p w14:paraId="1EF1A689" w14:textId="77777777" w:rsidR="003B29FD" w:rsidRPr="00DD7BD1" w:rsidRDefault="003B29FD" w:rsidP="003B29FD">
      <w:pPr>
        <w:spacing w:after="0" w:line="240" w:lineRule="auto"/>
        <w:rPr>
          <w:rFonts w:ascii="Calibri" w:hAnsi="Calibri" w:cs="Calibri"/>
          <w:b/>
          <w:color w:val="2E74B5" w:themeColor="accent5" w:themeShade="BF"/>
          <w:shd w:val="clear" w:color="auto" w:fill="FFFFFF"/>
        </w:rPr>
      </w:pPr>
      <w:r w:rsidRPr="00DD7BD1">
        <w:rPr>
          <w:rFonts w:ascii="Calibri" w:hAnsi="Calibri" w:cs="Calibri"/>
          <w:b/>
          <w:color w:val="C00000"/>
          <w:shd w:val="clear" w:color="auto" w:fill="FFFFFF"/>
        </w:rPr>
        <w:t xml:space="preserve">Oct.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Employees may begin taking paid sick time.</w:t>
      </w:r>
    </w:p>
    <w:p w14:paraId="378E8A5F"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rPr>
        <w:t xml:space="preserve">Details included in the attached resource and will also be communicated in advance of the effective date.  </w:t>
      </w:r>
    </w:p>
    <w:p w14:paraId="50B92A21" w14:textId="77777777" w:rsidR="003B29FD" w:rsidRPr="00DD7BD1" w:rsidRDefault="003B29FD" w:rsidP="00472E17">
      <w:pPr>
        <w:spacing w:after="0" w:line="240" w:lineRule="auto"/>
        <w:jc w:val="both"/>
        <w:rPr>
          <w:rFonts w:ascii="Calibri" w:hAnsi="Calibri" w:cs="Calibri"/>
          <w:b/>
          <w:bCs/>
          <w:color w:val="2E74B5" w:themeColor="accent5" w:themeShade="BF"/>
          <w:shd w:val="clear" w:color="auto" w:fill="FFFFFF"/>
          <w:lang w:val="en"/>
        </w:rPr>
      </w:pPr>
    </w:p>
    <w:p w14:paraId="0423470D" w14:textId="13A1F483" w:rsidR="004B7569" w:rsidRPr="00DD7BD1" w:rsidRDefault="004B7569"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Nevada</w:t>
      </w:r>
    </w:p>
    <w:p w14:paraId="498EFE68" w14:textId="5B359273" w:rsidR="003A22A9" w:rsidRPr="00DD7BD1" w:rsidRDefault="003A22A9" w:rsidP="003A22A9">
      <w:pPr>
        <w:spacing w:after="0" w:line="240" w:lineRule="auto"/>
        <w:ind w:right="-90"/>
        <w:jc w:val="center"/>
        <w:rPr>
          <w:rFonts w:ascii="Calibri" w:hAnsi="Calibri" w:cs="Calibri"/>
          <w:b/>
          <w:sz w:val="28"/>
        </w:rPr>
      </w:pPr>
      <w:r w:rsidRPr="00DD7BD1">
        <w:rPr>
          <w:rFonts w:ascii="Calibri" w:hAnsi="Calibri" w:cs="Calibri"/>
          <w:b/>
          <w:spacing w:val="-8"/>
          <w:sz w:val="28"/>
        </w:rPr>
        <w:t>State Requires</w:t>
      </w:r>
      <w:r w:rsidRPr="00DD7BD1">
        <w:rPr>
          <w:rFonts w:ascii="Calibri" w:hAnsi="Calibri" w:cs="Calibri"/>
          <w:b/>
          <w:spacing w:val="-9"/>
          <w:sz w:val="28"/>
        </w:rPr>
        <w:t xml:space="preserve"> </w:t>
      </w:r>
      <w:r w:rsidRPr="00DD7BD1">
        <w:rPr>
          <w:rFonts w:ascii="Calibri" w:hAnsi="Calibri" w:cs="Calibri"/>
          <w:b/>
          <w:spacing w:val="-8"/>
          <w:sz w:val="28"/>
        </w:rPr>
        <w:t>Civil</w:t>
      </w:r>
      <w:r w:rsidRPr="00DD7BD1">
        <w:rPr>
          <w:rFonts w:ascii="Calibri" w:hAnsi="Calibri" w:cs="Calibri"/>
          <w:b/>
          <w:spacing w:val="-11"/>
          <w:sz w:val="28"/>
        </w:rPr>
        <w:t xml:space="preserve"> </w:t>
      </w:r>
      <w:r w:rsidRPr="00DD7BD1">
        <w:rPr>
          <w:rFonts w:ascii="Calibri" w:hAnsi="Calibri" w:cs="Calibri"/>
          <w:b/>
          <w:spacing w:val="-8"/>
          <w:sz w:val="28"/>
        </w:rPr>
        <w:t>Air</w:t>
      </w:r>
      <w:r w:rsidRPr="00DD7BD1">
        <w:rPr>
          <w:rFonts w:ascii="Calibri" w:hAnsi="Calibri" w:cs="Calibri"/>
          <w:b/>
          <w:spacing w:val="-9"/>
          <w:sz w:val="28"/>
        </w:rPr>
        <w:t xml:space="preserve"> </w:t>
      </w:r>
      <w:r w:rsidRPr="00DD7BD1">
        <w:rPr>
          <w:rFonts w:ascii="Calibri" w:hAnsi="Calibri" w:cs="Calibri"/>
          <w:b/>
          <w:spacing w:val="-8"/>
          <w:sz w:val="28"/>
        </w:rPr>
        <w:t xml:space="preserve">Patrol Leave – </w:t>
      </w:r>
      <w:r w:rsidRPr="00DD7BD1">
        <w:rPr>
          <w:rFonts w:ascii="Calibri" w:hAnsi="Calibri" w:cs="Calibri"/>
          <w:b/>
          <w:color w:val="C00000"/>
          <w:spacing w:val="-8"/>
          <w:sz w:val="28"/>
        </w:rPr>
        <w:t>Eff</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Oct 1,</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2025</w:t>
      </w:r>
    </w:p>
    <w:p w14:paraId="0DC2BC5E" w14:textId="77777777" w:rsidR="003A22A9" w:rsidRPr="00DD7BD1" w:rsidRDefault="003A22A9" w:rsidP="003A22A9">
      <w:pPr>
        <w:pStyle w:val="BodyText"/>
        <w:spacing w:after="0" w:line="240" w:lineRule="auto"/>
        <w:ind w:right="-90"/>
        <w:jc w:val="left"/>
        <w:rPr>
          <w:rFonts w:cs="Calibri"/>
          <w:spacing w:val="-2"/>
          <w:w w:val="110"/>
          <w:szCs w:val="22"/>
        </w:rPr>
      </w:pPr>
      <w:r w:rsidRPr="00DD7BD1">
        <w:rPr>
          <w:rFonts w:cs="Calibri"/>
          <w:color w:val="auto"/>
          <w:w w:val="110"/>
          <w:szCs w:val="22"/>
        </w:rPr>
        <w:t>Beginning</w:t>
      </w:r>
      <w:r w:rsidRPr="00DD7BD1">
        <w:rPr>
          <w:rFonts w:cs="Calibri"/>
          <w:color w:val="auto"/>
          <w:spacing w:val="-6"/>
          <w:w w:val="110"/>
          <w:szCs w:val="22"/>
        </w:rPr>
        <w:t xml:space="preserve"> </w:t>
      </w:r>
      <w:r w:rsidRPr="00DD7BD1">
        <w:rPr>
          <w:rFonts w:cs="Calibri"/>
          <w:color w:val="auto"/>
          <w:w w:val="110"/>
          <w:szCs w:val="22"/>
        </w:rPr>
        <w:t>October</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10"/>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7"/>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unpaid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 xml:space="preserve">are </w:t>
      </w:r>
      <w:r w:rsidRPr="00DD7BD1">
        <w:rPr>
          <w:rFonts w:cs="Calibri"/>
          <w:color w:val="auto"/>
          <w:spacing w:val="-2"/>
          <w:w w:val="110"/>
          <w:szCs w:val="22"/>
        </w:rPr>
        <w:t>volunteer</w:t>
      </w:r>
      <w:r w:rsidRPr="00DD7BD1">
        <w:rPr>
          <w:rFonts w:cs="Calibri"/>
          <w:color w:val="auto"/>
          <w:spacing w:val="-10"/>
          <w:w w:val="110"/>
          <w:szCs w:val="22"/>
        </w:rPr>
        <w:t xml:space="preserve"> </w:t>
      </w:r>
      <w:r w:rsidRPr="00DD7BD1">
        <w:rPr>
          <w:rFonts w:cs="Calibri"/>
          <w:color w:val="auto"/>
          <w:spacing w:val="-2"/>
          <w:w w:val="110"/>
          <w:szCs w:val="22"/>
        </w:rPr>
        <w:t>members</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Nevada</w:t>
      </w:r>
      <w:r w:rsidRPr="00DD7BD1">
        <w:rPr>
          <w:rFonts w:cs="Calibri"/>
          <w:color w:val="auto"/>
          <w:spacing w:val="-13"/>
          <w:w w:val="110"/>
          <w:szCs w:val="22"/>
        </w:rPr>
        <w:t xml:space="preserve"> </w:t>
      </w:r>
      <w:r w:rsidRPr="00DD7BD1">
        <w:rPr>
          <w:rFonts w:cs="Calibri"/>
          <w:color w:val="auto"/>
          <w:spacing w:val="-2"/>
          <w:w w:val="110"/>
          <w:szCs w:val="22"/>
        </w:rPr>
        <w:t>Wing</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3"/>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Civil</w:t>
      </w:r>
      <w:r w:rsidRPr="00DD7BD1">
        <w:rPr>
          <w:rFonts w:cs="Calibri"/>
          <w:color w:val="auto"/>
          <w:spacing w:val="-11"/>
          <w:w w:val="110"/>
          <w:szCs w:val="22"/>
        </w:rPr>
        <w:t xml:space="preserve"> </w:t>
      </w:r>
      <w:r w:rsidRPr="00DD7BD1">
        <w:rPr>
          <w:rFonts w:cs="Calibri"/>
          <w:color w:val="auto"/>
          <w:spacing w:val="-2"/>
          <w:w w:val="110"/>
          <w:szCs w:val="22"/>
        </w:rPr>
        <w:t>Air</w:t>
      </w:r>
      <w:r w:rsidRPr="00DD7BD1">
        <w:rPr>
          <w:rFonts w:cs="Calibri"/>
          <w:color w:val="auto"/>
          <w:spacing w:val="-11"/>
          <w:w w:val="110"/>
          <w:szCs w:val="22"/>
        </w:rPr>
        <w:t xml:space="preserve"> </w:t>
      </w:r>
      <w:r w:rsidRPr="00DD7BD1">
        <w:rPr>
          <w:rFonts w:cs="Calibri"/>
          <w:color w:val="auto"/>
          <w:spacing w:val="-2"/>
          <w:w w:val="110"/>
          <w:szCs w:val="22"/>
        </w:rPr>
        <w:t>Patrol</w:t>
      </w:r>
      <w:r w:rsidRPr="00DD7BD1">
        <w:rPr>
          <w:rFonts w:cs="Calibri"/>
          <w:color w:val="auto"/>
          <w:spacing w:val="-11"/>
          <w:w w:val="110"/>
          <w:szCs w:val="22"/>
        </w:rPr>
        <w:t xml:space="preserve"> </w:t>
      </w:r>
      <w:r w:rsidRPr="00DD7BD1">
        <w:rPr>
          <w:rFonts w:cs="Calibri"/>
          <w:color w:val="auto"/>
          <w:spacing w:val="-2"/>
          <w:w w:val="110"/>
          <w:szCs w:val="22"/>
        </w:rPr>
        <w:t>for</w:t>
      </w:r>
      <w:r w:rsidRPr="00DD7BD1">
        <w:rPr>
          <w:rFonts w:cs="Calibri"/>
          <w:color w:val="auto"/>
          <w:spacing w:val="-10"/>
          <w:w w:val="110"/>
          <w:szCs w:val="22"/>
        </w:rPr>
        <w:t xml:space="preserve"> </w:t>
      </w:r>
      <w:r w:rsidRPr="00DD7BD1">
        <w:rPr>
          <w:rFonts w:cs="Calibri"/>
          <w:color w:val="auto"/>
          <w:spacing w:val="-2"/>
          <w:w w:val="110"/>
          <w:szCs w:val="22"/>
        </w:rPr>
        <w:t>emergency</w:t>
      </w:r>
      <w:r w:rsidRPr="00DD7BD1">
        <w:rPr>
          <w:rFonts w:cs="Calibri"/>
          <w:color w:val="auto"/>
          <w:spacing w:val="-9"/>
          <w:w w:val="110"/>
          <w:szCs w:val="22"/>
        </w:rPr>
        <w:t xml:space="preserve"> </w:t>
      </w:r>
      <w:r w:rsidRPr="00DD7BD1">
        <w:rPr>
          <w:rFonts w:cs="Calibri"/>
          <w:color w:val="auto"/>
          <w:spacing w:val="-2"/>
          <w:w w:val="110"/>
          <w:szCs w:val="22"/>
        </w:rPr>
        <w:t>training</w:t>
      </w:r>
      <w:r w:rsidRPr="00DD7BD1">
        <w:rPr>
          <w:rFonts w:cs="Calibri"/>
          <w:color w:val="auto"/>
          <w:spacing w:val="-9"/>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response</w:t>
      </w:r>
      <w:r w:rsidRPr="00DD7BD1">
        <w:rPr>
          <w:rFonts w:cs="Calibri"/>
          <w:color w:val="auto"/>
          <w:spacing w:val="-3"/>
          <w:w w:val="110"/>
          <w:szCs w:val="22"/>
        </w:rPr>
        <w:t xml:space="preserve"> </w:t>
      </w:r>
      <w:r w:rsidRPr="00DD7BD1">
        <w:rPr>
          <w:rFonts w:cs="Calibri"/>
          <w:color w:val="auto"/>
          <w:spacing w:val="-2"/>
          <w:w w:val="110"/>
          <w:szCs w:val="22"/>
        </w:rPr>
        <w:t>under</w:t>
      </w:r>
      <w:r w:rsidRPr="00DD7BD1">
        <w:rPr>
          <w:rFonts w:cs="Calibri"/>
          <w:color w:val="auto"/>
          <w:spacing w:val="-9"/>
          <w:w w:val="110"/>
          <w:szCs w:val="22"/>
        </w:rPr>
        <w:t xml:space="preserve"> </w:t>
      </w:r>
      <w:hyperlink r:id="rId905">
        <w:r w:rsidRPr="00DD7BD1">
          <w:rPr>
            <w:rFonts w:cs="Calibri"/>
            <w:color w:val="0000FF"/>
            <w:spacing w:val="-2"/>
            <w:w w:val="110"/>
            <w:szCs w:val="22"/>
            <w:u w:val="single" w:color="0000FF"/>
          </w:rPr>
          <w:t>AB</w:t>
        </w:r>
        <w:r w:rsidRPr="00DD7BD1">
          <w:rPr>
            <w:rFonts w:cs="Calibri"/>
            <w:color w:val="0000FF"/>
            <w:spacing w:val="-14"/>
            <w:w w:val="110"/>
            <w:szCs w:val="22"/>
            <w:u w:val="single" w:color="0000FF"/>
          </w:rPr>
          <w:t xml:space="preserve"> </w:t>
        </w:r>
        <w:r w:rsidRPr="00DD7BD1">
          <w:rPr>
            <w:rFonts w:cs="Calibri"/>
            <w:color w:val="0000FF"/>
            <w:spacing w:val="-2"/>
            <w:w w:val="110"/>
            <w:szCs w:val="22"/>
            <w:u w:val="single" w:color="0000FF"/>
          </w:rPr>
          <w:t>422</w:t>
        </w:r>
      </w:hyperlink>
      <w:r w:rsidRPr="00DD7BD1">
        <w:rPr>
          <w:rFonts w:cs="Calibri"/>
          <w:spacing w:val="-2"/>
          <w:w w:val="110"/>
          <w:szCs w:val="22"/>
        </w:rPr>
        <w:t>.</w:t>
      </w:r>
    </w:p>
    <w:p w14:paraId="02C11ACC" w14:textId="77777777" w:rsidR="003A22A9" w:rsidRPr="00DD7BD1" w:rsidRDefault="003A22A9" w:rsidP="003A22A9">
      <w:pPr>
        <w:pStyle w:val="BodyText"/>
        <w:spacing w:after="0" w:line="240" w:lineRule="auto"/>
        <w:ind w:right="-90"/>
        <w:jc w:val="left"/>
        <w:rPr>
          <w:rFonts w:cs="Calibri"/>
          <w:sz w:val="16"/>
          <w:szCs w:val="16"/>
        </w:rPr>
      </w:pPr>
    </w:p>
    <w:p w14:paraId="452DC3E0" w14:textId="77777777" w:rsidR="003A22A9" w:rsidRPr="00DD7BD1" w:rsidRDefault="003A22A9" w:rsidP="003A22A9">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0"/>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allowed</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take</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following</w:t>
      </w:r>
      <w:r w:rsidRPr="00DD7BD1">
        <w:rPr>
          <w:rFonts w:cs="Calibri"/>
          <w:color w:val="auto"/>
          <w:spacing w:val="-10"/>
          <w:w w:val="110"/>
          <w:szCs w:val="22"/>
        </w:rPr>
        <w:t xml:space="preserve"> </w:t>
      </w:r>
      <w:r w:rsidRPr="00DD7BD1">
        <w:rPr>
          <w:rFonts w:cs="Calibri"/>
          <w:color w:val="auto"/>
          <w:w w:val="110"/>
          <w:szCs w:val="22"/>
        </w:rPr>
        <w:t>amounts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per</w:t>
      </w:r>
      <w:r w:rsidRPr="00DD7BD1">
        <w:rPr>
          <w:rFonts w:cs="Calibri"/>
          <w:color w:val="auto"/>
          <w:spacing w:val="-9"/>
          <w:w w:val="110"/>
          <w:szCs w:val="22"/>
        </w:rPr>
        <w:t xml:space="preserve"> </w:t>
      </w:r>
      <w:r w:rsidRPr="00DD7BD1">
        <w:rPr>
          <w:rFonts w:cs="Calibri"/>
          <w:color w:val="auto"/>
          <w:w w:val="110"/>
          <w:szCs w:val="22"/>
        </w:rPr>
        <w:t>federal</w:t>
      </w:r>
      <w:r w:rsidRPr="00DD7BD1">
        <w:rPr>
          <w:rFonts w:cs="Calibri"/>
          <w:color w:val="auto"/>
          <w:spacing w:val="-10"/>
          <w:w w:val="110"/>
          <w:szCs w:val="22"/>
        </w:rPr>
        <w:t xml:space="preserve"> </w:t>
      </w:r>
      <w:r w:rsidRPr="00DD7BD1">
        <w:rPr>
          <w:rFonts w:cs="Calibri"/>
          <w:color w:val="auto"/>
          <w:w w:val="110"/>
          <w:szCs w:val="22"/>
        </w:rPr>
        <w:t>fiscal</w:t>
      </w:r>
      <w:r w:rsidRPr="00DD7BD1">
        <w:rPr>
          <w:rFonts w:cs="Calibri"/>
          <w:color w:val="auto"/>
          <w:spacing w:val="-10"/>
          <w:w w:val="110"/>
          <w:szCs w:val="22"/>
        </w:rPr>
        <w:t xml:space="preserve"> </w:t>
      </w:r>
      <w:r w:rsidRPr="00DD7BD1">
        <w:rPr>
          <w:rFonts w:cs="Calibri"/>
          <w:color w:val="auto"/>
          <w:w w:val="110"/>
          <w:szCs w:val="22"/>
        </w:rPr>
        <w:t>year</w:t>
      </w:r>
      <w:r w:rsidRPr="00DD7BD1">
        <w:rPr>
          <w:rFonts w:cs="Calibri"/>
          <w:color w:val="auto"/>
          <w:spacing w:val="-9"/>
          <w:w w:val="110"/>
          <w:szCs w:val="22"/>
        </w:rPr>
        <w:t xml:space="preserve"> </w:t>
      </w:r>
      <w:r w:rsidRPr="00DD7BD1">
        <w:rPr>
          <w:rFonts w:cs="Calibri"/>
          <w:color w:val="auto"/>
          <w:w w:val="110"/>
          <w:szCs w:val="22"/>
        </w:rPr>
        <w:t>(October</w:t>
      </w:r>
      <w:r w:rsidRPr="00DD7BD1">
        <w:rPr>
          <w:rFonts w:cs="Calibri"/>
          <w:color w:val="auto"/>
          <w:spacing w:val="-9"/>
          <w:w w:val="110"/>
          <w:szCs w:val="22"/>
        </w:rPr>
        <w:t xml:space="preserve"> </w:t>
      </w:r>
      <w:r w:rsidRPr="00DD7BD1">
        <w:rPr>
          <w:rFonts w:cs="Calibri"/>
          <w:color w:val="auto"/>
          <w:w w:val="110"/>
          <w:szCs w:val="22"/>
        </w:rPr>
        <w:t>1 through September 30):</w:t>
      </w:r>
    </w:p>
    <w:p w14:paraId="07C031F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Up</w:t>
      </w:r>
      <w:r w:rsidRPr="00DD7BD1">
        <w:rPr>
          <w:rFonts w:ascii="Calibri" w:hAnsi="Calibri" w:cs="Calibri"/>
          <w:spacing w:val="23"/>
        </w:rPr>
        <w:t xml:space="preserve"> </w:t>
      </w:r>
      <w:r w:rsidRPr="00DD7BD1">
        <w:rPr>
          <w:rFonts w:ascii="Calibri" w:hAnsi="Calibri" w:cs="Calibri"/>
        </w:rPr>
        <w:t>to</w:t>
      </w:r>
      <w:r w:rsidRPr="00DD7BD1">
        <w:rPr>
          <w:rFonts w:ascii="Calibri" w:hAnsi="Calibri" w:cs="Calibri"/>
          <w:spacing w:val="20"/>
        </w:rPr>
        <w:t xml:space="preserve"> </w:t>
      </w:r>
      <w:r w:rsidRPr="00DD7BD1">
        <w:rPr>
          <w:rFonts w:ascii="Calibri" w:hAnsi="Calibri" w:cs="Calibri"/>
        </w:rPr>
        <w:t>10</w:t>
      </w:r>
      <w:r w:rsidRPr="00DD7BD1">
        <w:rPr>
          <w:rFonts w:ascii="Calibri" w:hAnsi="Calibri" w:cs="Calibri"/>
          <w:spacing w:val="19"/>
        </w:rPr>
        <w:t xml:space="preserve"> </w:t>
      </w:r>
      <w:r w:rsidRPr="00DD7BD1">
        <w:rPr>
          <w:rFonts w:ascii="Calibri" w:hAnsi="Calibri" w:cs="Calibri"/>
        </w:rPr>
        <w:t>workdays</w:t>
      </w:r>
      <w:r w:rsidRPr="00DD7BD1">
        <w:rPr>
          <w:rFonts w:ascii="Calibri" w:hAnsi="Calibri" w:cs="Calibri"/>
          <w:spacing w:val="24"/>
        </w:rPr>
        <w:t xml:space="preserve"> </w:t>
      </w:r>
      <w:r w:rsidRPr="00DD7BD1">
        <w:rPr>
          <w:rFonts w:ascii="Calibri" w:hAnsi="Calibri" w:cs="Calibri"/>
        </w:rPr>
        <w:t>to</w:t>
      </w:r>
      <w:r w:rsidRPr="00DD7BD1">
        <w:rPr>
          <w:rFonts w:ascii="Calibri" w:hAnsi="Calibri" w:cs="Calibri"/>
          <w:spacing w:val="23"/>
        </w:rPr>
        <w:t xml:space="preserve"> </w:t>
      </w:r>
      <w:r w:rsidRPr="00DD7BD1">
        <w:rPr>
          <w:rFonts w:ascii="Calibri" w:hAnsi="Calibri" w:cs="Calibri"/>
        </w:rPr>
        <w:t>train</w:t>
      </w:r>
      <w:r w:rsidRPr="00DD7BD1">
        <w:rPr>
          <w:rFonts w:ascii="Calibri" w:hAnsi="Calibri" w:cs="Calibri"/>
          <w:spacing w:val="24"/>
        </w:rPr>
        <w:t xml:space="preserve"> </w:t>
      </w:r>
      <w:r w:rsidRPr="00DD7BD1">
        <w:rPr>
          <w:rFonts w:ascii="Calibri" w:hAnsi="Calibri" w:cs="Calibri"/>
        </w:rPr>
        <w:t>for</w:t>
      </w:r>
      <w:r w:rsidRPr="00DD7BD1">
        <w:rPr>
          <w:rFonts w:ascii="Calibri" w:hAnsi="Calibri" w:cs="Calibri"/>
          <w:spacing w:val="17"/>
        </w:rPr>
        <w:t xml:space="preserve"> </w:t>
      </w:r>
      <w:r w:rsidRPr="00DD7BD1">
        <w:rPr>
          <w:rFonts w:ascii="Calibri" w:hAnsi="Calibri" w:cs="Calibri"/>
        </w:rPr>
        <w:t>emergency</w:t>
      </w:r>
      <w:r w:rsidRPr="00DD7BD1">
        <w:rPr>
          <w:rFonts w:ascii="Calibri" w:hAnsi="Calibri" w:cs="Calibri"/>
          <w:spacing w:val="20"/>
        </w:rPr>
        <w:t xml:space="preserve"> </w:t>
      </w:r>
      <w:r w:rsidRPr="00DD7BD1">
        <w:rPr>
          <w:rFonts w:ascii="Calibri" w:hAnsi="Calibri" w:cs="Calibri"/>
          <w:spacing w:val="-2"/>
        </w:rPr>
        <w:t>missions</w:t>
      </w:r>
    </w:p>
    <w:p w14:paraId="6076DB14" w14:textId="59630C10" w:rsidR="003A22A9" w:rsidRPr="00DD7BD1"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lastRenderedPageBreak/>
        <w:t>Up</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30</w:t>
      </w:r>
      <w:r w:rsidRPr="00DD7BD1">
        <w:rPr>
          <w:rFonts w:ascii="Calibri" w:hAnsi="Calibri" w:cs="Calibri"/>
          <w:spacing w:val="-10"/>
          <w:w w:val="110"/>
        </w:rPr>
        <w:t xml:space="preserve"> </w:t>
      </w:r>
      <w:r w:rsidRPr="00DD7BD1">
        <w:rPr>
          <w:rFonts w:ascii="Calibri" w:hAnsi="Calibri" w:cs="Calibri"/>
          <w:w w:val="110"/>
        </w:rPr>
        <w:t>workdays</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respond</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an</w:t>
      </w:r>
      <w:r w:rsidRPr="00DD7BD1">
        <w:rPr>
          <w:rFonts w:ascii="Calibri" w:hAnsi="Calibri" w:cs="Calibri"/>
          <w:spacing w:val="-7"/>
          <w:w w:val="110"/>
        </w:rPr>
        <w:t xml:space="preserve"> </w:t>
      </w:r>
      <w:r w:rsidRPr="00DD7BD1">
        <w:rPr>
          <w:rFonts w:ascii="Calibri" w:hAnsi="Calibri" w:cs="Calibri"/>
          <w:w w:val="110"/>
        </w:rPr>
        <w:t>emergency</w:t>
      </w:r>
      <w:r w:rsidRPr="00DD7BD1">
        <w:rPr>
          <w:rFonts w:ascii="Calibri" w:hAnsi="Calibri" w:cs="Calibri"/>
          <w:spacing w:val="-9"/>
          <w:w w:val="110"/>
        </w:rPr>
        <w:t xml:space="preserve"> </w:t>
      </w:r>
      <w:r w:rsidRPr="00DD7BD1">
        <w:rPr>
          <w:rFonts w:ascii="Calibri" w:hAnsi="Calibri" w:cs="Calibri"/>
          <w:w w:val="110"/>
        </w:rPr>
        <w:t>mission</w:t>
      </w:r>
      <w:r w:rsidRPr="00DD7BD1">
        <w:rPr>
          <w:rFonts w:ascii="Calibri" w:hAnsi="Calibri" w:cs="Calibri"/>
          <w:spacing w:val="-9"/>
          <w:w w:val="110"/>
        </w:rPr>
        <w:t xml:space="preserve"> </w:t>
      </w:r>
      <w:r w:rsidRPr="00DD7BD1">
        <w:rPr>
          <w:rFonts w:ascii="Calibri" w:hAnsi="Calibri" w:cs="Calibri"/>
          <w:w w:val="110"/>
        </w:rPr>
        <w:t>(including</w:t>
      </w:r>
      <w:r w:rsidRPr="00DD7BD1">
        <w:rPr>
          <w:rFonts w:ascii="Calibri" w:hAnsi="Calibri" w:cs="Calibri"/>
          <w:spacing w:val="-9"/>
          <w:w w:val="110"/>
        </w:rPr>
        <w:t xml:space="preserve"> </w:t>
      </w:r>
      <w:r w:rsidRPr="00DD7BD1">
        <w:rPr>
          <w:rFonts w:ascii="Calibri" w:hAnsi="Calibri" w:cs="Calibri"/>
          <w:w w:val="110"/>
        </w:rPr>
        <w:t>search</w:t>
      </w:r>
      <w:r w:rsidRPr="00DD7BD1">
        <w:rPr>
          <w:rFonts w:ascii="Calibri" w:hAnsi="Calibri" w:cs="Calibri"/>
          <w:spacing w:val="-9"/>
          <w:w w:val="110"/>
        </w:rPr>
        <w:t xml:space="preserve"> </w:t>
      </w:r>
      <w:r w:rsidRPr="00DD7BD1">
        <w:rPr>
          <w:rFonts w:ascii="Calibri" w:hAnsi="Calibri" w:cs="Calibri"/>
          <w:w w:val="110"/>
        </w:rPr>
        <w:t>and</w:t>
      </w:r>
      <w:r w:rsidRPr="00DD7BD1">
        <w:rPr>
          <w:rFonts w:ascii="Calibri" w:hAnsi="Calibri" w:cs="Calibri"/>
          <w:spacing w:val="-7"/>
          <w:w w:val="110"/>
        </w:rPr>
        <w:t xml:space="preserve"> </w:t>
      </w:r>
      <w:r w:rsidRPr="00DD7BD1">
        <w:rPr>
          <w:rFonts w:ascii="Calibri" w:hAnsi="Calibri" w:cs="Calibri"/>
          <w:w w:val="110"/>
        </w:rPr>
        <w:t>rescue</w:t>
      </w:r>
      <w:r w:rsidRPr="00DD7BD1">
        <w:rPr>
          <w:rFonts w:ascii="Calibri" w:hAnsi="Calibri" w:cs="Calibri"/>
          <w:spacing w:val="-7"/>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disaster response</w:t>
      </w:r>
      <w:r w:rsidRPr="00DD7BD1">
        <w:rPr>
          <w:rFonts w:ascii="Calibri" w:hAnsi="Calibri" w:cs="Calibri"/>
          <w:spacing w:val="-4"/>
          <w:w w:val="110"/>
        </w:rPr>
        <w:t xml:space="preserve"> </w:t>
      </w:r>
      <w:r w:rsidRPr="00DD7BD1">
        <w:rPr>
          <w:rFonts w:ascii="Calibri" w:hAnsi="Calibri" w:cs="Calibri"/>
          <w:w w:val="110"/>
        </w:rPr>
        <w:t>missions)</w:t>
      </w:r>
    </w:p>
    <w:p w14:paraId="4ABF7F2F" w14:textId="77777777" w:rsidR="003A22A9" w:rsidRPr="00DD7BD1" w:rsidRDefault="003A22A9" w:rsidP="003A22A9">
      <w:pPr>
        <w:spacing w:after="0"/>
        <w:ind w:right="-90"/>
        <w:rPr>
          <w:rFonts w:ascii="Calibri" w:hAnsi="Calibri" w:cs="Calibri"/>
          <w:b/>
          <w:bCs/>
          <w:shd w:val="clear" w:color="auto" w:fill="FFFFFF"/>
          <w:lang w:val="en"/>
        </w:rPr>
      </w:pPr>
      <w:r w:rsidRPr="00DD7BD1">
        <w:rPr>
          <w:rFonts w:ascii="Calibri" w:hAnsi="Calibri" w:cs="Calibri"/>
          <w:spacing w:val="-2"/>
          <w:w w:val="110"/>
        </w:rPr>
        <w:t>Employers</w:t>
      </w:r>
      <w:r w:rsidRPr="00DD7BD1">
        <w:rPr>
          <w:rFonts w:ascii="Calibri" w:hAnsi="Calibri" w:cs="Calibri"/>
          <w:spacing w:val="-7"/>
          <w:w w:val="110"/>
        </w:rPr>
        <w:t xml:space="preserve"> </w:t>
      </w:r>
      <w:r w:rsidRPr="00DD7BD1">
        <w:rPr>
          <w:rFonts w:ascii="Calibri" w:hAnsi="Calibri" w:cs="Calibri"/>
          <w:spacing w:val="-2"/>
          <w:w w:val="110"/>
        </w:rPr>
        <w:t>can’t</w:t>
      </w:r>
      <w:r w:rsidRPr="00DD7BD1">
        <w:rPr>
          <w:rFonts w:ascii="Calibri" w:hAnsi="Calibri" w:cs="Calibri"/>
          <w:spacing w:val="-7"/>
          <w:w w:val="110"/>
        </w:rPr>
        <w:t xml:space="preserve"> </w:t>
      </w:r>
      <w:r w:rsidRPr="00DD7BD1">
        <w:rPr>
          <w:rFonts w:ascii="Calibri" w:hAnsi="Calibri" w:cs="Calibri"/>
          <w:spacing w:val="-2"/>
          <w:w w:val="110"/>
        </w:rPr>
        <w:t>require</w:t>
      </w:r>
      <w:r w:rsidRPr="00DD7BD1">
        <w:rPr>
          <w:rFonts w:ascii="Calibri" w:hAnsi="Calibri" w:cs="Calibri"/>
          <w:spacing w:val="-10"/>
          <w:w w:val="110"/>
        </w:rPr>
        <w:t xml:space="preserve"> </w:t>
      </w:r>
      <w:r w:rsidRPr="00DD7BD1">
        <w:rPr>
          <w:rFonts w:ascii="Calibri" w:hAnsi="Calibri" w:cs="Calibri"/>
          <w:spacing w:val="-2"/>
          <w:w w:val="110"/>
        </w:rPr>
        <w:t>that</w:t>
      </w:r>
      <w:r w:rsidRPr="00DD7BD1">
        <w:rPr>
          <w:rFonts w:ascii="Calibri" w:hAnsi="Calibri" w:cs="Calibri"/>
          <w:spacing w:val="-7"/>
          <w:w w:val="110"/>
        </w:rPr>
        <w:t xml:space="preserve"> </w:t>
      </w:r>
      <w:r w:rsidRPr="00DD7BD1">
        <w:rPr>
          <w:rFonts w:ascii="Calibri" w:hAnsi="Calibri" w:cs="Calibri"/>
          <w:spacing w:val="-2"/>
          <w:w w:val="110"/>
        </w:rPr>
        <w:t>employees</w:t>
      </w:r>
      <w:r w:rsidRPr="00DD7BD1">
        <w:rPr>
          <w:rFonts w:ascii="Calibri" w:hAnsi="Calibri" w:cs="Calibri"/>
          <w:spacing w:val="-9"/>
          <w:w w:val="110"/>
        </w:rPr>
        <w:t xml:space="preserve"> </w:t>
      </w:r>
      <w:r w:rsidRPr="00DD7BD1">
        <w:rPr>
          <w:rFonts w:ascii="Calibri" w:hAnsi="Calibri" w:cs="Calibri"/>
          <w:spacing w:val="-2"/>
          <w:w w:val="110"/>
        </w:rPr>
        <w:t>exhaust</w:t>
      </w:r>
      <w:r w:rsidRPr="00DD7BD1">
        <w:rPr>
          <w:rFonts w:ascii="Calibri" w:hAnsi="Calibri" w:cs="Calibri"/>
          <w:spacing w:val="-10"/>
          <w:w w:val="110"/>
        </w:rPr>
        <w:t xml:space="preserve"> </w:t>
      </w:r>
      <w:r w:rsidRPr="00DD7BD1">
        <w:rPr>
          <w:rFonts w:ascii="Calibri" w:hAnsi="Calibri" w:cs="Calibri"/>
          <w:spacing w:val="-2"/>
          <w:w w:val="110"/>
        </w:rPr>
        <w:t>other</w:t>
      </w:r>
      <w:r w:rsidRPr="00DD7BD1">
        <w:rPr>
          <w:rFonts w:ascii="Calibri" w:hAnsi="Calibri" w:cs="Calibri"/>
          <w:spacing w:val="-7"/>
          <w:w w:val="110"/>
        </w:rPr>
        <w:t xml:space="preserve"> </w:t>
      </w:r>
      <w:r w:rsidRPr="00DD7BD1">
        <w:rPr>
          <w:rFonts w:ascii="Calibri" w:hAnsi="Calibri" w:cs="Calibri"/>
          <w:spacing w:val="-2"/>
          <w:w w:val="110"/>
        </w:rPr>
        <w:t>leave</w:t>
      </w:r>
      <w:r w:rsidRPr="00DD7BD1">
        <w:rPr>
          <w:rFonts w:ascii="Calibri" w:hAnsi="Calibri" w:cs="Calibri"/>
          <w:spacing w:val="-10"/>
          <w:w w:val="110"/>
        </w:rPr>
        <w:t xml:space="preserve"> </w:t>
      </w:r>
      <w:r w:rsidRPr="00DD7BD1">
        <w:rPr>
          <w:rFonts w:ascii="Calibri" w:hAnsi="Calibri" w:cs="Calibri"/>
          <w:spacing w:val="-2"/>
          <w:w w:val="110"/>
        </w:rPr>
        <w:t>they</w:t>
      </w:r>
      <w:r w:rsidRPr="00DD7BD1">
        <w:rPr>
          <w:rFonts w:ascii="Calibri" w:hAnsi="Calibri" w:cs="Calibri"/>
          <w:spacing w:val="-6"/>
          <w:w w:val="110"/>
        </w:rPr>
        <w:t xml:space="preserve"> </w:t>
      </w:r>
      <w:r w:rsidRPr="00DD7BD1">
        <w:rPr>
          <w:rFonts w:ascii="Calibri" w:hAnsi="Calibri" w:cs="Calibri"/>
          <w:spacing w:val="-2"/>
          <w:w w:val="110"/>
        </w:rPr>
        <w:t>are</w:t>
      </w:r>
      <w:r w:rsidRPr="00DD7BD1">
        <w:rPr>
          <w:rFonts w:ascii="Calibri" w:hAnsi="Calibri" w:cs="Calibri"/>
          <w:spacing w:val="-7"/>
          <w:w w:val="110"/>
        </w:rPr>
        <w:t xml:space="preserve"> </w:t>
      </w:r>
      <w:r w:rsidRPr="00DD7BD1">
        <w:rPr>
          <w:rFonts w:ascii="Calibri" w:hAnsi="Calibri" w:cs="Calibri"/>
          <w:spacing w:val="-2"/>
          <w:w w:val="110"/>
        </w:rPr>
        <w:t>entitled</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9"/>
          <w:w w:val="110"/>
        </w:rPr>
        <w:t xml:space="preserve"> </w:t>
      </w:r>
      <w:r w:rsidRPr="00DD7BD1">
        <w:rPr>
          <w:rFonts w:ascii="Calibri" w:hAnsi="Calibri" w:cs="Calibri"/>
          <w:spacing w:val="-2"/>
          <w:w w:val="110"/>
        </w:rPr>
        <w:t>before</w:t>
      </w:r>
      <w:r w:rsidRPr="00DD7BD1">
        <w:rPr>
          <w:rFonts w:ascii="Calibri" w:hAnsi="Calibri" w:cs="Calibri"/>
          <w:spacing w:val="-6"/>
          <w:w w:val="110"/>
        </w:rPr>
        <w:t xml:space="preserve"> </w:t>
      </w:r>
      <w:r w:rsidRPr="00DD7BD1">
        <w:rPr>
          <w:rFonts w:ascii="Calibri" w:hAnsi="Calibri" w:cs="Calibri"/>
          <w:spacing w:val="-2"/>
          <w:w w:val="110"/>
        </w:rPr>
        <w:t>using</w:t>
      </w:r>
      <w:r w:rsidRPr="00DD7BD1">
        <w:rPr>
          <w:rFonts w:ascii="Calibri" w:hAnsi="Calibri" w:cs="Calibri"/>
          <w:spacing w:val="-6"/>
          <w:w w:val="110"/>
        </w:rPr>
        <w:t xml:space="preserve"> </w:t>
      </w:r>
      <w:r w:rsidRPr="00DD7BD1">
        <w:rPr>
          <w:rFonts w:ascii="Calibri" w:hAnsi="Calibri" w:cs="Calibri"/>
          <w:spacing w:val="-2"/>
          <w:w w:val="110"/>
        </w:rPr>
        <w:t>leave</w:t>
      </w:r>
      <w:r w:rsidRPr="00DD7BD1">
        <w:rPr>
          <w:rFonts w:ascii="Calibri" w:hAnsi="Calibri" w:cs="Calibri"/>
          <w:spacing w:val="-9"/>
          <w:w w:val="110"/>
        </w:rPr>
        <w:t xml:space="preserve"> </w:t>
      </w:r>
      <w:r w:rsidRPr="00DD7BD1">
        <w:rPr>
          <w:rFonts w:ascii="Calibri" w:hAnsi="Calibri" w:cs="Calibri"/>
          <w:spacing w:val="-2"/>
          <w:w w:val="110"/>
        </w:rPr>
        <w:t>under</w:t>
      </w:r>
      <w:r w:rsidRPr="00DD7BD1">
        <w:rPr>
          <w:rFonts w:ascii="Calibri" w:hAnsi="Calibri" w:cs="Calibri"/>
          <w:spacing w:val="-7"/>
          <w:w w:val="110"/>
        </w:rPr>
        <w:t xml:space="preserve"> </w:t>
      </w:r>
      <w:r w:rsidRPr="00DD7BD1">
        <w:rPr>
          <w:rFonts w:ascii="Calibri" w:hAnsi="Calibri" w:cs="Calibri"/>
          <w:spacing w:val="-2"/>
          <w:w w:val="110"/>
        </w:rPr>
        <w:t>this</w:t>
      </w:r>
      <w:r w:rsidRPr="00DD7BD1">
        <w:rPr>
          <w:rFonts w:ascii="Calibri" w:hAnsi="Calibri" w:cs="Calibri"/>
          <w:spacing w:val="-7"/>
          <w:w w:val="110"/>
        </w:rPr>
        <w:t xml:space="preserve"> </w:t>
      </w:r>
      <w:r w:rsidRPr="00DD7BD1">
        <w:rPr>
          <w:rFonts w:ascii="Calibri" w:hAnsi="Calibri" w:cs="Calibri"/>
          <w:spacing w:val="-4"/>
          <w:w w:val="110"/>
        </w:rPr>
        <w:t>law.</w:t>
      </w:r>
    </w:p>
    <w:p w14:paraId="2F7EFDA6" w14:textId="77777777" w:rsidR="003A22A9" w:rsidRPr="00DD7BD1" w:rsidRDefault="003A22A9" w:rsidP="003A22A9">
      <w:pPr>
        <w:pStyle w:val="Heading1"/>
        <w:spacing w:before="0" w:beforeAutospacing="0" w:after="0" w:afterAutospacing="0"/>
        <w:ind w:right="360"/>
        <w:rPr>
          <w:rFonts w:ascii="Calibri" w:hAnsi="Calibri" w:cs="Calibri"/>
          <w:color w:val="C00000"/>
          <w:spacing w:val="-8"/>
          <w:sz w:val="22"/>
          <w:szCs w:val="22"/>
        </w:rPr>
      </w:pPr>
    </w:p>
    <w:p w14:paraId="35D59F66" w14:textId="3F4ECF41" w:rsidR="003A22A9" w:rsidRPr="00DD7BD1" w:rsidRDefault="003A22A9" w:rsidP="003A22A9">
      <w:pPr>
        <w:pStyle w:val="Heading1"/>
        <w:spacing w:before="0" w:beforeAutospacing="0" w:after="0" w:afterAutospacing="0"/>
        <w:ind w:right="-18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 Restricts Working Hours for 16 to 18 Year Olds – </w:t>
      </w:r>
      <w:r w:rsidRPr="00DD7BD1">
        <w:rPr>
          <w:rFonts w:ascii="Calibri" w:hAnsi="Calibri" w:cs="Calibri"/>
          <w:bCs w:val="0"/>
          <w:color w:val="C00000"/>
          <w:spacing w:val="-8"/>
          <w:kern w:val="0"/>
          <w:sz w:val="28"/>
          <w:szCs w:val="24"/>
        </w:rPr>
        <w:t>Eff Oct 1, 2025</w:t>
      </w:r>
    </w:p>
    <w:p w14:paraId="5F50DA94" w14:textId="77777777" w:rsidR="003A22A9" w:rsidRPr="00DD7BD1" w:rsidRDefault="003A22A9" w:rsidP="003A22A9">
      <w:pPr>
        <w:pStyle w:val="BodyText"/>
        <w:rPr>
          <w:rFonts w:cs="Calibri"/>
          <w:color w:val="auto"/>
          <w:szCs w:val="22"/>
        </w:rPr>
      </w:pP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rPr>
        <w:t>October</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2025,</w:t>
      </w:r>
      <w:r w:rsidRPr="00DD7BD1">
        <w:rPr>
          <w:rFonts w:cs="Calibri"/>
          <w:color w:val="auto"/>
          <w:spacing w:val="-2"/>
          <w:w w:val="110"/>
          <w:szCs w:val="22"/>
        </w:rPr>
        <w:t xml:space="preserve"> </w:t>
      </w:r>
      <w:r w:rsidRPr="00DD7BD1">
        <w:rPr>
          <w:rFonts w:cs="Calibri"/>
          <w:color w:val="auto"/>
          <w:w w:val="110"/>
          <w:szCs w:val="22"/>
          <w:u w:val="single"/>
        </w:rPr>
        <w:t>employees aged</w:t>
      </w:r>
      <w:r w:rsidRPr="00DD7BD1">
        <w:rPr>
          <w:rFonts w:cs="Calibri"/>
          <w:color w:val="auto"/>
          <w:spacing w:val="-4"/>
          <w:w w:val="110"/>
          <w:szCs w:val="22"/>
          <w:u w:val="single"/>
        </w:rPr>
        <w:t xml:space="preserve"> </w:t>
      </w:r>
      <w:r w:rsidRPr="00DD7BD1">
        <w:rPr>
          <w:rFonts w:cs="Calibri"/>
          <w:color w:val="auto"/>
          <w:w w:val="110"/>
          <w:szCs w:val="22"/>
          <w:u w:val="single"/>
        </w:rPr>
        <w:t>16–18</w:t>
      </w:r>
      <w:r w:rsidRPr="00DD7BD1">
        <w:rPr>
          <w:rFonts w:cs="Calibri"/>
          <w:color w:val="auto"/>
          <w:spacing w:val="-1"/>
          <w:w w:val="110"/>
          <w:szCs w:val="22"/>
          <w:u w:val="single"/>
        </w:rPr>
        <w:t xml:space="preserve"> </w:t>
      </w:r>
      <w:r w:rsidRPr="00DD7BD1">
        <w:rPr>
          <w:rFonts w:cs="Calibri"/>
          <w:color w:val="auto"/>
          <w:w w:val="110"/>
          <w:szCs w:val="22"/>
          <w:u w:val="single"/>
        </w:rPr>
        <w:t>who</w:t>
      </w:r>
      <w:r w:rsidRPr="00DD7BD1">
        <w:rPr>
          <w:rFonts w:cs="Calibri"/>
          <w:color w:val="auto"/>
          <w:spacing w:val="-3"/>
          <w:w w:val="110"/>
          <w:szCs w:val="22"/>
          <w:u w:val="single"/>
        </w:rPr>
        <w:t xml:space="preserve"> </w:t>
      </w:r>
      <w:r w:rsidRPr="00DD7BD1">
        <w:rPr>
          <w:rFonts w:cs="Calibri"/>
          <w:color w:val="auto"/>
          <w:w w:val="110"/>
          <w:szCs w:val="22"/>
          <w:u w:val="single"/>
        </w:rPr>
        <w:t>are</w:t>
      </w:r>
      <w:r w:rsidRPr="00DD7BD1">
        <w:rPr>
          <w:rFonts w:cs="Calibri"/>
          <w:color w:val="auto"/>
          <w:spacing w:val="-4"/>
          <w:w w:val="110"/>
          <w:szCs w:val="22"/>
          <w:u w:val="single"/>
        </w:rPr>
        <w:t xml:space="preserve"> </w:t>
      </w:r>
      <w:r w:rsidRPr="00DD7BD1">
        <w:rPr>
          <w:rFonts w:cs="Calibri"/>
          <w:color w:val="auto"/>
          <w:w w:val="110"/>
          <w:szCs w:val="22"/>
          <w:u w:val="single"/>
        </w:rPr>
        <w:t>enrolled</w:t>
      </w:r>
      <w:r w:rsidRPr="00DD7BD1">
        <w:rPr>
          <w:rFonts w:cs="Calibri"/>
          <w:color w:val="auto"/>
          <w:spacing w:val="-2"/>
          <w:w w:val="110"/>
          <w:szCs w:val="22"/>
          <w:u w:val="single"/>
        </w:rPr>
        <w:t xml:space="preserve"> </w:t>
      </w:r>
      <w:r w:rsidRPr="00DD7BD1">
        <w:rPr>
          <w:rFonts w:cs="Calibri"/>
          <w:color w:val="auto"/>
          <w:w w:val="110"/>
          <w:szCs w:val="22"/>
          <w:u w:val="single"/>
        </w:rPr>
        <w:t>in</w:t>
      </w:r>
      <w:r w:rsidRPr="00DD7BD1">
        <w:rPr>
          <w:rFonts w:cs="Calibri"/>
          <w:color w:val="auto"/>
          <w:spacing w:val="-1"/>
          <w:w w:val="110"/>
          <w:szCs w:val="22"/>
          <w:u w:val="single"/>
        </w:rPr>
        <w:t xml:space="preserve"> </w:t>
      </w:r>
      <w:r w:rsidRPr="00DD7BD1">
        <w:rPr>
          <w:rFonts w:cs="Calibri"/>
          <w:color w:val="auto"/>
          <w:w w:val="110"/>
          <w:szCs w:val="22"/>
          <w:u w:val="single"/>
        </w:rPr>
        <w:t>a</w:t>
      </w:r>
      <w:r w:rsidRPr="00DD7BD1">
        <w:rPr>
          <w:rFonts w:cs="Calibri"/>
          <w:color w:val="auto"/>
          <w:spacing w:val="-5"/>
          <w:w w:val="110"/>
          <w:szCs w:val="22"/>
          <w:u w:val="single"/>
        </w:rPr>
        <w:t xml:space="preserve"> </w:t>
      </w:r>
      <w:r w:rsidRPr="00DD7BD1">
        <w:rPr>
          <w:rFonts w:cs="Calibri"/>
          <w:color w:val="auto"/>
          <w:w w:val="110"/>
          <w:szCs w:val="22"/>
          <w:u w:val="single"/>
        </w:rPr>
        <w:t>public</w:t>
      </w:r>
      <w:r w:rsidRPr="00DD7BD1">
        <w:rPr>
          <w:rFonts w:cs="Calibri"/>
          <w:color w:val="auto"/>
          <w:spacing w:val="-2"/>
          <w:w w:val="110"/>
          <w:szCs w:val="22"/>
          <w:u w:val="single"/>
        </w:rPr>
        <w:t xml:space="preserve"> </w:t>
      </w:r>
      <w:r w:rsidRPr="00DD7BD1">
        <w:rPr>
          <w:rFonts w:cs="Calibri"/>
          <w:color w:val="auto"/>
          <w:w w:val="110"/>
          <w:szCs w:val="22"/>
          <w:u w:val="single"/>
        </w:rPr>
        <w:t>or</w:t>
      </w:r>
      <w:r w:rsidRPr="00DD7BD1">
        <w:rPr>
          <w:rFonts w:cs="Calibri"/>
          <w:color w:val="auto"/>
          <w:spacing w:val="-5"/>
          <w:w w:val="110"/>
          <w:szCs w:val="22"/>
          <w:u w:val="single"/>
        </w:rPr>
        <w:t xml:space="preserve"> </w:t>
      </w:r>
      <w:r w:rsidRPr="00DD7BD1">
        <w:rPr>
          <w:rFonts w:cs="Calibri"/>
          <w:color w:val="auto"/>
          <w:w w:val="110"/>
          <w:szCs w:val="22"/>
          <w:u w:val="single"/>
        </w:rPr>
        <w:t>private</w:t>
      </w:r>
      <w:r w:rsidRPr="00DD7BD1">
        <w:rPr>
          <w:rFonts w:cs="Calibri"/>
          <w:color w:val="auto"/>
          <w:spacing w:val="-4"/>
          <w:w w:val="110"/>
          <w:szCs w:val="22"/>
          <w:u w:val="single"/>
        </w:rPr>
        <w:t xml:space="preserve"> </w:t>
      </w:r>
      <w:r w:rsidRPr="00DD7BD1">
        <w:rPr>
          <w:rFonts w:cs="Calibri"/>
          <w:color w:val="auto"/>
          <w:w w:val="110"/>
          <w:szCs w:val="22"/>
          <w:u w:val="single"/>
        </w:rPr>
        <w:t>high</w:t>
      </w:r>
      <w:r w:rsidRPr="00DD7BD1">
        <w:rPr>
          <w:rFonts w:cs="Calibri"/>
          <w:color w:val="auto"/>
          <w:spacing w:val="-4"/>
          <w:w w:val="110"/>
          <w:szCs w:val="22"/>
          <w:u w:val="single"/>
        </w:rPr>
        <w:t xml:space="preserve"> </w:t>
      </w:r>
      <w:r w:rsidRPr="00DD7BD1">
        <w:rPr>
          <w:rFonts w:cs="Calibri"/>
          <w:color w:val="auto"/>
          <w:w w:val="110"/>
          <w:szCs w:val="22"/>
          <w:u w:val="single"/>
        </w:rPr>
        <w:t>school</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1"/>
          <w:w w:val="110"/>
          <w:szCs w:val="22"/>
        </w:rPr>
        <w:t xml:space="preserve"> </w:t>
      </w:r>
      <w:r w:rsidRPr="00DD7BD1">
        <w:rPr>
          <w:rFonts w:cs="Calibri"/>
          <w:color w:val="auto"/>
          <w:spacing w:val="-2"/>
          <w:w w:val="110"/>
          <w:szCs w:val="22"/>
        </w:rPr>
        <w:t>aren’t</w:t>
      </w:r>
    </w:p>
    <w:p w14:paraId="3BDE4764" w14:textId="77777777" w:rsidR="003A22A9" w:rsidRPr="00DD7BD1" w:rsidRDefault="003A22A9" w:rsidP="003A22A9">
      <w:pPr>
        <w:pStyle w:val="BodyText"/>
        <w:spacing w:before="10"/>
        <w:rPr>
          <w:rFonts w:cs="Calibri"/>
          <w:szCs w:val="22"/>
        </w:rPr>
      </w:pPr>
      <w:r w:rsidRPr="00DD7BD1">
        <w:rPr>
          <w:rFonts w:cs="Calibri"/>
          <w:color w:val="auto"/>
          <w:w w:val="110"/>
          <w:szCs w:val="22"/>
        </w:rPr>
        <w:t>emancipated</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generally</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8"/>
          <w:w w:val="110"/>
          <w:szCs w:val="22"/>
        </w:rPr>
        <w:t xml:space="preserve"> </w:t>
      </w:r>
      <w:r w:rsidRPr="00DD7BD1">
        <w:rPr>
          <w:rFonts w:cs="Calibri"/>
          <w:color w:val="auto"/>
          <w:w w:val="110"/>
          <w:szCs w:val="22"/>
        </w:rPr>
        <w:t>prohibited</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working</w:t>
      </w:r>
      <w:r w:rsidRPr="00DD7BD1">
        <w:rPr>
          <w:rFonts w:cs="Calibri"/>
          <w:color w:val="auto"/>
          <w:spacing w:val="-16"/>
          <w:w w:val="110"/>
          <w:szCs w:val="22"/>
        </w:rPr>
        <w:t xml:space="preserve"> </w:t>
      </w:r>
      <w:r w:rsidRPr="00DD7BD1">
        <w:rPr>
          <w:rFonts w:cs="Calibri"/>
          <w:color w:val="auto"/>
          <w:w w:val="110"/>
          <w:szCs w:val="22"/>
        </w:rPr>
        <w:t>between</w:t>
      </w:r>
      <w:r w:rsidRPr="00DD7BD1">
        <w:rPr>
          <w:rFonts w:cs="Calibri"/>
          <w:color w:val="auto"/>
          <w:spacing w:val="-17"/>
          <w:w w:val="110"/>
          <w:szCs w:val="22"/>
        </w:rPr>
        <w:t xml:space="preserve"> </w:t>
      </w:r>
      <w:r w:rsidRPr="00DD7BD1">
        <w:rPr>
          <w:rFonts w:cs="Calibri"/>
          <w:color w:val="auto"/>
          <w:w w:val="110"/>
          <w:szCs w:val="22"/>
        </w:rPr>
        <w:t>11</w:t>
      </w:r>
      <w:r w:rsidRPr="00DD7BD1">
        <w:rPr>
          <w:rFonts w:cs="Calibri"/>
          <w:color w:val="auto"/>
          <w:spacing w:val="-15"/>
          <w:w w:val="110"/>
          <w:szCs w:val="22"/>
        </w:rPr>
        <w:t xml:space="preserve"> </w:t>
      </w:r>
      <w:r w:rsidRPr="00DD7BD1">
        <w:rPr>
          <w:rFonts w:cs="Calibri"/>
          <w:color w:val="auto"/>
          <w:w w:val="110"/>
          <w:szCs w:val="22"/>
        </w:rPr>
        <w:t>p.m.</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6</w:t>
      </w:r>
      <w:r w:rsidRPr="00DD7BD1">
        <w:rPr>
          <w:rFonts w:cs="Calibri"/>
          <w:color w:val="auto"/>
          <w:spacing w:val="-14"/>
          <w:w w:val="110"/>
          <w:szCs w:val="22"/>
        </w:rPr>
        <w:t xml:space="preserve"> </w:t>
      </w:r>
      <w:r w:rsidRPr="00DD7BD1">
        <w:rPr>
          <w:rFonts w:cs="Calibri"/>
          <w:color w:val="auto"/>
          <w:w w:val="110"/>
          <w:szCs w:val="22"/>
        </w:rPr>
        <w:t>a.m.</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school</w:t>
      </w:r>
      <w:r w:rsidRPr="00DD7BD1">
        <w:rPr>
          <w:rFonts w:cs="Calibri"/>
          <w:color w:val="auto"/>
          <w:spacing w:val="-18"/>
          <w:w w:val="110"/>
          <w:szCs w:val="22"/>
        </w:rPr>
        <w:t xml:space="preserve"> </w:t>
      </w:r>
      <w:r w:rsidRPr="00DD7BD1">
        <w:rPr>
          <w:rFonts w:cs="Calibri"/>
          <w:color w:val="auto"/>
          <w:w w:val="110"/>
          <w:szCs w:val="22"/>
        </w:rPr>
        <w:t>nights</w:t>
      </w:r>
      <w:r w:rsidRPr="00DD7BD1">
        <w:rPr>
          <w:rFonts w:cs="Calibri"/>
          <w:color w:val="auto"/>
          <w:spacing w:val="-8"/>
          <w:w w:val="110"/>
          <w:szCs w:val="22"/>
        </w:rPr>
        <w:t xml:space="preserve"> </w:t>
      </w:r>
      <w:r w:rsidRPr="00DD7BD1">
        <w:rPr>
          <w:rFonts w:cs="Calibri"/>
          <w:color w:val="auto"/>
          <w:w w:val="110"/>
          <w:szCs w:val="22"/>
        </w:rPr>
        <w:t>under</w:t>
      </w:r>
      <w:r w:rsidRPr="00DD7BD1">
        <w:rPr>
          <w:rFonts w:cs="Calibri"/>
          <w:color w:val="auto"/>
          <w:spacing w:val="-15"/>
          <w:w w:val="110"/>
          <w:szCs w:val="22"/>
        </w:rPr>
        <w:t xml:space="preserve"> </w:t>
      </w:r>
      <w:hyperlink r:id="rId906">
        <w:r w:rsidRPr="00DD7BD1">
          <w:rPr>
            <w:rFonts w:cs="Calibri"/>
            <w:color w:val="0000FF"/>
            <w:w w:val="110"/>
            <w:szCs w:val="22"/>
            <w:u w:val="single" w:color="0000FF"/>
          </w:rPr>
          <w:t>AB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215</w:t>
        </w:r>
      </w:hyperlink>
      <w:r w:rsidRPr="00DD7BD1">
        <w:rPr>
          <w:rFonts w:cs="Calibri"/>
          <w:color w:val="0000FF"/>
          <w:spacing w:val="-14"/>
          <w:w w:val="110"/>
          <w:szCs w:val="22"/>
        </w:rPr>
        <w:t xml:space="preserve"> </w:t>
      </w:r>
      <w:r w:rsidRPr="00DD7BD1">
        <w:rPr>
          <w:rFonts w:cs="Calibri"/>
          <w:color w:val="2D74B5"/>
          <w:spacing w:val="-10"/>
          <w:w w:val="110"/>
          <w:szCs w:val="22"/>
        </w:rPr>
        <w:t>.</w:t>
      </w:r>
    </w:p>
    <w:p w14:paraId="58297589" w14:textId="7916DFE4" w:rsidR="003A22A9" w:rsidRPr="00DD7BD1" w:rsidRDefault="003A22A9" w:rsidP="003A22A9">
      <w:pPr>
        <w:pStyle w:val="BodyText"/>
        <w:spacing w:after="0" w:line="240" w:lineRule="auto"/>
        <w:rPr>
          <w:rFonts w:cs="Calibri"/>
          <w:color w:val="auto"/>
          <w:w w:val="110"/>
          <w:szCs w:val="22"/>
        </w:rPr>
      </w:pPr>
      <w:r w:rsidRPr="00DD7BD1">
        <w:rPr>
          <w:rFonts w:cs="Calibri"/>
          <w:color w:val="auto"/>
          <w:w w:val="110"/>
          <w:szCs w:val="22"/>
        </w:rPr>
        <w:t xml:space="preserve">This restriction doesn’t apply to certain occupations, such as lifeguards, arcade employees, stage or theatrical </w:t>
      </w:r>
      <w:r w:rsidRPr="00DD7BD1">
        <w:rPr>
          <w:rFonts w:cs="Calibri"/>
          <w:color w:val="auto"/>
          <w:szCs w:val="22"/>
        </w:rPr>
        <w:t>performers,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farm</w:t>
      </w:r>
      <w:r w:rsidRPr="00DD7BD1">
        <w:rPr>
          <w:rFonts w:cs="Calibri"/>
          <w:color w:val="auto"/>
          <w:spacing w:val="35"/>
          <w:szCs w:val="22"/>
        </w:rPr>
        <w:t xml:space="preserve"> </w:t>
      </w:r>
      <w:r w:rsidRPr="00DD7BD1">
        <w:rPr>
          <w:rFonts w:cs="Calibri"/>
          <w:color w:val="auto"/>
          <w:szCs w:val="22"/>
        </w:rPr>
        <w:t>workers.</w:t>
      </w:r>
      <w:r w:rsidRPr="00DD7BD1">
        <w:rPr>
          <w:rFonts w:cs="Calibri"/>
          <w:color w:val="auto"/>
          <w:spacing w:val="29"/>
          <w:szCs w:val="22"/>
        </w:rPr>
        <w:t xml:space="preserve"> </w:t>
      </w:r>
      <w:r w:rsidRPr="00DD7BD1">
        <w:rPr>
          <w:rFonts w:cs="Calibri"/>
          <w:color w:val="auto"/>
          <w:szCs w:val="22"/>
        </w:rPr>
        <w:t>Additionally,</w:t>
      </w:r>
      <w:r w:rsidRPr="00DD7BD1">
        <w:rPr>
          <w:rFonts w:cs="Calibri"/>
          <w:color w:val="auto"/>
          <w:spacing w:val="35"/>
          <w:szCs w:val="22"/>
        </w:rPr>
        <w:t xml:space="preserve"> </w:t>
      </w:r>
      <w:r w:rsidRPr="00DD7BD1">
        <w:rPr>
          <w:rFonts w:cs="Calibri"/>
          <w:color w:val="auto"/>
          <w:szCs w:val="22"/>
        </w:rPr>
        <w:t>a</w:t>
      </w:r>
      <w:r w:rsidRPr="00DD7BD1">
        <w:rPr>
          <w:rFonts w:cs="Calibri"/>
          <w:color w:val="auto"/>
          <w:spacing w:val="25"/>
          <w:szCs w:val="22"/>
        </w:rPr>
        <w:t xml:space="preserve"> </w:t>
      </w:r>
      <w:r w:rsidRPr="00DD7BD1">
        <w:rPr>
          <w:rFonts w:cs="Calibri"/>
          <w:color w:val="auto"/>
          <w:szCs w:val="22"/>
        </w:rPr>
        <w:t>school</w:t>
      </w:r>
      <w:r w:rsidRPr="00DD7BD1">
        <w:rPr>
          <w:rFonts w:cs="Calibri"/>
          <w:color w:val="auto"/>
          <w:spacing w:val="33"/>
          <w:szCs w:val="22"/>
        </w:rPr>
        <w:t xml:space="preserve"> </w:t>
      </w:r>
      <w:r w:rsidRPr="00DD7BD1">
        <w:rPr>
          <w:rFonts w:cs="Calibri"/>
          <w:color w:val="auto"/>
          <w:szCs w:val="22"/>
        </w:rPr>
        <w:t>district,</w:t>
      </w:r>
      <w:r w:rsidRPr="00DD7BD1">
        <w:rPr>
          <w:rFonts w:cs="Calibri"/>
          <w:color w:val="auto"/>
          <w:spacing w:val="33"/>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governing</w:t>
      </w:r>
      <w:r w:rsidRPr="00DD7BD1">
        <w:rPr>
          <w:rFonts w:cs="Calibri"/>
          <w:color w:val="auto"/>
          <w:spacing w:val="31"/>
          <w:szCs w:val="22"/>
        </w:rPr>
        <w:t xml:space="preserve"> </w:t>
      </w:r>
      <w:r w:rsidRPr="00DD7BD1">
        <w:rPr>
          <w:rFonts w:cs="Calibri"/>
          <w:color w:val="auto"/>
          <w:szCs w:val="22"/>
        </w:rPr>
        <w:t>body</w:t>
      </w:r>
      <w:r w:rsidRPr="00DD7BD1">
        <w:rPr>
          <w:rFonts w:cs="Calibri"/>
          <w:color w:val="auto"/>
          <w:spacing w:val="31"/>
          <w:szCs w:val="22"/>
        </w:rPr>
        <w:t xml:space="preserve"> </w:t>
      </w:r>
      <w:r w:rsidRPr="00DD7BD1">
        <w:rPr>
          <w:rFonts w:cs="Calibri"/>
          <w:color w:val="auto"/>
          <w:szCs w:val="22"/>
        </w:rPr>
        <w:t>of</w:t>
      </w:r>
      <w:r w:rsidRPr="00DD7BD1">
        <w:rPr>
          <w:rFonts w:cs="Calibri"/>
          <w:color w:val="auto"/>
          <w:spacing w:val="29"/>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high</w:t>
      </w:r>
      <w:r w:rsidRPr="00DD7BD1">
        <w:rPr>
          <w:rFonts w:cs="Calibri"/>
          <w:color w:val="auto"/>
          <w:spacing w:val="31"/>
          <w:szCs w:val="22"/>
        </w:rPr>
        <w:t xml:space="preserve"> </w:t>
      </w:r>
      <w:r w:rsidRPr="00DD7BD1">
        <w:rPr>
          <w:rFonts w:cs="Calibri"/>
          <w:color w:val="auto"/>
          <w:szCs w:val="22"/>
        </w:rPr>
        <w:t>school,</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a</w:t>
      </w:r>
      <w:r w:rsidRPr="00DD7BD1">
        <w:rPr>
          <w:rFonts w:cs="Calibri"/>
          <w:color w:val="auto"/>
          <w:spacing w:val="35"/>
          <w:szCs w:val="22"/>
        </w:rPr>
        <w:t xml:space="preserve"> </w:t>
      </w:r>
      <w:r w:rsidRPr="00DD7BD1">
        <w:rPr>
          <w:rFonts w:cs="Calibri"/>
          <w:color w:val="auto"/>
          <w:szCs w:val="22"/>
        </w:rPr>
        <w:t>juvenile</w:t>
      </w:r>
      <w:r w:rsidRPr="00DD7BD1">
        <w:rPr>
          <w:rFonts w:cs="Calibri"/>
          <w:color w:val="auto"/>
          <w:spacing w:val="35"/>
          <w:szCs w:val="22"/>
        </w:rPr>
        <w:t xml:space="preserve"> </w:t>
      </w:r>
      <w:r w:rsidRPr="00DD7BD1">
        <w:rPr>
          <w:rFonts w:cs="Calibri"/>
          <w:color w:val="auto"/>
          <w:szCs w:val="22"/>
        </w:rPr>
        <w:t xml:space="preserve">court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grant</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exemption if</w:t>
      </w:r>
      <w:r w:rsidRPr="00DD7BD1">
        <w:rPr>
          <w:rFonts w:cs="Calibri"/>
          <w:color w:val="auto"/>
          <w:spacing w:val="-3"/>
          <w:w w:val="110"/>
          <w:szCs w:val="22"/>
        </w:rPr>
        <w:t xml:space="preserve"> </w:t>
      </w:r>
      <w:r w:rsidRPr="00DD7BD1">
        <w:rPr>
          <w:rFonts w:cs="Calibri"/>
          <w:color w:val="auto"/>
          <w:w w:val="110"/>
          <w:szCs w:val="22"/>
        </w:rPr>
        <w:t>it</w:t>
      </w:r>
      <w:r w:rsidRPr="00DD7BD1">
        <w:rPr>
          <w:rFonts w:cs="Calibri"/>
          <w:color w:val="auto"/>
          <w:spacing w:val="-3"/>
          <w:w w:val="110"/>
          <w:szCs w:val="22"/>
        </w:rPr>
        <w:t xml:space="preserve"> </w:t>
      </w:r>
      <w:r w:rsidRPr="00DD7BD1">
        <w:rPr>
          <w:rFonts w:cs="Calibri"/>
          <w:color w:val="auto"/>
          <w:w w:val="110"/>
          <w:szCs w:val="22"/>
        </w:rPr>
        <w:t>determines</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it’s</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best</w:t>
      </w:r>
      <w:r w:rsidRPr="00DD7BD1">
        <w:rPr>
          <w:rFonts w:cs="Calibri"/>
          <w:color w:val="auto"/>
          <w:spacing w:val="-3"/>
          <w:w w:val="110"/>
          <w:szCs w:val="22"/>
        </w:rPr>
        <w:t xml:space="preserve"> </w:t>
      </w:r>
      <w:r w:rsidRPr="00DD7BD1">
        <w:rPr>
          <w:rFonts w:cs="Calibri"/>
          <w:color w:val="auto"/>
          <w:w w:val="110"/>
          <w:szCs w:val="22"/>
        </w:rPr>
        <w:t>interest</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minor.</w:t>
      </w:r>
    </w:p>
    <w:p w14:paraId="53754BDB" w14:textId="77777777" w:rsidR="003A22A9" w:rsidRPr="00DD7BD1" w:rsidRDefault="003A22A9" w:rsidP="003A22A9">
      <w:pPr>
        <w:pStyle w:val="BodyText"/>
        <w:spacing w:after="0" w:line="240" w:lineRule="auto"/>
        <w:rPr>
          <w:rFonts w:cs="Calibri"/>
          <w:color w:val="auto"/>
          <w:szCs w:val="22"/>
        </w:rPr>
      </w:pPr>
    </w:p>
    <w:p w14:paraId="48BF2C8D" w14:textId="2ADF6B70" w:rsidR="00AD4A8E" w:rsidRPr="00DD7BD1" w:rsidRDefault="00AD4A8E" w:rsidP="00AD4A8E">
      <w:pPr>
        <w:shd w:val="clear" w:color="auto" w:fill="FFFFFF"/>
        <w:jc w:val="center"/>
        <w:rPr>
          <w:rStyle w:val="typographytype-sc-ws1d2d-0"/>
          <w:rFonts w:ascii="Calibri" w:hAnsi="Calibri" w:cs="Calibri"/>
          <w:b/>
          <w:bCs/>
          <w:color w:val="282828"/>
        </w:rPr>
      </w:pPr>
      <w:r w:rsidRPr="00DD7BD1">
        <w:rPr>
          <w:rFonts w:ascii="Calibri" w:hAnsi="Calibri" w:cs="Calibri"/>
          <w:b/>
          <w:bCs/>
          <w:sz w:val="28"/>
          <w:szCs w:val="28"/>
          <w:shd w:val="clear" w:color="auto" w:fill="FFFFFF"/>
          <w:lang w:val="en"/>
        </w:rPr>
        <w:t xml:space="preserve">State’s Employee Savings Trust Retirement Program Enacted – </w:t>
      </w:r>
      <w:r w:rsidRPr="00DD7BD1">
        <w:rPr>
          <w:rFonts w:ascii="Calibri" w:hAnsi="Calibri" w:cs="Calibri"/>
          <w:b/>
          <w:bCs/>
          <w:color w:val="C00000"/>
          <w:sz w:val="28"/>
          <w:szCs w:val="28"/>
          <w:shd w:val="clear" w:color="auto" w:fill="FFFFFF"/>
          <w:lang w:val="en"/>
        </w:rPr>
        <w:t>Eff July 1, 2025</w:t>
      </w:r>
    </w:p>
    <w:p w14:paraId="691CFC74" w14:textId="77777777" w:rsidR="00AD4A8E" w:rsidRPr="00DD7BD1" w:rsidRDefault="00AD4A8E" w:rsidP="00AD4A8E">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 xml:space="preserve">The program is scheduled to be operational on </w:t>
      </w:r>
      <w:r w:rsidRPr="00DD7BD1">
        <w:rPr>
          <w:rFonts w:ascii="Calibri" w:hAnsi="Calibri" w:cs="Calibri"/>
          <w:color w:val="C00000"/>
          <w:sz w:val="22"/>
          <w:szCs w:val="22"/>
        </w:rPr>
        <w:t xml:space="preserve">July 1, 2025, </w:t>
      </w:r>
      <w:r w:rsidRPr="00DD7BD1">
        <w:rPr>
          <w:rFonts w:ascii="Calibri" w:hAnsi="Calibri" w:cs="Calibri"/>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16"/>
          <w:szCs w:val="16"/>
        </w:rPr>
      </w:pPr>
    </w:p>
    <w:p w14:paraId="54691D83"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Details are available in the </w:t>
      </w:r>
      <w:hyperlink r:id="rId907" w:tgtFrame="_blank" w:history="1">
        <w:r w:rsidRPr="00DD7BD1">
          <w:rPr>
            <w:rStyle w:val="Hyperlink"/>
            <w:rFonts w:ascii="Calibri" w:eastAsiaTheme="majorEastAsia" w:hAnsi="Calibri" w:cs="Calibri"/>
            <w:color w:val="3052DA"/>
            <w:sz w:val="22"/>
            <w:szCs w:val="22"/>
          </w:rPr>
          <w:t>NV S 305</w:t>
        </w:r>
      </w:hyperlink>
      <w:r w:rsidRPr="00DD7BD1">
        <w:rPr>
          <w:rFonts w:ascii="Calibri" w:hAnsi="Calibri" w:cs="Calibri"/>
          <w:color w:val="282828"/>
          <w:sz w:val="22"/>
          <w:szCs w:val="22"/>
        </w:rPr>
        <w:t> legislative text, and a program summary can be found on the </w:t>
      </w:r>
      <w:r w:rsidRPr="00DD7BD1">
        <w:rPr>
          <w:rFonts w:ascii="Calibri" w:eastAsiaTheme="majorEastAsia" w:hAnsi="Calibri" w:cs="Calibri"/>
          <w:sz w:val="22"/>
          <w:szCs w:val="22"/>
        </w:rPr>
        <w:t>State-Facilitated Retirement Programs</w:t>
      </w:r>
      <w:r w:rsidRPr="00DD7BD1">
        <w:rPr>
          <w:rFonts w:ascii="Calibri" w:hAnsi="Calibri" w:cs="Calibri"/>
          <w:color w:val="282828"/>
          <w:sz w:val="22"/>
          <w:szCs w:val="22"/>
        </w:rPr>
        <w:t> page.</w:t>
      </w:r>
    </w:p>
    <w:p w14:paraId="7759BD46" w14:textId="77777777" w:rsidR="00AD4A8E" w:rsidRPr="00DD7BD1" w:rsidRDefault="00AD4A8E" w:rsidP="0095771D">
      <w:pPr>
        <w:spacing w:after="0" w:line="240" w:lineRule="auto"/>
        <w:rPr>
          <w:rFonts w:ascii="Calibri" w:hAnsi="Calibri" w:cs="Calibri"/>
          <w:b/>
          <w:bCs/>
          <w:shd w:val="clear" w:color="auto" w:fill="FFFFFF"/>
          <w:lang w:val="en"/>
        </w:rPr>
      </w:pPr>
    </w:p>
    <w:p w14:paraId="54CF83B3" w14:textId="3E2A49B0" w:rsidR="0095771D" w:rsidRPr="00DD7BD1" w:rsidRDefault="0095771D" w:rsidP="0095771D">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Guidance Released: State Heat Illness Prevention Rule – </w:t>
      </w:r>
      <w:r w:rsidRPr="00DD7BD1">
        <w:rPr>
          <w:rFonts w:ascii="Calibri" w:hAnsi="Calibri" w:cs="Calibri"/>
          <w:b/>
          <w:bCs/>
          <w:color w:val="C00000"/>
          <w:sz w:val="28"/>
          <w:szCs w:val="28"/>
          <w:shd w:val="clear" w:color="auto" w:fill="FFFFFF"/>
          <w:lang w:val="en"/>
        </w:rPr>
        <w:t>Enforced April 29, 2025</w:t>
      </w:r>
    </w:p>
    <w:p w14:paraId="37FC3D46"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Nevada Division of Industrial Relations (DIR) of the Department of Business and Industry adopted a heat illness </w:t>
      </w:r>
      <w:hyperlink r:id="rId908" w:history="1">
        <w:r w:rsidRPr="00DD7BD1">
          <w:rPr>
            <w:rStyle w:val="Hyperlink"/>
            <w:rFonts w:ascii="Calibri" w:hAnsi="Calibri" w:cs="Calibri"/>
            <w:shd w:val="clear" w:color="auto" w:fill="FFFFFF"/>
          </w:rPr>
          <w:t>regulation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This regulation went into effect on Nov. 15, 2024. </w:t>
      </w:r>
    </w:p>
    <w:p w14:paraId="62C778B3" w14:textId="77777777" w:rsidR="0095771D" w:rsidRPr="00DD7BD1" w:rsidRDefault="0095771D" w:rsidP="0095771D">
      <w:pPr>
        <w:spacing w:after="0" w:line="240" w:lineRule="auto"/>
        <w:rPr>
          <w:rFonts w:ascii="Calibri" w:hAnsi="Calibri" w:cs="Calibri"/>
          <w:shd w:val="clear" w:color="auto" w:fill="FFFFFF"/>
        </w:rPr>
      </w:pPr>
    </w:p>
    <w:p w14:paraId="196E55CE"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Businesses with more than 10 employees must implement the following:</w:t>
      </w:r>
    </w:p>
    <w:p w14:paraId="38DE6D1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Job hazard analysis;</w:t>
      </w:r>
    </w:p>
    <w:p w14:paraId="480C007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Written safety program;</w:t>
      </w:r>
    </w:p>
    <w:p w14:paraId="0F7AD1C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Emergency procedures;</w:t>
      </w:r>
    </w:p>
    <w:p w14:paraId="75CDFB5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Training;</w:t>
      </w:r>
    </w:p>
    <w:p w14:paraId="7A2FCF61"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Climate-controlled environment exemptions;</w:t>
      </w:r>
    </w:p>
    <w:p w14:paraId="1733C4D6"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Collective bargaining agreements.</w:t>
      </w:r>
    </w:p>
    <w:p w14:paraId="3812FE50" w14:textId="77777777" w:rsidR="0095771D" w:rsidRPr="00DD7BD1" w:rsidRDefault="0095771D" w:rsidP="0095771D">
      <w:pPr>
        <w:spacing w:after="0" w:line="240" w:lineRule="auto"/>
        <w:rPr>
          <w:rFonts w:ascii="Calibri" w:hAnsi="Calibri" w:cs="Calibri"/>
          <w:shd w:val="clear" w:color="auto" w:fill="FFFFFF"/>
        </w:rPr>
      </w:pPr>
    </w:p>
    <w:p w14:paraId="4BB3223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Resources: </w:t>
      </w:r>
    </w:p>
    <w:p w14:paraId="3234B269" w14:textId="77777777" w:rsidR="0095771D" w:rsidRPr="00DD7BD1" w:rsidRDefault="0095771D">
      <w:pPr>
        <w:pStyle w:val="LR-BulletList"/>
        <w:numPr>
          <w:ilvl w:val="0"/>
          <w:numId w:val="147"/>
        </w:numPr>
        <w:spacing w:before="0" w:after="0" w:line="240" w:lineRule="auto"/>
        <w:rPr>
          <w:rFonts w:cs="Calibri"/>
        </w:rPr>
      </w:pPr>
      <w:r w:rsidRPr="00DD7BD1">
        <w:rPr>
          <w:rFonts w:cs="Calibri"/>
          <w:color w:val="auto"/>
        </w:rPr>
        <w:t xml:space="preserve">Nevada Heat Illness Prevention </w:t>
      </w:r>
      <w:hyperlink r:id="rId909" w:history="1">
        <w:r w:rsidRPr="00DD7BD1">
          <w:rPr>
            <w:rStyle w:val="Hyperlink"/>
            <w:rFonts w:cs="Calibri"/>
          </w:rPr>
          <w:t>Rules</w:t>
        </w:r>
      </w:hyperlink>
    </w:p>
    <w:p w14:paraId="54BC3F26" w14:textId="6C8BA442" w:rsidR="0095771D" w:rsidRPr="00DD7BD1" w:rsidRDefault="0095771D">
      <w:pPr>
        <w:pStyle w:val="LR-BulletList"/>
        <w:numPr>
          <w:ilvl w:val="0"/>
          <w:numId w:val="147"/>
        </w:numPr>
        <w:spacing w:before="0" w:after="0" w:line="240" w:lineRule="auto"/>
        <w:rPr>
          <w:rFonts w:cs="Calibri"/>
        </w:rPr>
      </w:pPr>
      <w:r w:rsidRPr="00DD7BD1">
        <w:rPr>
          <w:rFonts w:cs="Calibri"/>
          <w:color w:val="auto"/>
        </w:rPr>
        <w:t>Nevada’s</w:t>
      </w:r>
      <w:r w:rsidRPr="00DD7BD1">
        <w:rPr>
          <w:rFonts w:cs="Calibri"/>
        </w:rPr>
        <w:t xml:space="preserve"> </w:t>
      </w:r>
      <w:hyperlink r:id="rId910" w:history="1">
        <w:r w:rsidRPr="00DD7BD1">
          <w:rPr>
            <w:rStyle w:val="Hyperlink"/>
            <w:rFonts w:cs="Calibri"/>
          </w:rPr>
          <w:t>Guidance</w:t>
        </w:r>
      </w:hyperlink>
      <w:r w:rsidRPr="00DD7BD1">
        <w:rPr>
          <w:rFonts w:cs="Calibri"/>
        </w:rPr>
        <w:t xml:space="preserve"> </w:t>
      </w:r>
      <w:r w:rsidRPr="00DD7BD1">
        <w:rPr>
          <w:rFonts w:cs="Calibri"/>
          <w:color w:val="auto"/>
        </w:rPr>
        <w:t>on its Heat Prevention Rules</w:t>
      </w:r>
    </w:p>
    <w:p w14:paraId="0661898C" w14:textId="77777777" w:rsidR="0095771D" w:rsidRPr="00DD7BD1" w:rsidRDefault="0095771D" w:rsidP="0095771D">
      <w:pPr>
        <w:pStyle w:val="LR-BulletList"/>
        <w:numPr>
          <w:ilvl w:val="0"/>
          <w:numId w:val="0"/>
        </w:numPr>
        <w:spacing w:before="0" w:after="0" w:line="240" w:lineRule="auto"/>
        <w:ind w:left="360"/>
        <w:rPr>
          <w:rFonts w:cs="Calibri"/>
        </w:rPr>
      </w:pPr>
    </w:p>
    <w:p w14:paraId="5505F21D"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Approves New Heat Illness Regulation – </w:t>
      </w:r>
      <w:r w:rsidRPr="00DD7BD1">
        <w:rPr>
          <w:rFonts w:ascii="Calibri" w:hAnsi="Calibri" w:cs="Calibri"/>
          <w:b/>
          <w:bCs/>
          <w:color w:val="C00000"/>
          <w:sz w:val="28"/>
          <w:szCs w:val="28"/>
          <w:shd w:val="clear" w:color="auto" w:fill="FFFFFF"/>
          <w:lang w:val="en"/>
        </w:rPr>
        <w:t>Nov 15, 2025 &amp; Enforcement + 90 days</w:t>
      </w:r>
    </w:p>
    <w:p w14:paraId="60262391"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On Nov. 15, 2024, the Nevada Division of Industrial Relations (DIR) of the Department of Business and Industry adopted a new heat illness </w:t>
      </w:r>
      <w:hyperlink r:id="rId911" w:history="1">
        <w:r w:rsidRPr="00DD7BD1">
          <w:rPr>
            <w:rStyle w:val="Hyperlink"/>
            <w:rFonts w:ascii="Calibri" w:hAnsi="Calibri" w:cs="Calibri"/>
          </w:rPr>
          <w:t>regulation</w:t>
        </w:r>
      </w:hyperlink>
      <w:r w:rsidRPr="00DD7BD1">
        <w:rPr>
          <w:rFonts w:ascii="Calibri" w:hAnsi="Calibri" w:cs="Calibri"/>
        </w:rPr>
        <w:t xml:space="preserve"> due to the increase in heat illness complaints submitted to Nevada OSHA. This regulation went into effect on Nov. 15, 2024. </w:t>
      </w:r>
    </w:p>
    <w:p w14:paraId="322F5422"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DD7BD1" w:rsidRDefault="00360D1C" w:rsidP="00360D1C">
      <w:pPr>
        <w:spacing w:after="0" w:line="240" w:lineRule="auto"/>
        <w:rPr>
          <w:rFonts w:ascii="Calibri" w:hAnsi="Calibri" w:cs="Calibri"/>
          <w:b/>
          <w:bCs/>
          <w:sz w:val="12"/>
          <w:szCs w:val="12"/>
        </w:rPr>
      </w:pPr>
    </w:p>
    <w:p w14:paraId="1CD4DCF1" w14:textId="77777777" w:rsidR="00360D1C" w:rsidRPr="00DD7BD1" w:rsidRDefault="00360D1C" w:rsidP="00360D1C">
      <w:pPr>
        <w:spacing w:after="0" w:line="240" w:lineRule="auto"/>
        <w:rPr>
          <w:rFonts w:ascii="Calibri" w:hAnsi="Calibri" w:cs="Calibri"/>
          <w:b/>
          <w:bCs/>
        </w:rPr>
      </w:pPr>
      <w:r w:rsidRPr="00DD7BD1">
        <w:rPr>
          <w:rFonts w:ascii="Calibri" w:hAnsi="Calibri" w:cs="Calibri"/>
          <w:b/>
          <w:bCs/>
        </w:rPr>
        <w:t>Employer Obligations Include:</w:t>
      </w:r>
    </w:p>
    <w:p w14:paraId="2D2CDC7F"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Written Safety Program</w:t>
      </w:r>
    </w:p>
    <w:p w14:paraId="2D13D0E6"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Emergency Procedures</w:t>
      </w:r>
    </w:p>
    <w:p w14:paraId="6C41DC72"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lastRenderedPageBreak/>
        <w:t>Training</w:t>
      </w:r>
    </w:p>
    <w:p w14:paraId="4A84CE07" w14:textId="77777777" w:rsidR="00360D1C" w:rsidRPr="00DD7BD1" w:rsidRDefault="00360D1C" w:rsidP="00360D1C">
      <w:pPr>
        <w:pStyle w:val="ListParagraph"/>
        <w:rPr>
          <w:rFonts w:ascii="Calibri" w:hAnsi="Calibri" w:cs="Calibri"/>
          <w:b/>
          <w:sz w:val="16"/>
          <w:szCs w:val="16"/>
          <w:highlight w:val="lightGray"/>
        </w:rPr>
      </w:pPr>
    </w:p>
    <w:p w14:paraId="1E4ADAD2" w14:textId="242228BC" w:rsidR="00360D1C" w:rsidRPr="00DD7BD1" w:rsidRDefault="00360D1C" w:rsidP="00360D1C">
      <w:pPr>
        <w:pStyle w:val="ListParagraph"/>
        <w:ind w:left="0"/>
        <w:rPr>
          <w:rFonts w:ascii="Calibri" w:hAnsi="Calibri" w:cs="Calibri"/>
          <w:bCs/>
        </w:rPr>
      </w:pPr>
      <w:r w:rsidRPr="00DD7BD1">
        <w:rPr>
          <w:rFonts w:ascii="Calibri" w:hAnsi="Calibri" w:cs="Calibri"/>
          <w:b/>
          <w:highlight w:val="lightGray"/>
        </w:rPr>
        <w:t>Employer Takeaway:</w:t>
      </w:r>
      <w:r w:rsidRPr="00DD7BD1">
        <w:rPr>
          <w:rFonts w:ascii="Calibri" w:hAnsi="Calibri" w:cs="Calibri"/>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Pr="00DD7BD1" w:rsidRDefault="004B7569" w:rsidP="004B7569">
      <w:pPr>
        <w:spacing w:after="0" w:line="240" w:lineRule="auto"/>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Updated Minimum Wage Increase – July 1</w:t>
      </w:r>
    </w:p>
    <w:p w14:paraId="5A34FDA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Beginning July 1, 2024, the hourly minimum wage in Nevada will increase to $12 for</w:t>
      </w:r>
      <w:r w:rsidRPr="00DD7BD1">
        <w:rPr>
          <w:rFonts w:ascii="Calibri" w:hAnsi="Calibri" w:cs="Calibri"/>
          <w:i/>
          <w:iCs/>
          <w:color w:val="282828"/>
          <w:sz w:val="22"/>
          <w:szCs w:val="22"/>
        </w:rPr>
        <w:t> all employers</w:t>
      </w:r>
      <w:r w:rsidRPr="00DD7BD1">
        <w:rPr>
          <w:rFonts w:ascii="Calibri" w:hAnsi="Calibri" w:cs="Calibri"/>
          <w:color w:val="282828"/>
          <w:sz w:val="22"/>
          <w:szCs w:val="22"/>
        </w:rPr>
        <w:t>.</w:t>
      </w:r>
    </w:p>
    <w:p w14:paraId="3DF38C5E"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As of that date, the</w:t>
      </w:r>
      <w:r w:rsidRPr="00DD7BD1">
        <w:rPr>
          <w:rFonts w:ascii="Calibri" w:hAnsi="Calibri" w:cs="Calibri"/>
          <w:i/>
          <w:iCs/>
          <w:color w:val="282828"/>
          <w:sz w:val="22"/>
          <w:szCs w:val="22"/>
        </w:rPr>
        <w:t> </w:t>
      </w:r>
      <w:r w:rsidRPr="00DD7BD1">
        <w:rPr>
          <w:rFonts w:ascii="Calibri" w:hAnsi="Calibri" w:cs="Calibri"/>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DD7BD1" w:rsidRDefault="004B7569" w:rsidP="00472E17">
      <w:pPr>
        <w:spacing w:after="0" w:line="240" w:lineRule="auto"/>
        <w:jc w:val="both"/>
        <w:rPr>
          <w:rFonts w:ascii="Calibri" w:hAnsi="Calibri" w:cs="Calibri"/>
          <w:b/>
          <w:bCs/>
          <w:color w:val="2E74B5" w:themeColor="accent5" w:themeShade="BF"/>
          <w:shd w:val="clear" w:color="auto" w:fill="FFFFFF"/>
          <w:lang w:val="en"/>
        </w:rPr>
      </w:pPr>
    </w:p>
    <w:p w14:paraId="3637CA0D" w14:textId="15D58460" w:rsidR="00A154D2" w:rsidRPr="00DD7BD1" w:rsidRDefault="001C5F42" w:rsidP="00A154D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Hampshire</w:t>
      </w:r>
    </w:p>
    <w:p w14:paraId="57173BB7" w14:textId="4AF3EF0C" w:rsidR="00A154D2" w:rsidRPr="00DD7BD1" w:rsidRDefault="00A154D2" w:rsidP="00A154D2">
      <w:pPr>
        <w:spacing w:after="0" w:line="240" w:lineRule="auto"/>
        <w:ind w:right="-90"/>
        <w:jc w:val="center"/>
        <w:rPr>
          <w:rFonts w:ascii="Calibri" w:hAnsi="Calibri" w:cs="Calibri"/>
          <w:b/>
          <w:sz w:val="28"/>
        </w:rPr>
      </w:pPr>
      <w:r w:rsidRPr="00DD7BD1">
        <w:rPr>
          <w:rFonts w:ascii="Calibri" w:hAnsi="Calibri" w:cs="Calibri"/>
          <w:b/>
          <w:spacing w:val="-2"/>
          <w:sz w:val="28"/>
        </w:rPr>
        <w:t>State</w:t>
      </w:r>
      <w:r w:rsidRPr="00DD7BD1">
        <w:rPr>
          <w:rFonts w:ascii="Calibri" w:hAnsi="Calibri" w:cs="Calibri"/>
          <w:b/>
          <w:spacing w:val="-12"/>
          <w:sz w:val="28"/>
        </w:rPr>
        <w:t xml:space="preserve"> </w:t>
      </w:r>
      <w:r w:rsidRPr="00DD7BD1">
        <w:rPr>
          <w:rFonts w:ascii="Calibri" w:hAnsi="Calibri" w:cs="Calibri"/>
          <w:b/>
          <w:spacing w:val="-2"/>
          <w:sz w:val="28"/>
        </w:rPr>
        <w:t>Provides</w:t>
      </w:r>
      <w:r w:rsidRPr="00DD7BD1">
        <w:rPr>
          <w:rFonts w:ascii="Calibri" w:hAnsi="Calibri" w:cs="Calibri"/>
          <w:b/>
          <w:spacing w:val="-13"/>
          <w:sz w:val="28"/>
        </w:rPr>
        <w:t xml:space="preserve"> </w:t>
      </w:r>
      <w:r w:rsidRPr="00DD7BD1">
        <w:rPr>
          <w:rFonts w:ascii="Calibri" w:hAnsi="Calibri" w:cs="Calibri"/>
          <w:b/>
          <w:spacing w:val="-2"/>
          <w:sz w:val="28"/>
        </w:rPr>
        <w:t>Protections</w:t>
      </w:r>
      <w:r w:rsidRPr="00DD7BD1">
        <w:rPr>
          <w:rFonts w:ascii="Calibri" w:hAnsi="Calibri" w:cs="Calibri"/>
          <w:b/>
          <w:spacing w:val="-15"/>
          <w:sz w:val="28"/>
        </w:rPr>
        <w:t xml:space="preserve"> </w:t>
      </w:r>
      <w:r w:rsidRPr="00DD7BD1">
        <w:rPr>
          <w:rFonts w:ascii="Calibri" w:hAnsi="Calibri" w:cs="Calibri"/>
          <w:b/>
          <w:spacing w:val="-2"/>
          <w:sz w:val="28"/>
        </w:rPr>
        <w:t>for</w:t>
      </w:r>
      <w:r w:rsidRPr="00DD7BD1">
        <w:rPr>
          <w:rFonts w:ascii="Calibri" w:hAnsi="Calibri" w:cs="Calibri"/>
          <w:b/>
          <w:spacing w:val="-13"/>
          <w:sz w:val="28"/>
        </w:rPr>
        <w:t xml:space="preserve"> </w:t>
      </w:r>
      <w:r w:rsidRPr="00DD7BD1">
        <w:rPr>
          <w:rFonts w:ascii="Calibri" w:hAnsi="Calibri" w:cs="Calibri"/>
          <w:b/>
          <w:spacing w:val="-2"/>
          <w:sz w:val="28"/>
        </w:rPr>
        <w:t>Military</w:t>
      </w:r>
      <w:r w:rsidRPr="00DD7BD1">
        <w:rPr>
          <w:rFonts w:ascii="Calibri" w:hAnsi="Calibri" w:cs="Calibri"/>
          <w:b/>
          <w:spacing w:val="-12"/>
          <w:sz w:val="28"/>
        </w:rPr>
        <w:t xml:space="preserve"> </w:t>
      </w:r>
      <w:r w:rsidRPr="00DD7BD1">
        <w:rPr>
          <w:rFonts w:ascii="Calibri" w:hAnsi="Calibri" w:cs="Calibri"/>
          <w:b/>
          <w:spacing w:val="-2"/>
          <w:sz w:val="28"/>
        </w:rPr>
        <w:t>Spouses</w:t>
      </w:r>
      <w:r w:rsidRPr="00DD7BD1">
        <w:rPr>
          <w:rFonts w:ascii="Calibri" w:hAnsi="Calibri" w:cs="Calibri"/>
          <w:b/>
          <w:spacing w:val="-14"/>
          <w:sz w:val="28"/>
        </w:rPr>
        <w:t xml:space="preserve"> </w:t>
      </w:r>
      <w:r w:rsidRPr="00DD7BD1">
        <w:rPr>
          <w:rFonts w:ascii="Calibri" w:hAnsi="Calibri" w:cs="Calibri"/>
          <w:b/>
          <w:spacing w:val="-2"/>
          <w:sz w:val="28"/>
        </w:rPr>
        <w:t>–</w:t>
      </w:r>
      <w:r w:rsidRPr="00DD7BD1">
        <w:rPr>
          <w:rFonts w:ascii="Calibri" w:hAnsi="Calibri" w:cs="Calibri"/>
          <w:b/>
          <w:spacing w:val="-12"/>
          <w:sz w:val="28"/>
        </w:rPr>
        <w:t xml:space="preserve"> </w:t>
      </w:r>
      <w:r w:rsidRPr="00DD7BD1">
        <w:rPr>
          <w:rFonts w:ascii="Calibri" w:hAnsi="Calibri" w:cs="Calibri"/>
          <w:b/>
          <w:color w:val="C00000"/>
          <w:spacing w:val="-2"/>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2"/>
          <w:sz w:val="28"/>
        </w:rPr>
        <w:t>Jan</w:t>
      </w:r>
      <w:r w:rsidRPr="00DD7BD1">
        <w:rPr>
          <w:rFonts w:ascii="Calibri" w:hAnsi="Calibri" w:cs="Calibri"/>
          <w:b/>
          <w:color w:val="C00000"/>
          <w:spacing w:val="-12"/>
          <w:sz w:val="28"/>
        </w:rPr>
        <w:t xml:space="preserve"> </w:t>
      </w:r>
      <w:r w:rsidRPr="00DD7BD1">
        <w:rPr>
          <w:rFonts w:ascii="Calibri" w:hAnsi="Calibri" w:cs="Calibri"/>
          <w:b/>
          <w:color w:val="C00000"/>
          <w:spacing w:val="-2"/>
          <w:sz w:val="28"/>
        </w:rPr>
        <w:t>1,</w:t>
      </w:r>
      <w:r w:rsidRPr="00DD7BD1">
        <w:rPr>
          <w:rFonts w:ascii="Calibri" w:hAnsi="Calibri" w:cs="Calibri"/>
          <w:b/>
          <w:color w:val="C00000"/>
          <w:spacing w:val="-13"/>
          <w:sz w:val="28"/>
        </w:rPr>
        <w:t xml:space="preserve"> </w:t>
      </w:r>
      <w:r w:rsidRPr="00DD7BD1">
        <w:rPr>
          <w:rFonts w:ascii="Calibri" w:hAnsi="Calibri" w:cs="Calibri"/>
          <w:b/>
          <w:color w:val="C00000"/>
          <w:spacing w:val="-4"/>
          <w:sz w:val="28"/>
        </w:rPr>
        <w:t>2026</w:t>
      </w:r>
    </w:p>
    <w:p w14:paraId="315ABF70"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w:t>
      </w:r>
      <w:r w:rsidRPr="00DD7BD1">
        <w:rPr>
          <w:rFonts w:cs="Calibri"/>
          <w:color w:val="auto"/>
          <w:spacing w:val="-14"/>
          <w:w w:val="110"/>
          <w:szCs w:val="22"/>
        </w:rPr>
        <w:t xml:space="preserve"> </w:t>
      </w:r>
      <w:r w:rsidRPr="00DD7BD1">
        <w:rPr>
          <w:rFonts w:cs="Calibri"/>
          <w:color w:val="auto"/>
          <w:w w:val="110"/>
          <w:szCs w:val="22"/>
        </w:rPr>
        <w:t>January</w:t>
      </w:r>
      <w:r w:rsidRPr="00DD7BD1">
        <w:rPr>
          <w:rFonts w:cs="Calibri"/>
          <w:color w:val="auto"/>
          <w:spacing w:val="-16"/>
          <w:w w:val="110"/>
          <w:szCs w:val="22"/>
        </w:rPr>
        <w:t xml:space="preserve"> </w:t>
      </w:r>
      <w:r w:rsidRPr="00DD7BD1">
        <w:rPr>
          <w:rFonts w:cs="Calibri"/>
          <w:color w:val="auto"/>
          <w:w w:val="110"/>
          <w:szCs w:val="22"/>
        </w:rPr>
        <w:t>1,</w:t>
      </w:r>
      <w:r w:rsidRPr="00DD7BD1">
        <w:rPr>
          <w:rFonts w:cs="Calibri"/>
          <w:color w:val="auto"/>
          <w:spacing w:val="-14"/>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50</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at</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location</w:t>
      </w:r>
      <w:r w:rsidRPr="00DD7BD1">
        <w:rPr>
          <w:rFonts w:cs="Calibri"/>
          <w:color w:val="auto"/>
          <w:spacing w:val="-14"/>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Hampshire</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need to</w:t>
      </w:r>
      <w:r w:rsidRPr="00DD7BD1">
        <w:rPr>
          <w:rFonts w:cs="Calibri"/>
          <w:color w:val="auto"/>
          <w:spacing w:val="-2"/>
          <w:w w:val="110"/>
          <w:szCs w:val="22"/>
        </w:rPr>
        <w:t xml:space="preserve"> </w:t>
      </w:r>
      <w:r w:rsidRPr="00DD7BD1">
        <w:rPr>
          <w:rFonts w:cs="Calibri"/>
          <w:color w:val="auto"/>
          <w:w w:val="110"/>
          <w:szCs w:val="22"/>
        </w:rPr>
        <w:t>provide</w:t>
      </w:r>
      <w:r w:rsidRPr="00DD7BD1">
        <w:rPr>
          <w:rFonts w:cs="Calibri"/>
          <w:color w:val="auto"/>
          <w:spacing w:val="-2"/>
          <w:w w:val="110"/>
          <w:szCs w:val="22"/>
        </w:rPr>
        <w:t xml:space="preserve"> </w:t>
      </w:r>
      <w:r w:rsidRPr="00DD7BD1">
        <w:rPr>
          <w:rFonts w:cs="Calibri"/>
          <w:color w:val="auto"/>
          <w:w w:val="110"/>
          <w:szCs w:val="22"/>
        </w:rPr>
        <w:t>certain</w:t>
      </w:r>
      <w:r w:rsidRPr="00DD7BD1">
        <w:rPr>
          <w:rFonts w:cs="Calibri"/>
          <w:color w:val="auto"/>
          <w:spacing w:val="-3"/>
          <w:w w:val="110"/>
          <w:szCs w:val="22"/>
        </w:rPr>
        <w:t xml:space="preserve"> </w:t>
      </w:r>
      <w:r w:rsidRPr="00DD7BD1">
        <w:rPr>
          <w:rFonts w:cs="Calibri"/>
          <w:color w:val="auto"/>
          <w:w w:val="110"/>
          <w:szCs w:val="22"/>
        </w:rPr>
        <w:t>protections for</w:t>
      </w:r>
      <w:r w:rsidRPr="00DD7BD1">
        <w:rPr>
          <w:rFonts w:cs="Calibri"/>
          <w:color w:val="auto"/>
          <w:spacing w:val="-4"/>
          <w:w w:val="110"/>
          <w:szCs w:val="22"/>
        </w:rPr>
        <w:t xml:space="preserve"> </w:t>
      </w:r>
      <w:r w:rsidRPr="00DD7BD1">
        <w:rPr>
          <w:rFonts w:cs="Calibri"/>
          <w:color w:val="auto"/>
          <w:w w:val="110"/>
          <w:szCs w:val="22"/>
        </w:rPr>
        <w:t>military</w:t>
      </w:r>
      <w:r w:rsidRPr="00DD7BD1">
        <w:rPr>
          <w:rFonts w:cs="Calibri"/>
          <w:color w:val="auto"/>
          <w:spacing w:val="-2"/>
          <w:w w:val="110"/>
          <w:szCs w:val="22"/>
        </w:rPr>
        <w:t xml:space="preserve"> </w:t>
      </w:r>
      <w:r w:rsidRPr="00DD7BD1">
        <w:rPr>
          <w:rFonts w:cs="Calibri"/>
          <w:color w:val="auto"/>
          <w:w w:val="110"/>
          <w:szCs w:val="22"/>
        </w:rPr>
        <w:t>spouses under</w:t>
      </w:r>
      <w:r w:rsidRPr="00DD7BD1">
        <w:rPr>
          <w:rFonts w:cs="Calibri"/>
          <w:color w:val="auto"/>
          <w:spacing w:val="-3"/>
          <w:w w:val="110"/>
          <w:szCs w:val="22"/>
        </w:rPr>
        <w:t xml:space="preserve"> </w:t>
      </w:r>
      <w:hyperlink r:id="rId912">
        <w:r w:rsidRPr="00DD7BD1">
          <w:rPr>
            <w:rFonts w:cs="Calibri"/>
            <w:color w:val="0000FF"/>
            <w:w w:val="110"/>
            <w:szCs w:val="22"/>
            <w:u w:val="single" w:color="0000FF"/>
          </w:rPr>
          <w:t>NH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225</w:t>
        </w:r>
      </w:hyperlink>
      <w:r w:rsidRPr="00DD7BD1">
        <w:rPr>
          <w:rFonts w:cs="Calibri"/>
          <w:color w:val="0000FF"/>
          <w:spacing w:val="-10"/>
          <w:w w:val="110"/>
          <w:szCs w:val="22"/>
        </w:rPr>
        <w:t xml:space="preserve"> </w:t>
      </w:r>
      <w:r w:rsidRPr="00DD7BD1">
        <w:rPr>
          <w:rFonts w:cs="Calibri"/>
          <w:w w:val="110"/>
          <w:szCs w:val="22"/>
        </w:rPr>
        <w:t>.</w:t>
      </w:r>
      <w:r w:rsidRPr="00DD7BD1">
        <w:rPr>
          <w:rFonts w:cs="Calibri"/>
          <w:spacing w:val="-4"/>
          <w:w w:val="110"/>
          <w:szCs w:val="22"/>
        </w:rPr>
        <w:t xml:space="preserve"> </w:t>
      </w:r>
      <w:r w:rsidRPr="00DD7BD1">
        <w:rPr>
          <w:rFonts w:cs="Calibri"/>
          <w:color w:val="auto"/>
          <w:w w:val="110"/>
          <w:szCs w:val="22"/>
        </w:rPr>
        <w:t>Specifically, the</w:t>
      </w:r>
      <w:r w:rsidRPr="00DD7BD1">
        <w:rPr>
          <w:rFonts w:cs="Calibri"/>
          <w:color w:val="auto"/>
          <w:spacing w:val="-2"/>
          <w:w w:val="110"/>
          <w:szCs w:val="22"/>
        </w:rPr>
        <w:t xml:space="preserve"> </w:t>
      </w:r>
      <w:r w:rsidRPr="00DD7BD1">
        <w:rPr>
          <w:rFonts w:cs="Calibri"/>
          <w:color w:val="auto"/>
          <w:w w:val="110"/>
          <w:szCs w:val="22"/>
        </w:rPr>
        <w:t>spouses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proofErr w:type="gramStart"/>
      <w:r w:rsidRPr="00DD7BD1">
        <w:rPr>
          <w:rFonts w:cs="Calibri"/>
          <w:color w:val="auto"/>
          <w:w w:val="110"/>
          <w:szCs w:val="22"/>
        </w:rPr>
        <w:t>servicemembers</w:t>
      </w:r>
      <w:proofErr w:type="gramEnd"/>
      <w:r w:rsidRPr="00DD7BD1">
        <w:rPr>
          <w:rFonts w:cs="Calibri"/>
          <w:color w:val="auto"/>
          <w:w w:val="110"/>
          <w:szCs w:val="22"/>
        </w:rPr>
        <w:t xml:space="preserve"> who have been called into action will be protected from employment discrimination and will have reemployment rights</w:t>
      </w:r>
      <w:r w:rsidRPr="00DD7BD1">
        <w:rPr>
          <w:rFonts w:cs="Calibri"/>
          <w:color w:val="auto"/>
          <w:spacing w:val="-23"/>
          <w:w w:val="110"/>
          <w:szCs w:val="22"/>
        </w:rPr>
        <w:t xml:space="preserve"> </w:t>
      </w:r>
      <w:r w:rsidRPr="00DD7BD1">
        <w:rPr>
          <w:rFonts w:cs="Calibri"/>
          <w:color w:val="auto"/>
          <w:w w:val="110"/>
          <w:szCs w:val="22"/>
        </w:rPr>
        <w:t>within</w:t>
      </w:r>
      <w:r w:rsidRPr="00DD7BD1">
        <w:rPr>
          <w:rFonts w:cs="Calibri"/>
          <w:color w:val="auto"/>
          <w:spacing w:val="-21"/>
          <w:w w:val="110"/>
          <w:szCs w:val="22"/>
        </w:rPr>
        <w:t xml:space="preserve"> </w:t>
      </w:r>
      <w:r w:rsidRPr="00DD7BD1">
        <w:rPr>
          <w:rFonts w:cs="Calibri"/>
          <w:color w:val="auto"/>
          <w:w w:val="110"/>
          <w:szCs w:val="22"/>
        </w:rPr>
        <w:t>certain</w:t>
      </w:r>
      <w:r w:rsidRPr="00DD7BD1">
        <w:rPr>
          <w:rFonts w:cs="Calibri"/>
          <w:color w:val="auto"/>
          <w:spacing w:val="-23"/>
          <w:w w:val="110"/>
          <w:szCs w:val="22"/>
        </w:rPr>
        <w:t xml:space="preserve"> </w:t>
      </w:r>
      <w:r w:rsidRPr="00DD7BD1">
        <w:rPr>
          <w:rFonts w:cs="Calibri"/>
          <w:color w:val="auto"/>
          <w:w w:val="110"/>
          <w:szCs w:val="22"/>
        </w:rPr>
        <w:t>timeframes.</w:t>
      </w:r>
      <w:r w:rsidRPr="00DD7BD1">
        <w:rPr>
          <w:rFonts w:cs="Calibri"/>
          <w:color w:val="auto"/>
          <w:spacing w:val="24"/>
          <w:w w:val="110"/>
          <w:szCs w:val="22"/>
        </w:rPr>
        <w:t xml:space="preserve"> </w:t>
      </w:r>
      <w:r w:rsidRPr="00DD7BD1">
        <w:rPr>
          <w:rFonts w:cs="Calibri"/>
          <w:color w:val="auto"/>
          <w:w w:val="110"/>
          <w:szCs w:val="22"/>
        </w:rPr>
        <w:t>ETC</w:t>
      </w:r>
      <w:r w:rsidRPr="00DD7BD1">
        <w:rPr>
          <w:rFonts w:cs="Calibri"/>
          <w:color w:val="auto"/>
          <w:spacing w:val="-21"/>
          <w:w w:val="110"/>
          <w:szCs w:val="22"/>
        </w:rPr>
        <w:t xml:space="preserve"> </w:t>
      </w:r>
      <w:r w:rsidRPr="00DD7BD1">
        <w:rPr>
          <w:rFonts w:cs="Calibri"/>
          <w:color w:val="auto"/>
          <w:w w:val="110"/>
          <w:szCs w:val="22"/>
        </w:rPr>
        <w:t>will</w:t>
      </w:r>
      <w:r w:rsidRPr="00DD7BD1">
        <w:rPr>
          <w:rFonts w:cs="Calibri"/>
          <w:color w:val="auto"/>
          <w:spacing w:val="-25"/>
          <w:w w:val="110"/>
          <w:szCs w:val="22"/>
        </w:rPr>
        <w:t xml:space="preserve"> </w:t>
      </w:r>
      <w:r w:rsidRPr="00DD7BD1">
        <w:rPr>
          <w:rFonts w:cs="Calibri"/>
          <w:color w:val="auto"/>
          <w:w w:val="110"/>
          <w:szCs w:val="22"/>
        </w:rPr>
        <w:t>provide</w:t>
      </w:r>
      <w:r w:rsidRPr="00DD7BD1">
        <w:rPr>
          <w:rFonts w:cs="Calibri"/>
          <w:color w:val="auto"/>
          <w:spacing w:val="-23"/>
          <w:w w:val="110"/>
          <w:szCs w:val="22"/>
        </w:rPr>
        <w:t xml:space="preserve"> </w:t>
      </w:r>
      <w:r w:rsidRPr="00DD7BD1">
        <w:rPr>
          <w:rFonts w:cs="Calibri"/>
          <w:color w:val="auto"/>
          <w:w w:val="110"/>
          <w:szCs w:val="22"/>
        </w:rPr>
        <w:t>an</w:t>
      </w:r>
      <w:r w:rsidRPr="00DD7BD1">
        <w:rPr>
          <w:rFonts w:cs="Calibri"/>
          <w:color w:val="auto"/>
          <w:spacing w:val="-23"/>
          <w:w w:val="110"/>
          <w:szCs w:val="22"/>
        </w:rPr>
        <w:t xml:space="preserve"> </w:t>
      </w:r>
      <w:r w:rsidRPr="00DD7BD1">
        <w:rPr>
          <w:rFonts w:cs="Calibri"/>
          <w:color w:val="auto"/>
          <w:w w:val="110"/>
          <w:szCs w:val="22"/>
        </w:rPr>
        <w:t>updated</w:t>
      </w:r>
      <w:r w:rsidRPr="00DD7BD1">
        <w:rPr>
          <w:rFonts w:cs="Calibri"/>
          <w:color w:val="auto"/>
          <w:spacing w:val="-26"/>
          <w:w w:val="110"/>
          <w:szCs w:val="22"/>
        </w:rPr>
        <w:t xml:space="preserve"> </w:t>
      </w:r>
      <w:r w:rsidRPr="00DD7BD1">
        <w:rPr>
          <w:rFonts w:cs="Calibri"/>
          <w:color w:val="auto"/>
          <w:w w:val="110"/>
          <w:szCs w:val="22"/>
        </w:rPr>
        <w:t>State</w:t>
      </w:r>
      <w:r w:rsidRPr="00DD7BD1">
        <w:rPr>
          <w:rFonts w:cs="Calibri"/>
          <w:color w:val="auto"/>
          <w:spacing w:val="-24"/>
          <w:w w:val="110"/>
          <w:szCs w:val="22"/>
        </w:rPr>
        <w:t xml:space="preserve"> </w:t>
      </w:r>
      <w:r w:rsidRPr="00DD7BD1">
        <w:rPr>
          <w:rFonts w:cs="Calibri"/>
          <w:color w:val="auto"/>
          <w:w w:val="110"/>
          <w:szCs w:val="22"/>
        </w:rPr>
        <w:t>Handbook</w:t>
      </w:r>
      <w:r w:rsidRPr="00DD7BD1">
        <w:rPr>
          <w:rFonts w:cs="Calibri"/>
          <w:color w:val="auto"/>
          <w:spacing w:val="-21"/>
          <w:w w:val="110"/>
          <w:szCs w:val="22"/>
        </w:rPr>
        <w:t xml:space="preserve"> </w:t>
      </w:r>
      <w:r w:rsidRPr="00DD7BD1">
        <w:rPr>
          <w:rFonts w:cs="Calibri"/>
          <w:color w:val="auto"/>
          <w:w w:val="110"/>
          <w:szCs w:val="22"/>
        </w:rPr>
        <w:t>Addendum</w:t>
      </w:r>
      <w:r w:rsidRPr="00DD7BD1">
        <w:rPr>
          <w:rFonts w:cs="Calibri"/>
          <w:color w:val="auto"/>
          <w:spacing w:val="-23"/>
          <w:w w:val="110"/>
          <w:szCs w:val="22"/>
        </w:rPr>
        <w:t xml:space="preserve"> </w:t>
      </w:r>
      <w:r w:rsidRPr="00DD7BD1">
        <w:rPr>
          <w:rFonts w:cs="Calibri"/>
          <w:color w:val="auto"/>
          <w:w w:val="110"/>
          <w:szCs w:val="22"/>
        </w:rPr>
        <w:t>to</w:t>
      </w:r>
      <w:r w:rsidRPr="00DD7BD1">
        <w:rPr>
          <w:rFonts w:cs="Calibri"/>
          <w:color w:val="auto"/>
          <w:spacing w:val="-23"/>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these</w:t>
      </w:r>
      <w:r w:rsidRPr="00DD7BD1">
        <w:rPr>
          <w:rFonts w:cs="Calibri"/>
          <w:color w:val="auto"/>
          <w:spacing w:val="-23"/>
          <w:w w:val="110"/>
          <w:szCs w:val="22"/>
        </w:rPr>
        <w:t xml:space="preserve"> </w:t>
      </w:r>
      <w:r w:rsidRPr="00DD7BD1">
        <w:rPr>
          <w:rFonts w:cs="Calibri"/>
          <w:color w:val="auto"/>
          <w:w w:val="110"/>
          <w:szCs w:val="22"/>
        </w:rPr>
        <w:t>changes.</w:t>
      </w:r>
    </w:p>
    <w:p w14:paraId="016EEB02" w14:textId="77777777" w:rsidR="00A154D2" w:rsidRPr="00DD7BD1" w:rsidRDefault="00A154D2" w:rsidP="00A154D2">
      <w:pPr>
        <w:pStyle w:val="Heading1"/>
        <w:spacing w:before="0" w:beforeAutospacing="0" w:after="0" w:afterAutospacing="0"/>
        <w:ind w:right="-90"/>
        <w:rPr>
          <w:rFonts w:ascii="Calibri" w:hAnsi="Calibri" w:cs="Calibri"/>
          <w:bCs w:val="0"/>
          <w:spacing w:val="-2"/>
          <w:kern w:val="0"/>
          <w:sz w:val="22"/>
          <w:szCs w:val="22"/>
        </w:rPr>
      </w:pPr>
    </w:p>
    <w:p w14:paraId="173A4B80" w14:textId="0B268C15" w:rsidR="00A154D2" w:rsidRPr="00DD7BD1" w:rsidRDefault="00A154D2" w:rsidP="00A154D2">
      <w:pPr>
        <w:pStyle w:val="Heading1"/>
        <w:spacing w:before="0" w:beforeAutospacing="0" w:after="0" w:afterAutospacing="0"/>
        <w:ind w:right="-90"/>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 Creates Leave for Childbirth and Postpartum Care – Eff </w:t>
      </w:r>
      <w:r w:rsidRPr="00DD7BD1">
        <w:rPr>
          <w:rFonts w:ascii="Calibri" w:hAnsi="Calibri" w:cs="Calibri"/>
          <w:bCs w:val="0"/>
          <w:color w:val="C00000"/>
          <w:spacing w:val="-2"/>
          <w:kern w:val="0"/>
          <w:sz w:val="28"/>
          <w:szCs w:val="24"/>
        </w:rPr>
        <w:t>Jan 1, 2026</w:t>
      </w:r>
    </w:p>
    <w:p w14:paraId="326F2194"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 January 1, 2026, New Hampshire employers with 20 or more employees will need to provide up to 25 hours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job-protected,</w:t>
      </w:r>
      <w:r w:rsidRPr="00DD7BD1">
        <w:rPr>
          <w:rFonts w:cs="Calibri"/>
          <w:color w:val="auto"/>
          <w:spacing w:val="-8"/>
          <w:w w:val="110"/>
          <w:szCs w:val="22"/>
        </w:rPr>
        <w:t xml:space="preserve"> </w:t>
      </w:r>
      <w:r w:rsidRPr="00DD7BD1">
        <w:rPr>
          <w:rFonts w:cs="Calibri"/>
          <w:color w:val="auto"/>
          <w:w w:val="110"/>
          <w:szCs w:val="22"/>
        </w:rPr>
        <w:t>unpaid</w:t>
      </w:r>
      <w:r w:rsidRPr="00DD7BD1">
        <w:rPr>
          <w:rFonts w:cs="Calibri"/>
          <w:color w:val="auto"/>
          <w:spacing w:val="-5"/>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6"/>
          <w:w w:val="110"/>
          <w:szCs w:val="22"/>
        </w:rPr>
        <w:t xml:space="preserve"> </w:t>
      </w:r>
      <w:r w:rsidRPr="00DD7BD1">
        <w:rPr>
          <w:rFonts w:cs="Calibri"/>
          <w:color w:val="auto"/>
          <w:w w:val="110"/>
          <w:szCs w:val="22"/>
        </w:rPr>
        <w:t>certain</w:t>
      </w:r>
      <w:r w:rsidRPr="00DD7BD1">
        <w:rPr>
          <w:rFonts w:cs="Calibri"/>
          <w:color w:val="auto"/>
          <w:spacing w:val="-5"/>
          <w:w w:val="110"/>
          <w:szCs w:val="22"/>
        </w:rPr>
        <w:t xml:space="preserve"> </w:t>
      </w:r>
      <w:r w:rsidRPr="00DD7BD1">
        <w:rPr>
          <w:rFonts w:cs="Calibri"/>
          <w:color w:val="auto"/>
          <w:w w:val="110"/>
          <w:szCs w:val="22"/>
        </w:rPr>
        <w:t>baby-related</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appointments</w:t>
      </w:r>
      <w:r w:rsidRPr="00DD7BD1">
        <w:rPr>
          <w:rFonts w:cs="Calibri"/>
          <w:color w:val="auto"/>
          <w:spacing w:val="-5"/>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hyperlink r:id="rId913">
        <w:r w:rsidRPr="00DD7BD1">
          <w:rPr>
            <w:rFonts w:cs="Calibri"/>
            <w:color w:val="0000FF"/>
            <w:w w:val="110"/>
            <w:szCs w:val="22"/>
            <w:u w:val="single" w:color="0000FF"/>
          </w:rPr>
          <w:t>HB</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2</w:t>
        </w:r>
      </w:hyperlink>
      <w:r w:rsidRPr="00DD7BD1">
        <w:rPr>
          <w:rFonts w:cs="Calibri"/>
          <w:color w:val="0000FF"/>
          <w:spacing w:val="-6"/>
          <w:w w:val="110"/>
          <w:szCs w:val="22"/>
        </w:rPr>
        <w:t xml:space="preserve"> </w:t>
      </w:r>
      <w:r w:rsidRPr="00DD7BD1">
        <w:rPr>
          <w:rFonts w:cs="Calibri"/>
          <w:w w:val="110"/>
          <w:szCs w:val="22"/>
        </w:rPr>
        <w:t>.</w:t>
      </w:r>
    </w:p>
    <w:p w14:paraId="6C67F2F5" w14:textId="77777777" w:rsidR="00A154D2" w:rsidRPr="00DD7BD1" w:rsidRDefault="00A154D2" w:rsidP="00A154D2">
      <w:pPr>
        <w:pStyle w:val="BodyText"/>
        <w:spacing w:after="0" w:line="240" w:lineRule="auto"/>
        <w:ind w:right="-90"/>
        <w:rPr>
          <w:rFonts w:cs="Calibri"/>
          <w:color w:val="auto"/>
          <w:w w:val="110"/>
          <w:szCs w:val="22"/>
        </w:rPr>
      </w:pPr>
    </w:p>
    <w:p w14:paraId="6AE08E6F" w14:textId="77777777" w:rsidR="00A154D2" w:rsidRPr="00DD7BD1" w:rsidRDefault="00A154D2" w:rsidP="00A154D2">
      <w:pPr>
        <w:pStyle w:val="BodyText"/>
        <w:spacing w:after="0" w:line="240" w:lineRule="auto"/>
        <w:ind w:right="-90"/>
        <w:rPr>
          <w:rFonts w:cs="Calibri"/>
          <w:color w:val="auto"/>
          <w:szCs w:val="22"/>
        </w:rPr>
      </w:pPr>
      <w:r w:rsidRPr="00DD7BD1">
        <w:rPr>
          <w:rFonts w:cs="Calibri"/>
          <w:color w:val="auto"/>
          <w:w w:val="110"/>
          <w:szCs w:val="22"/>
        </w:rPr>
        <w:t>Employees</w:t>
      </w:r>
      <w:r w:rsidRPr="00DD7BD1">
        <w:rPr>
          <w:rFonts w:cs="Calibri"/>
          <w:color w:val="auto"/>
          <w:spacing w:val="1"/>
          <w:w w:val="110"/>
          <w:szCs w:val="22"/>
        </w:rPr>
        <w:t xml:space="preserve">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use</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leave</w:t>
      </w:r>
      <w:r w:rsidRPr="00DD7BD1">
        <w:rPr>
          <w:rFonts w:cs="Calibri"/>
          <w:color w:val="auto"/>
          <w:spacing w:val="1"/>
          <w:w w:val="110"/>
          <w:szCs w:val="22"/>
        </w:rPr>
        <w:t xml:space="preserve"> </w:t>
      </w:r>
      <w:r w:rsidRPr="00DD7BD1">
        <w:rPr>
          <w:rFonts w:cs="Calibri"/>
          <w:color w:val="auto"/>
          <w:spacing w:val="-4"/>
          <w:w w:val="110"/>
          <w:szCs w:val="22"/>
        </w:rPr>
        <w:t>for:</w:t>
      </w:r>
    </w:p>
    <w:p w14:paraId="43C5306F" w14:textId="77777777" w:rsidR="00A154D2" w:rsidRPr="00DD7BD1"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Their own medical</w:t>
      </w:r>
      <w:r w:rsidRPr="00DD7BD1">
        <w:rPr>
          <w:rFonts w:ascii="Calibri" w:hAnsi="Calibri" w:cs="Calibri"/>
          <w:spacing w:val="21"/>
          <w:w w:val="110"/>
        </w:rPr>
        <w:t xml:space="preserve"> </w:t>
      </w:r>
      <w:r w:rsidRPr="00DD7BD1">
        <w:rPr>
          <w:rFonts w:ascii="Calibri" w:hAnsi="Calibri" w:cs="Calibri"/>
          <w:w w:val="110"/>
        </w:rPr>
        <w:t>appointments</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2"/>
          <w:w w:val="110"/>
        </w:rPr>
        <w:t xml:space="preserve"> </w:t>
      </w:r>
      <w:r w:rsidRPr="00DD7BD1">
        <w:rPr>
          <w:rFonts w:ascii="Calibri" w:hAnsi="Calibri" w:cs="Calibri"/>
          <w:w w:val="110"/>
        </w:rPr>
        <w:t>childbirth (the</w:t>
      </w:r>
      <w:r w:rsidRPr="00DD7BD1">
        <w:rPr>
          <w:rFonts w:ascii="Calibri" w:hAnsi="Calibri" w:cs="Calibri"/>
          <w:spacing w:val="23"/>
          <w:w w:val="110"/>
        </w:rPr>
        <w:t xml:space="preserve"> </w:t>
      </w:r>
      <w:r w:rsidRPr="00DD7BD1">
        <w:rPr>
          <w:rFonts w:ascii="Calibri" w:hAnsi="Calibri" w:cs="Calibri"/>
          <w:w w:val="110"/>
        </w:rPr>
        <w:t>law</w:t>
      </w:r>
      <w:r w:rsidRPr="00DD7BD1">
        <w:rPr>
          <w:rFonts w:ascii="Calibri" w:hAnsi="Calibri" w:cs="Calibri"/>
          <w:spacing w:val="22"/>
          <w:w w:val="110"/>
        </w:rPr>
        <w:t xml:space="preserve"> </w:t>
      </w:r>
      <w:r w:rsidRPr="00DD7BD1">
        <w:rPr>
          <w:rFonts w:ascii="Calibri" w:hAnsi="Calibri" w:cs="Calibri"/>
          <w:w w:val="110"/>
        </w:rPr>
        <w:t>doesn’t</w:t>
      </w:r>
      <w:r w:rsidRPr="00DD7BD1">
        <w:rPr>
          <w:rFonts w:ascii="Calibri" w:hAnsi="Calibri" w:cs="Calibri"/>
          <w:spacing w:val="22"/>
          <w:w w:val="110"/>
        </w:rPr>
        <w:t xml:space="preserve"> </w:t>
      </w:r>
      <w:r w:rsidRPr="00DD7BD1">
        <w:rPr>
          <w:rFonts w:ascii="Calibri" w:hAnsi="Calibri" w:cs="Calibri"/>
          <w:w w:val="110"/>
        </w:rPr>
        <w:t>define</w:t>
      </w:r>
      <w:r w:rsidRPr="00DD7BD1">
        <w:rPr>
          <w:rFonts w:ascii="Calibri" w:hAnsi="Calibri" w:cs="Calibri"/>
          <w:spacing w:val="-3"/>
          <w:w w:val="110"/>
        </w:rPr>
        <w:t xml:space="preserve"> </w:t>
      </w:r>
      <w:r w:rsidRPr="00DD7BD1">
        <w:rPr>
          <w:rFonts w:ascii="Calibri" w:hAnsi="Calibri" w:cs="Calibri"/>
          <w:i/>
          <w:w w:val="110"/>
        </w:rPr>
        <w:t>for</w:t>
      </w:r>
      <w:r w:rsidRPr="00DD7BD1">
        <w:rPr>
          <w:rFonts w:ascii="Calibri" w:hAnsi="Calibri" w:cs="Calibri"/>
          <w:i/>
          <w:spacing w:val="22"/>
          <w:w w:val="110"/>
        </w:rPr>
        <w:t xml:space="preserve"> </w:t>
      </w:r>
      <w:r w:rsidRPr="00DD7BD1">
        <w:rPr>
          <w:rFonts w:ascii="Calibri" w:hAnsi="Calibri" w:cs="Calibri"/>
          <w:i/>
          <w:w w:val="110"/>
        </w:rPr>
        <w:t>childbirth</w:t>
      </w:r>
      <w:r w:rsidRPr="00DD7BD1">
        <w:rPr>
          <w:rFonts w:ascii="Calibri" w:hAnsi="Calibri" w:cs="Calibri"/>
          <w:w w:val="110"/>
        </w:rPr>
        <w:t>,</w:t>
      </w:r>
      <w:r w:rsidRPr="00DD7BD1">
        <w:rPr>
          <w:rFonts w:ascii="Calibri" w:hAnsi="Calibri" w:cs="Calibri"/>
          <w:spacing w:val="22"/>
          <w:w w:val="110"/>
        </w:rPr>
        <w:t xml:space="preserve"> </w:t>
      </w:r>
      <w:r w:rsidRPr="00DD7BD1">
        <w:rPr>
          <w:rFonts w:ascii="Calibri" w:hAnsi="Calibri" w:cs="Calibri"/>
          <w:w w:val="110"/>
        </w:rPr>
        <w:t>but</w:t>
      </w:r>
      <w:r w:rsidRPr="00DD7BD1">
        <w:rPr>
          <w:rFonts w:ascii="Calibri" w:hAnsi="Calibri" w:cs="Calibri"/>
          <w:spacing w:val="22"/>
          <w:w w:val="110"/>
        </w:rPr>
        <w:t xml:space="preserve"> </w:t>
      </w:r>
      <w:r w:rsidRPr="00DD7BD1">
        <w:rPr>
          <w:rFonts w:ascii="Calibri" w:hAnsi="Calibri" w:cs="Calibri"/>
          <w:w w:val="110"/>
        </w:rPr>
        <w:t>we</w:t>
      </w:r>
      <w:r w:rsidRPr="00DD7BD1">
        <w:rPr>
          <w:rFonts w:ascii="Calibri" w:hAnsi="Calibri" w:cs="Calibri"/>
          <w:spacing w:val="22"/>
          <w:w w:val="110"/>
        </w:rPr>
        <w:t xml:space="preserve"> </w:t>
      </w:r>
      <w:r w:rsidRPr="00DD7BD1">
        <w:rPr>
          <w:rFonts w:ascii="Calibri" w:hAnsi="Calibri" w:cs="Calibri"/>
          <w:w w:val="110"/>
        </w:rPr>
        <w:t>assume</w:t>
      </w:r>
      <w:r w:rsidRPr="00DD7BD1">
        <w:rPr>
          <w:rFonts w:ascii="Calibri" w:hAnsi="Calibri" w:cs="Calibri"/>
          <w:spacing w:val="23"/>
          <w:w w:val="110"/>
        </w:rPr>
        <w:t xml:space="preserve"> </w:t>
      </w:r>
      <w:r w:rsidRPr="00DD7BD1">
        <w:rPr>
          <w:rFonts w:ascii="Calibri" w:hAnsi="Calibri" w:cs="Calibri"/>
          <w:w w:val="110"/>
        </w:rPr>
        <w:t>this includes appointments to prepare for it, as well)</w:t>
      </w:r>
    </w:p>
    <w:p w14:paraId="7EDFF2C1"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Their</w:t>
      </w:r>
      <w:r w:rsidRPr="00DD7BD1">
        <w:rPr>
          <w:rFonts w:ascii="Calibri" w:hAnsi="Calibri" w:cs="Calibri"/>
          <w:spacing w:val="34"/>
        </w:rPr>
        <w:t xml:space="preserve"> </w:t>
      </w:r>
      <w:r w:rsidRPr="00DD7BD1">
        <w:rPr>
          <w:rFonts w:ascii="Calibri" w:hAnsi="Calibri" w:cs="Calibri"/>
        </w:rPr>
        <w:t>own</w:t>
      </w:r>
      <w:r w:rsidRPr="00DD7BD1">
        <w:rPr>
          <w:rFonts w:ascii="Calibri" w:hAnsi="Calibri" w:cs="Calibri"/>
          <w:spacing w:val="34"/>
        </w:rPr>
        <w:t xml:space="preserve"> </w:t>
      </w:r>
      <w:r w:rsidRPr="00DD7BD1">
        <w:rPr>
          <w:rFonts w:ascii="Calibri" w:hAnsi="Calibri" w:cs="Calibri"/>
        </w:rPr>
        <w:t>postpartum</w:t>
      </w:r>
      <w:r w:rsidRPr="00DD7BD1">
        <w:rPr>
          <w:rFonts w:ascii="Calibri" w:hAnsi="Calibri" w:cs="Calibri"/>
          <w:spacing w:val="40"/>
        </w:rPr>
        <w:t xml:space="preserve"> </w:t>
      </w:r>
      <w:r w:rsidRPr="00DD7BD1">
        <w:rPr>
          <w:rFonts w:ascii="Calibri" w:hAnsi="Calibri" w:cs="Calibri"/>
          <w:spacing w:val="-4"/>
        </w:rPr>
        <w:t>care</w:t>
      </w:r>
    </w:p>
    <w:p w14:paraId="7070CD8C"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pediatric</w:t>
      </w:r>
      <w:r w:rsidRPr="00DD7BD1">
        <w:rPr>
          <w:rFonts w:ascii="Calibri" w:hAnsi="Calibri" w:cs="Calibri"/>
          <w:spacing w:val="-10"/>
          <w:w w:val="110"/>
        </w:rPr>
        <w:t xml:space="preserve"> </w:t>
      </w:r>
      <w:r w:rsidRPr="00DD7BD1">
        <w:rPr>
          <w:rFonts w:ascii="Calibri" w:hAnsi="Calibri" w:cs="Calibri"/>
          <w:spacing w:val="-2"/>
          <w:w w:val="110"/>
        </w:rPr>
        <w:t>medical</w:t>
      </w:r>
      <w:r w:rsidRPr="00DD7BD1">
        <w:rPr>
          <w:rFonts w:ascii="Calibri" w:hAnsi="Calibri" w:cs="Calibri"/>
          <w:spacing w:val="-8"/>
          <w:w w:val="110"/>
        </w:rPr>
        <w:t xml:space="preserve"> </w:t>
      </w:r>
      <w:r w:rsidRPr="00DD7BD1">
        <w:rPr>
          <w:rFonts w:ascii="Calibri" w:hAnsi="Calibri" w:cs="Calibri"/>
          <w:spacing w:val="-2"/>
          <w:w w:val="110"/>
        </w:rPr>
        <w:t>appointments</w:t>
      </w:r>
      <w:r w:rsidRPr="00DD7BD1">
        <w:rPr>
          <w:rFonts w:ascii="Calibri" w:hAnsi="Calibri" w:cs="Calibri"/>
          <w:spacing w:val="-9"/>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6"/>
          <w:w w:val="110"/>
        </w:rPr>
        <w:t xml:space="preserve"> </w:t>
      </w:r>
      <w:r w:rsidRPr="00DD7BD1">
        <w:rPr>
          <w:rFonts w:ascii="Calibri" w:hAnsi="Calibri" w:cs="Calibri"/>
          <w:spacing w:val="-2"/>
          <w:w w:val="110"/>
        </w:rPr>
        <w:t>first</w:t>
      </w:r>
      <w:r w:rsidRPr="00DD7BD1">
        <w:rPr>
          <w:rFonts w:ascii="Calibri" w:hAnsi="Calibri" w:cs="Calibri"/>
          <w:spacing w:val="-11"/>
          <w:w w:val="110"/>
        </w:rPr>
        <w:t xml:space="preserve"> </w:t>
      </w:r>
      <w:r w:rsidRPr="00DD7BD1">
        <w:rPr>
          <w:rFonts w:ascii="Calibri" w:hAnsi="Calibri" w:cs="Calibri"/>
          <w:spacing w:val="-2"/>
          <w:w w:val="110"/>
        </w:rPr>
        <w:t>year</w:t>
      </w:r>
      <w:r w:rsidRPr="00DD7BD1">
        <w:rPr>
          <w:rFonts w:ascii="Calibri" w:hAnsi="Calibri" w:cs="Calibri"/>
          <w:spacing w:val="-10"/>
          <w:w w:val="110"/>
        </w:rPr>
        <w:t xml:space="preserve"> </w:t>
      </w:r>
      <w:r w:rsidRPr="00DD7BD1">
        <w:rPr>
          <w:rFonts w:ascii="Calibri" w:hAnsi="Calibri" w:cs="Calibri"/>
          <w:spacing w:val="-2"/>
          <w:w w:val="110"/>
        </w:rPr>
        <w:t>of</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7"/>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birth</w:t>
      </w:r>
      <w:r w:rsidRPr="00DD7BD1">
        <w:rPr>
          <w:rFonts w:ascii="Calibri" w:hAnsi="Calibri" w:cs="Calibri"/>
          <w:spacing w:val="-10"/>
          <w:w w:val="110"/>
        </w:rPr>
        <w:t xml:space="preserve"> </w:t>
      </w:r>
      <w:r w:rsidRPr="00DD7BD1">
        <w:rPr>
          <w:rFonts w:ascii="Calibri" w:hAnsi="Calibri" w:cs="Calibri"/>
          <w:spacing w:val="-2"/>
          <w:w w:val="110"/>
        </w:rPr>
        <w:t>or</w:t>
      </w:r>
      <w:r w:rsidRPr="00DD7BD1">
        <w:rPr>
          <w:rFonts w:ascii="Calibri" w:hAnsi="Calibri" w:cs="Calibri"/>
          <w:spacing w:val="-7"/>
          <w:w w:val="110"/>
        </w:rPr>
        <w:t xml:space="preserve"> </w:t>
      </w:r>
      <w:r w:rsidRPr="00DD7BD1">
        <w:rPr>
          <w:rFonts w:ascii="Calibri" w:hAnsi="Calibri" w:cs="Calibri"/>
          <w:spacing w:val="-2"/>
          <w:w w:val="110"/>
        </w:rPr>
        <w:t>adoption</w:t>
      </w:r>
    </w:p>
    <w:p w14:paraId="328A6261" w14:textId="77777777" w:rsidR="00A154D2" w:rsidRPr="00DD7BD1" w:rsidRDefault="00A154D2" w:rsidP="00A154D2">
      <w:pPr>
        <w:pStyle w:val="BodyText"/>
        <w:spacing w:after="0" w:line="240" w:lineRule="auto"/>
        <w:ind w:left="630" w:right="-90"/>
        <w:rPr>
          <w:rFonts w:cs="Calibri"/>
          <w:color w:val="auto"/>
          <w:szCs w:val="22"/>
        </w:rPr>
      </w:pPr>
      <w:r w:rsidRPr="00DD7BD1">
        <w:rPr>
          <w:rFonts w:cs="Calibri"/>
          <w:color w:val="auto"/>
          <w:w w:val="110"/>
          <w:szCs w:val="22"/>
        </w:rPr>
        <w:t>If</w:t>
      </w:r>
      <w:r w:rsidRPr="00DD7BD1">
        <w:rPr>
          <w:rFonts w:cs="Calibri"/>
          <w:color w:val="auto"/>
          <w:spacing w:val="31"/>
          <w:w w:val="110"/>
          <w:szCs w:val="22"/>
        </w:rPr>
        <w:t xml:space="preserve"> </w:t>
      </w:r>
      <w:r w:rsidRPr="00DD7BD1">
        <w:rPr>
          <w:rFonts w:cs="Calibri"/>
          <w:color w:val="auto"/>
          <w:w w:val="110"/>
          <w:szCs w:val="22"/>
        </w:rPr>
        <w:t>both</w:t>
      </w:r>
      <w:r w:rsidRPr="00DD7BD1">
        <w:rPr>
          <w:rFonts w:cs="Calibri"/>
          <w:color w:val="auto"/>
          <w:spacing w:val="29"/>
          <w:w w:val="110"/>
          <w:szCs w:val="22"/>
        </w:rPr>
        <w:t xml:space="preserve"> </w:t>
      </w:r>
      <w:r w:rsidRPr="00DD7BD1">
        <w:rPr>
          <w:rFonts w:cs="Calibri"/>
          <w:color w:val="auto"/>
          <w:w w:val="110"/>
          <w:szCs w:val="22"/>
        </w:rPr>
        <w:t>parents</w:t>
      </w:r>
      <w:r w:rsidRPr="00DD7BD1">
        <w:rPr>
          <w:rFonts w:cs="Calibri"/>
          <w:color w:val="auto"/>
          <w:spacing w:val="31"/>
          <w:w w:val="110"/>
          <w:szCs w:val="22"/>
        </w:rPr>
        <w:t xml:space="preserve"> </w:t>
      </w:r>
      <w:r w:rsidRPr="00DD7BD1">
        <w:rPr>
          <w:rFonts w:cs="Calibri"/>
          <w:color w:val="auto"/>
          <w:w w:val="110"/>
          <w:szCs w:val="22"/>
        </w:rPr>
        <w:t>work</w:t>
      </w:r>
      <w:r w:rsidRPr="00DD7BD1">
        <w:rPr>
          <w:rFonts w:cs="Calibri"/>
          <w:color w:val="auto"/>
          <w:spacing w:val="29"/>
          <w:w w:val="110"/>
          <w:szCs w:val="22"/>
        </w:rPr>
        <w:t xml:space="preserve"> </w:t>
      </w:r>
      <w:r w:rsidRPr="00DD7BD1">
        <w:rPr>
          <w:rFonts w:cs="Calibri"/>
          <w:color w:val="auto"/>
          <w:w w:val="110"/>
          <w:szCs w:val="22"/>
        </w:rPr>
        <w:t>for</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8"/>
          <w:w w:val="110"/>
          <w:szCs w:val="22"/>
        </w:rPr>
        <w:t xml:space="preserve"> </w:t>
      </w:r>
      <w:r w:rsidRPr="00DD7BD1">
        <w:rPr>
          <w:rFonts w:cs="Calibri"/>
          <w:color w:val="auto"/>
          <w:w w:val="110"/>
          <w:szCs w:val="22"/>
        </w:rPr>
        <w:t>same</w:t>
      </w:r>
      <w:r w:rsidRPr="00DD7BD1">
        <w:rPr>
          <w:rFonts w:cs="Calibri"/>
          <w:color w:val="auto"/>
          <w:spacing w:val="29"/>
          <w:w w:val="110"/>
          <w:szCs w:val="22"/>
        </w:rPr>
        <w:t xml:space="preserve"> </w:t>
      </w:r>
      <w:r w:rsidRPr="00DD7BD1">
        <w:rPr>
          <w:rFonts w:cs="Calibri"/>
          <w:color w:val="auto"/>
          <w:w w:val="110"/>
          <w:szCs w:val="22"/>
        </w:rPr>
        <w:t>employer,</w:t>
      </w:r>
      <w:r w:rsidRPr="00DD7BD1">
        <w:rPr>
          <w:rFonts w:cs="Calibri"/>
          <w:color w:val="auto"/>
          <w:spacing w:val="29"/>
          <w:w w:val="110"/>
          <w:szCs w:val="22"/>
        </w:rPr>
        <w:t xml:space="preserve"> </w:t>
      </w:r>
      <w:r w:rsidRPr="00DD7BD1">
        <w:rPr>
          <w:rFonts w:cs="Calibri"/>
          <w:color w:val="auto"/>
          <w:w w:val="110"/>
          <w:szCs w:val="22"/>
        </w:rPr>
        <w:t>they</w:t>
      </w:r>
      <w:r w:rsidRPr="00DD7BD1">
        <w:rPr>
          <w:rFonts w:cs="Calibri"/>
          <w:color w:val="auto"/>
          <w:spacing w:val="32"/>
          <w:w w:val="110"/>
          <w:szCs w:val="22"/>
        </w:rPr>
        <w:t xml:space="preserve"> </w:t>
      </w:r>
      <w:r w:rsidRPr="00DD7BD1">
        <w:rPr>
          <w:rFonts w:cs="Calibri"/>
          <w:color w:val="auto"/>
          <w:w w:val="110"/>
          <w:szCs w:val="22"/>
        </w:rPr>
        <w:t>can</w:t>
      </w:r>
      <w:r w:rsidRPr="00DD7BD1">
        <w:rPr>
          <w:rFonts w:cs="Calibri"/>
          <w:color w:val="auto"/>
          <w:spacing w:val="30"/>
          <w:w w:val="110"/>
          <w:szCs w:val="22"/>
        </w:rPr>
        <w:t xml:space="preserve"> </w:t>
      </w:r>
      <w:r w:rsidRPr="00DD7BD1">
        <w:rPr>
          <w:rFonts w:cs="Calibri"/>
          <w:color w:val="auto"/>
          <w:w w:val="110"/>
          <w:szCs w:val="22"/>
        </w:rPr>
        <w:t>share</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25-hour</w:t>
      </w:r>
      <w:r w:rsidRPr="00DD7BD1">
        <w:rPr>
          <w:rFonts w:cs="Calibri"/>
          <w:color w:val="auto"/>
          <w:spacing w:val="29"/>
          <w:w w:val="110"/>
          <w:szCs w:val="22"/>
        </w:rPr>
        <w:t xml:space="preserve"> </w:t>
      </w:r>
      <w:r w:rsidRPr="00DD7BD1">
        <w:rPr>
          <w:rFonts w:cs="Calibri"/>
          <w:color w:val="auto"/>
          <w:w w:val="110"/>
          <w:szCs w:val="22"/>
        </w:rPr>
        <w:t>entitlement</w:t>
      </w:r>
      <w:r w:rsidRPr="00DD7BD1">
        <w:rPr>
          <w:rFonts w:cs="Calibri"/>
          <w:color w:val="auto"/>
          <w:spacing w:val="31"/>
          <w:w w:val="110"/>
          <w:szCs w:val="22"/>
        </w:rPr>
        <w:t xml:space="preserve"> </w:t>
      </w:r>
      <w:r w:rsidRPr="00DD7BD1">
        <w:rPr>
          <w:rFonts w:cs="Calibri"/>
          <w:color w:val="auto"/>
          <w:w w:val="110"/>
          <w:szCs w:val="22"/>
        </w:rPr>
        <w:t>for</w:t>
      </w:r>
      <w:r w:rsidRPr="00DD7BD1">
        <w:rPr>
          <w:rFonts w:cs="Calibri"/>
          <w:color w:val="auto"/>
          <w:spacing w:val="29"/>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child’s</w:t>
      </w:r>
      <w:r w:rsidRPr="00DD7BD1">
        <w:rPr>
          <w:rFonts w:cs="Calibri"/>
          <w:color w:val="auto"/>
          <w:spacing w:val="31"/>
          <w:w w:val="110"/>
          <w:szCs w:val="22"/>
        </w:rPr>
        <w:t xml:space="preserve"> </w:t>
      </w:r>
      <w:r w:rsidRPr="00DD7BD1">
        <w:rPr>
          <w:rFonts w:cs="Calibri"/>
          <w:color w:val="auto"/>
          <w:spacing w:val="-2"/>
          <w:w w:val="110"/>
          <w:szCs w:val="22"/>
        </w:rPr>
        <w:t>medical</w:t>
      </w:r>
      <w:r w:rsidRPr="00DD7BD1">
        <w:rPr>
          <w:rFonts w:cs="Calibri"/>
          <w:color w:val="auto"/>
          <w:szCs w:val="22"/>
        </w:rPr>
        <w:t xml:space="preserve"> </w:t>
      </w:r>
      <w:r w:rsidRPr="00DD7BD1">
        <w:rPr>
          <w:rFonts w:cs="Calibri"/>
          <w:color w:val="auto"/>
          <w:w w:val="110"/>
          <w:szCs w:val="22"/>
        </w:rPr>
        <w:t>appointments.</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accrued</w:t>
      </w:r>
      <w:r w:rsidRPr="00DD7BD1">
        <w:rPr>
          <w:rFonts w:cs="Calibri"/>
          <w:color w:val="auto"/>
          <w:spacing w:val="-11"/>
          <w:w w:val="110"/>
          <w:szCs w:val="22"/>
        </w:rPr>
        <w:t xml:space="preserve"> </w:t>
      </w:r>
      <w:r w:rsidRPr="00DD7BD1">
        <w:rPr>
          <w:rFonts w:cs="Calibri"/>
          <w:color w:val="auto"/>
          <w:w w:val="110"/>
          <w:szCs w:val="22"/>
        </w:rPr>
        <w:t>vacation</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substitute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unpaid</w:t>
      </w:r>
      <w:r w:rsidRPr="00DD7BD1">
        <w:rPr>
          <w:rFonts w:cs="Calibri"/>
          <w:color w:val="auto"/>
          <w:spacing w:val="-11"/>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spacing w:val="-2"/>
          <w:w w:val="110"/>
          <w:szCs w:val="22"/>
        </w:rPr>
        <w:t>time.</w:t>
      </w:r>
    </w:p>
    <w:p w14:paraId="1647AF27" w14:textId="1A97348A" w:rsidR="00A154D2" w:rsidRPr="00DD7BD1" w:rsidRDefault="00BE45C9" w:rsidP="00BE45C9">
      <w:pPr>
        <w:jc w:val="both"/>
        <w:rPr>
          <w:rFonts w:ascii="Calibri" w:hAnsi="Calibri" w:cs="Calibri"/>
          <w:w w:val="110"/>
        </w:rPr>
      </w:pPr>
      <w:r w:rsidRPr="00DD7BD1">
        <w:rPr>
          <w:rFonts w:ascii="Calibri" w:hAnsi="Calibri" w:cs="Calibri"/>
          <w:w w:val="110"/>
        </w:rPr>
        <w:t>With the December HR WIRE publication, an updated NH State Handbook Addendum will be published inclusive of new policy language.</w:t>
      </w:r>
    </w:p>
    <w:p w14:paraId="7FAAEB9C" w14:textId="154F1790"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Lactation Protections – </w:t>
      </w:r>
      <w:r w:rsidRPr="00DD7BD1">
        <w:rPr>
          <w:rFonts w:ascii="Calibri" w:hAnsi="Calibri" w:cs="Calibri"/>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DD7BD1"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DD7BD1" w:rsidRDefault="00F45F26" w:rsidP="009C0EE2">
            <w:pPr>
              <w:rPr>
                <w:rFonts w:ascii="Calibri" w:hAnsi="Calibri" w:cs="Calibri"/>
                <w:shd w:val="clear" w:color="auto" w:fill="FFFFFF"/>
              </w:rPr>
            </w:pPr>
            <w:r w:rsidRPr="00DD7BD1">
              <w:rPr>
                <w:rFonts w:ascii="Calibri" w:hAnsi="Calibri" w:cs="Calibri"/>
                <w:shd w:val="clear" w:color="auto" w:fill="FFFFFF"/>
              </w:rPr>
              <w:lastRenderedPageBreak/>
              <w:t>Starting July 1, 2025, employers with six or more employees</w:t>
            </w:r>
            <w:r w:rsidRPr="00DD7BD1">
              <w:rPr>
                <w:rFonts w:ascii="Calibri" w:hAnsi="Calibri" w:cs="Calibri"/>
                <w:i/>
                <w:iCs/>
                <w:shd w:val="clear" w:color="auto" w:fill="FFFFFF"/>
              </w:rPr>
              <w:t> in New Hampshire </w:t>
            </w:r>
            <w:r w:rsidRPr="00DD7BD1">
              <w:rPr>
                <w:rFonts w:ascii="Calibri" w:hAnsi="Calibri" w:cs="Calibri"/>
                <w:shd w:val="clear" w:color="auto" w:fill="FFFFFF"/>
              </w:rPr>
              <w:t>will be required to provide employees with certain lactation accommodations unless doing so would be an undue hardship (i.e., a </w:t>
            </w:r>
            <w:r w:rsidRPr="00DD7BD1">
              <w:rPr>
                <w:rFonts w:ascii="Calibri" w:hAnsi="Calibri" w:cs="Calibri"/>
                <w:i/>
                <w:iCs/>
                <w:shd w:val="clear" w:color="auto" w:fill="FFFFFF"/>
              </w:rPr>
              <w:t>significant</w:t>
            </w:r>
            <w:r w:rsidRPr="00DD7BD1">
              <w:rPr>
                <w:rFonts w:ascii="Calibri" w:hAnsi="Calibri" w:cs="Calibri"/>
                <w:shd w:val="clear" w:color="auto" w:fill="FFFFFF"/>
              </w:rPr>
              <w:t xml:space="preserve"> difficulty or expense). </w:t>
            </w:r>
          </w:p>
          <w:p w14:paraId="3B6C0A2A"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b/>
                <w:bCs/>
                <w:shd w:val="clear" w:color="auto" w:fill="FFFFFF"/>
              </w:rPr>
              <w:t>Lactation Space</w:t>
            </w:r>
            <w:r w:rsidRPr="00DD7BD1">
              <w:rPr>
                <w:rFonts w:ascii="Calibri" w:hAnsi="Calibri" w:cs="Calibri"/>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If feasible, the space needs to include an </w:t>
            </w:r>
            <w:r w:rsidRPr="00DD7BD1">
              <w:rPr>
                <w:rFonts w:ascii="Calibri" w:hAnsi="Calibri" w:cs="Calibri"/>
                <w:u w:val="single"/>
                <w:shd w:val="clear" w:color="auto" w:fill="FFFFFF"/>
              </w:rPr>
              <w:t>electrical outlet and a chair</w:t>
            </w:r>
            <w:r w:rsidRPr="00DD7BD1">
              <w:rPr>
                <w:rFonts w:ascii="Calibri" w:hAnsi="Calibri" w:cs="Calibri"/>
                <w:shd w:val="clear" w:color="auto" w:fill="FFFFFF"/>
              </w:rPr>
              <w:t>. It must also (and we hope this didn’t need saying) be clean. </w:t>
            </w:r>
          </w:p>
          <w:p w14:paraId="5B1448D9" w14:textId="13D0F506" w:rsidR="00F45F26" w:rsidRPr="00DD7BD1" w:rsidRDefault="00F45F26">
            <w:pPr>
              <w:pStyle w:val="ListParagraph"/>
              <w:numPr>
                <w:ilvl w:val="0"/>
                <w:numId w:val="220"/>
              </w:num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If the space isn’t designated for lactation </w:t>
            </w:r>
            <w:proofErr w:type="gramStart"/>
            <w:r w:rsidRPr="00DD7BD1">
              <w:rPr>
                <w:rFonts w:ascii="Calibri" w:hAnsi="Calibri" w:cs="Calibri"/>
                <w:shd w:val="clear" w:color="auto" w:fill="FFFFFF"/>
              </w:rPr>
              <w:t>full time</w:t>
            </w:r>
            <w:proofErr w:type="gramEnd"/>
            <w:r w:rsidRPr="00DD7BD1">
              <w:rPr>
                <w:rFonts w:ascii="Calibri" w:hAnsi="Calibri" w:cs="Calibri"/>
                <w:shd w:val="clear" w:color="auto" w:fill="FFFFFF"/>
              </w:rPr>
              <w:t xml:space="preserve">, it needs to be </w:t>
            </w:r>
            <w:r w:rsidRPr="00DD7BD1">
              <w:rPr>
                <w:rFonts w:ascii="Calibri" w:hAnsi="Calibri" w:cs="Calibri"/>
                <w:u w:val="single"/>
                <w:shd w:val="clear" w:color="auto" w:fill="FFFFFF"/>
              </w:rPr>
              <w:t>accessible to employees whenever they request it.</w:t>
            </w:r>
          </w:p>
          <w:p w14:paraId="343B9548" w14:textId="04A932C5" w:rsidR="00F45F26" w:rsidRPr="00DD7BD1" w:rsidRDefault="00F45F26" w:rsidP="009C0EE2">
            <w:pPr>
              <w:rPr>
                <w:rFonts w:ascii="Calibri" w:hAnsi="Calibri" w:cs="Calibri"/>
                <w:color w:val="2E74B5" w:themeColor="accent5" w:themeShade="BF"/>
                <w:shd w:val="clear" w:color="auto" w:fill="FFFFFF"/>
              </w:rPr>
            </w:pPr>
            <w:r w:rsidRPr="00DD7BD1">
              <w:rPr>
                <w:rFonts w:ascii="Calibri" w:hAnsi="Calibri" w:cs="Calibri"/>
                <w:b/>
                <w:bCs/>
                <w:shd w:val="clear" w:color="auto" w:fill="FFFFFF"/>
              </w:rPr>
              <w:t>Lactation Policy</w:t>
            </w:r>
            <w:r w:rsidRPr="00DD7BD1">
              <w:rPr>
                <w:rFonts w:ascii="Calibri" w:hAnsi="Calibri" w:cs="Calibri"/>
                <w:shd w:val="clear" w:color="auto" w:fill="FFFFFF"/>
              </w:rPr>
              <w:br/>
              <w:t>Employers will need to adopt a policy that notifies employees about their lactation rights and make it available to employees upon hire, if an employer doesn’t already have such a policy.  ETC released an updated State Handbook Addendum June 2025.</w:t>
            </w:r>
          </w:p>
        </w:tc>
      </w:tr>
    </w:tbl>
    <w:p w14:paraId="7732FB9B" w14:textId="70C904E4" w:rsidR="00ED58D7" w:rsidRPr="00DD7BD1" w:rsidRDefault="00F45F26" w:rsidP="00F45F26">
      <w:pPr>
        <w:pStyle w:val="Heading1"/>
        <w:spacing w:before="0" w:beforeAutospacing="0" w:after="0" w:afterAutospacing="0"/>
        <w:jc w:val="center"/>
        <w:rPr>
          <w:rFonts w:ascii="Calibri" w:eastAsiaTheme="minorHAnsi" w:hAnsi="Calibri" w:cs="Calibri"/>
          <w:kern w:val="0"/>
          <w:sz w:val="28"/>
          <w:szCs w:val="28"/>
          <w:shd w:val="clear" w:color="auto" w:fill="FFFFFF"/>
        </w:rPr>
      </w:pPr>
      <w:r w:rsidRPr="00DD7BD1">
        <w:rPr>
          <w:rFonts w:ascii="Calibri" w:eastAsiaTheme="minorHAnsi" w:hAnsi="Calibri" w:cs="Calibri"/>
          <w:kern w:val="0"/>
          <w:sz w:val="28"/>
          <w:szCs w:val="28"/>
          <w:shd w:val="clear" w:color="auto" w:fill="FFFFFF"/>
        </w:rPr>
        <w:t>State</w:t>
      </w:r>
      <w:r w:rsidR="00ED58D7" w:rsidRPr="00DD7BD1">
        <w:rPr>
          <w:rFonts w:ascii="Calibri" w:eastAsiaTheme="minorHAnsi" w:hAnsi="Calibri" w:cs="Calibri"/>
          <w:kern w:val="0"/>
          <w:sz w:val="28"/>
          <w:szCs w:val="28"/>
          <w:shd w:val="clear" w:color="auto" w:fill="FFFFFF"/>
        </w:rPr>
        <w:t xml:space="preserve"> Prohibits Hairstyle Discrimination – </w:t>
      </w:r>
      <w:r w:rsidR="00ED58D7" w:rsidRPr="00DD7BD1">
        <w:rPr>
          <w:rFonts w:ascii="Calibri" w:eastAsiaTheme="minorHAnsi" w:hAnsi="Calibri" w:cs="Calibri"/>
          <w:color w:val="C00000"/>
          <w:kern w:val="0"/>
          <w:sz w:val="28"/>
          <w:szCs w:val="28"/>
          <w:shd w:val="clear" w:color="auto" w:fill="FFFFFF"/>
        </w:rPr>
        <w:t>Sept 1, 2024</w:t>
      </w:r>
    </w:p>
    <w:p w14:paraId="79EB6B9B" w14:textId="77777777" w:rsidR="00ED58D7" w:rsidRPr="00DD7BD1" w:rsidRDefault="00ED58D7" w:rsidP="00ED58D7">
      <w:pPr>
        <w:spacing w:after="0" w:line="240" w:lineRule="auto"/>
        <w:rPr>
          <w:rFonts w:ascii="Calibri" w:hAnsi="Calibri" w:cs="Calibri"/>
          <w:shd w:val="clear" w:color="auto" w:fill="FFFFFF"/>
        </w:rPr>
      </w:pPr>
      <w:r w:rsidRPr="00DD7BD1">
        <w:rPr>
          <w:rFonts w:ascii="Calibri" w:hAnsi="Calibri" w:cs="Calibri"/>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sidRPr="00DD7BD1">
        <w:rPr>
          <w:rFonts w:ascii="Calibri" w:hAnsi="Calibri" w:cs="Calibri"/>
          <w:b/>
          <w:bCs/>
          <w:shd w:val="clear" w:color="auto" w:fill="FFFFFF"/>
        </w:rPr>
        <w:t xml:space="preserve">  </w:t>
      </w:r>
      <w:hyperlink r:id="rId914" w:tgtFrame="_blank" w:history="1">
        <w:r w:rsidRPr="00DD7BD1">
          <w:rPr>
            <w:rStyle w:val="Hyperlink"/>
            <w:rFonts w:ascii="Calibri" w:hAnsi="Calibri" w:cs="Calibri"/>
            <w:shd w:val="clear" w:color="auto" w:fill="FFFFFF"/>
          </w:rPr>
          <w:t>NH H 1169</w:t>
        </w:r>
      </w:hyperlink>
      <w:r w:rsidRPr="00DD7BD1">
        <w:rPr>
          <w:rFonts w:ascii="Calibri" w:hAnsi="Calibri" w:cs="Calibri"/>
          <w:shd w:val="clear" w:color="auto" w:fill="FFFFFF"/>
        </w:rPr>
        <w:t xml:space="preserve"> was signed by the governor on July 3, 2024.  </w:t>
      </w:r>
    </w:p>
    <w:p w14:paraId="578C14B7"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16"/>
          <w:szCs w:val="16"/>
          <w:shd w:val="clear" w:color="auto" w:fill="FFFFFF"/>
        </w:rPr>
      </w:pPr>
    </w:p>
    <w:p w14:paraId="3403909D"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eastAsiaTheme="minorHAnsi" w:hAnsi="Calibri" w:cs="Calibri"/>
          <w:kern w:val="0"/>
          <w:sz w:val="22"/>
          <w:szCs w:val="22"/>
          <w:shd w:val="clear" w:color="auto" w:fill="FFFFFF"/>
        </w:rPr>
        <w:t>s</w:t>
      </w:r>
      <w:r w:rsidRPr="00DD7BD1">
        <w:rPr>
          <w:rFonts w:ascii="Calibri" w:eastAsiaTheme="minorHAnsi" w:hAnsi="Calibri" w:cs="Calibri"/>
          <w:b w:val="0"/>
          <w:bCs w:val="0"/>
          <w:kern w:val="0"/>
          <w:sz w:val="22"/>
          <w:szCs w:val="22"/>
          <w:shd w:val="clear" w:color="auto" w:fill="FFFFFF"/>
        </w:rPr>
        <w:t xml:space="preserve">: </w:t>
      </w:r>
    </w:p>
    <w:p w14:paraId="07CFB29A"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should review policies to ensure your equal employment opportunity (EEO) policies to include protective hairstyles</w:t>
      </w:r>
    </w:p>
    <w:p w14:paraId="7A3C526C" w14:textId="77777777" w:rsidR="00ED58D7" w:rsidRPr="00DD7BD1" w:rsidRDefault="00ED58D7" w:rsidP="00472E17">
      <w:pPr>
        <w:spacing w:after="0" w:line="240" w:lineRule="auto"/>
        <w:jc w:val="both"/>
        <w:rPr>
          <w:rFonts w:ascii="Calibri" w:hAnsi="Calibri" w:cs="Calibri"/>
          <w:b/>
          <w:bCs/>
          <w:color w:val="2E74B5" w:themeColor="accent5" w:themeShade="BF"/>
          <w:sz w:val="16"/>
          <w:szCs w:val="16"/>
          <w:shd w:val="clear" w:color="auto" w:fill="FFFFFF"/>
          <w:lang w:val="en"/>
        </w:rPr>
      </w:pPr>
    </w:p>
    <w:p w14:paraId="01CCCF6D" w14:textId="7A1FF155"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Adds Protections for Volunteer Firefighters and EMTs – </w:t>
      </w:r>
      <w:r w:rsidRPr="00DD7BD1">
        <w:rPr>
          <w:rFonts w:ascii="Calibri" w:hAnsi="Calibri" w:cs="Calibri"/>
          <w:b/>
          <w:bCs/>
          <w:color w:val="C00000"/>
          <w:sz w:val="28"/>
          <w:szCs w:val="28"/>
          <w:shd w:val="clear" w:color="auto" w:fill="FFFFFF"/>
        </w:rPr>
        <w:t>Aug 2024</w:t>
      </w:r>
    </w:p>
    <w:p w14:paraId="5ADA1E6B" w14:textId="367A32A1"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August 13, 2024, employers of </w:t>
      </w:r>
      <w:r w:rsidRPr="00DD7BD1">
        <w:rPr>
          <w:rFonts w:ascii="Calibri" w:hAnsi="Calibri" w:cs="Calibri"/>
          <w:u w:val="single"/>
          <w:shd w:val="clear" w:color="auto" w:fill="FFFFFF"/>
        </w:rPr>
        <w:t xml:space="preserve">all sizes </w:t>
      </w:r>
      <w:r w:rsidRPr="00DD7BD1">
        <w:rPr>
          <w:rFonts w:ascii="Calibri" w:hAnsi="Calibri" w:cs="Calibri"/>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DD7BD1" w:rsidRDefault="000F6584" w:rsidP="000F6584">
      <w:pPr>
        <w:spacing w:after="0" w:line="240" w:lineRule="auto"/>
        <w:rPr>
          <w:rFonts w:ascii="Calibri" w:hAnsi="Calibri" w:cs="Calibri"/>
          <w:shd w:val="clear" w:color="auto" w:fill="FFFFFF"/>
        </w:rPr>
      </w:pPr>
    </w:p>
    <w:p w14:paraId="00D76DB8" w14:textId="0F8D4FD5" w:rsidR="001C5F42" w:rsidRPr="00DD7BD1" w:rsidRDefault="001C5F42" w:rsidP="001C5F42">
      <w:pPr>
        <w:spacing w:after="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Guns in Trunks State Regulation – </w:t>
      </w:r>
      <w:r w:rsidRPr="00DD7BD1">
        <w:rPr>
          <w:rFonts w:ascii="Calibri" w:hAnsi="Calibri" w:cs="Calibri"/>
          <w:b/>
          <w:bCs/>
          <w:color w:val="C00000"/>
          <w:sz w:val="28"/>
          <w:szCs w:val="28"/>
          <w:shd w:val="clear" w:color="auto" w:fill="FFFFFF"/>
          <w:lang w:val="en"/>
        </w:rPr>
        <w:t>Jan 1, 2025</w:t>
      </w:r>
    </w:p>
    <w:p w14:paraId="6398CC70"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2025, employers of all sizes will be subject to new limitations with respect to firearms stored in employees’ personal vehicles. Specifically, </w:t>
      </w:r>
      <w:r w:rsidRPr="00DD7BD1">
        <w:rPr>
          <w:rFonts w:ascii="Calibri" w:hAnsi="Calibri" w:cs="Calibri"/>
          <w:i/>
          <w:iCs/>
          <w:shd w:val="clear" w:color="auto" w:fill="FFFFFF"/>
        </w:rPr>
        <w:t>all </w:t>
      </w:r>
      <w:r w:rsidRPr="00DD7BD1">
        <w:rPr>
          <w:rFonts w:ascii="Calibri" w:hAnsi="Calibri" w:cs="Calibri"/>
          <w:shd w:val="clear" w:color="auto" w:fill="FFFFFF"/>
        </w:rPr>
        <w:t>employers can’t:</w:t>
      </w:r>
    </w:p>
    <w:p w14:paraId="77E7BF0D"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Require that employees disclose whether there is a firearm or ammunition in their vehicle</w:t>
      </w:r>
    </w:p>
    <w:p w14:paraId="10993D47"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Search an employee’s vehicle for a firearm or ammunition</w:t>
      </w:r>
    </w:p>
    <w:p w14:paraId="61D08177"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Additionally, employers </w:t>
      </w:r>
      <w:r w:rsidRPr="00DD7BD1">
        <w:rPr>
          <w:rFonts w:ascii="Calibri" w:hAnsi="Calibri" w:cs="Calibri"/>
          <w:i/>
          <w:iCs/>
          <w:shd w:val="clear" w:color="auto" w:fill="FFFFFF"/>
        </w:rPr>
        <w:t>that are state or federal government contractors </w:t>
      </w:r>
      <w:r w:rsidRPr="00DD7BD1">
        <w:rPr>
          <w:rFonts w:ascii="Calibri" w:hAnsi="Calibri" w:cs="Calibri"/>
          <w:shd w:val="clear" w:color="auto" w:fill="FFFFFF"/>
        </w:rPr>
        <w:t xml:space="preserve">can’t prohibit employees from storing a firearm or ammunition in their vehicle on the employer’s property if the employee can legally possess a firearm, the vehicle is locked, and the firearm or ammunition isn’t visible. </w:t>
      </w:r>
      <w:hyperlink r:id="rId915" w:tgtFrame="_blank" w:history="1">
        <w:r w:rsidRPr="00DD7BD1">
          <w:rPr>
            <w:rStyle w:val="Hyperlink"/>
            <w:rFonts w:ascii="Calibri" w:hAnsi="Calibri" w:cs="Calibri"/>
            <w:shd w:val="clear" w:color="auto" w:fill="FFFFFF"/>
          </w:rPr>
          <w:t>HB 1201</w:t>
        </w:r>
      </w:hyperlink>
      <w:r w:rsidRPr="00DD7BD1">
        <w:rPr>
          <w:rFonts w:ascii="Calibri" w:hAnsi="Calibri" w:cs="Calibri"/>
          <w:shd w:val="clear" w:color="auto" w:fill="FFFFFF"/>
        </w:rPr>
        <w:t> and </w:t>
      </w:r>
      <w:hyperlink r:id="rId916" w:tgtFrame="_blank" w:history="1">
        <w:r w:rsidRPr="00DD7BD1">
          <w:rPr>
            <w:rStyle w:val="Hyperlink"/>
            <w:rFonts w:ascii="Calibri" w:hAnsi="Calibri" w:cs="Calibri"/>
            <w:shd w:val="clear" w:color="auto" w:fill="FFFFFF"/>
          </w:rPr>
          <w:t>HB1336</w:t>
        </w:r>
      </w:hyperlink>
      <w:r w:rsidRPr="00DD7BD1">
        <w:rPr>
          <w:rFonts w:ascii="Calibri" w:hAnsi="Calibri" w:cs="Calibri"/>
          <w:shd w:val="clear" w:color="auto" w:fill="FFFFFF"/>
        </w:rPr>
        <w:t> were signed by the governor on July 12, 2024.</w:t>
      </w:r>
    </w:p>
    <w:p w14:paraId="230796FA"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4402735D" w14:textId="25F42A4D" w:rsidR="00472E17" w:rsidRPr="00DD7BD1" w:rsidRDefault="00472E17" w:rsidP="00024501">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Jersey</w:t>
      </w:r>
    </w:p>
    <w:p w14:paraId="70DC097A" w14:textId="77777777" w:rsidR="00672C7B" w:rsidRDefault="00672C7B" w:rsidP="00672C7B">
      <w:pPr>
        <w:spacing w:after="0" w:line="240" w:lineRule="auto"/>
        <w:rPr>
          <w:b/>
          <w:bCs/>
          <w:caps/>
          <w:color w:val="0070C0"/>
          <w:sz w:val="28"/>
          <w:szCs w:val="28"/>
        </w:rPr>
      </w:pPr>
      <w:r>
        <w:rPr>
          <w:b/>
          <w:bCs/>
          <w:caps/>
          <w:color w:val="0070C0"/>
          <w:sz w:val="28"/>
          <w:szCs w:val="28"/>
        </w:rPr>
        <w:t>New!</w:t>
      </w:r>
      <w:r w:rsidRPr="00F7231B">
        <w:rPr>
          <w:b/>
          <w:bCs/>
          <w:caps/>
          <w:noProof/>
          <w:color w:val="0E425C"/>
          <w:sz w:val="28"/>
          <w:szCs w:val="28"/>
        </w:rPr>
        <w:t xml:space="preserve"> State Established Employer Fee for Employees on Medicaid</w:t>
      </w:r>
      <w:r>
        <w:rPr>
          <w:b/>
          <w:bCs/>
          <w:caps/>
          <w:noProof/>
          <w:color w:val="0E425C"/>
          <w:sz w:val="28"/>
          <w:szCs w:val="28"/>
        </w:rPr>
        <w:t xml:space="preserve"> - </w:t>
      </w:r>
      <w:r w:rsidRPr="00F7231B">
        <w:rPr>
          <w:b/>
          <w:bCs/>
          <w:caps/>
          <w:color w:val="0070C0"/>
          <w:sz w:val="28"/>
          <w:szCs w:val="28"/>
        </w:rPr>
        <w:t>202</w:t>
      </w:r>
      <w:r>
        <w:rPr>
          <w:b/>
          <w:bCs/>
          <w:caps/>
          <w:color w:val="0070C0"/>
          <w:sz w:val="28"/>
          <w:szCs w:val="28"/>
        </w:rPr>
        <w:t>7</w:t>
      </w:r>
    </w:p>
    <w:p w14:paraId="44649398" w14:textId="77777777" w:rsidR="00672C7B" w:rsidRPr="00F7231B" w:rsidRDefault="00672C7B" w:rsidP="00672C7B">
      <w:pPr>
        <w:spacing w:after="0" w:line="240" w:lineRule="auto"/>
        <w:rPr>
          <w:rFonts w:eastAsia="Times New Roman"/>
          <w:sz w:val="26"/>
          <w:szCs w:val="26"/>
        </w:rPr>
      </w:pPr>
      <w:r w:rsidRPr="00F7231B">
        <w:rPr>
          <w:rFonts w:eastAsia="Times New Roman"/>
          <w:sz w:val="26"/>
          <w:szCs w:val="26"/>
        </w:rPr>
        <w:t>As of July 1, 2026, New Jersey employers that have 50 or more employees covered through the state’s Medicaid program are subject to a new annual fee.</w:t>
      </w:r>
    </w:p>
    <w:p w14:paraId="617EF4E0" w14:textId="77777777" w:rsidR="00672C7B" w:rsidRPr="00F7231B" w:rsidRDefault="00672C7B" w:rsidP="00672C7B">
      <w:pPr>
        <w:spacing w:after="0" w:line="240" w:lineRule="auto"/>
        <w:rPr>
          <w:rFonts w:eastAsia="Times New Roman"/>
          <w:sz w:val="26"/>
          <w:szCs w:val="26"/>
        </w:rPr>
      </w:pPr>
      <w:r w:rsidRPr="00F7231B">
        <w:rPr>
          <w:rFonts w:eastAsia="Times New Roman"/>
          <w:sz w:val="26"/>
          <w:szCs w:val="26"/>
        </w:rPr>
        <w:lastRenderedPageBreak/>
        <w:t>Covered employers will be assessed a fee for each Medicaid-covered employee and dependent. The annual fee will be $325, $525, or $725 per covered individual, depending on the employer’s number of Medicaid-covered employees. The thresholds are 50–249, 250–499, and 500 or more, respectively.</w:t>
      </w:r>
    </w:p>
    <w:p w14:paraId="5E851A3A" w14:textId="77777777" w:rsidR="00672C7B" w:rsidRPr="00530B66" w:rsidRDefault="00672C7B" w:rsidP="00672C7B">
      <w:pPr>
        <w:spacing w:after="0" w:line="240" w:lineRule="auto"/>
        <w:rPr>
          <w:b/>
          <w:bCs/>
          <w:caps/>
          <w:color w:val="0070C0"/>
          <w:sz w:val="28"/>
          <w:szCs w:val="28"/>
        </w:rPr>
      </w:pPr>
      <w:r w:rsidRPr="00F7231B">
        <w:rPr>
          <w:rFonts w:eastAsia="Times New Roman"/>
          <w:sz w:val="26"/>
          <w:szCs w:val="26"/>
        </w:rPr>
        <w:t xml:space="preserve">The </w:t>
      </w:r>
      <w:r w:rsidRPr="00F7231B">
        <w:rPr>
          <w:rFonts w:eastAsia="Times New Roman"/>
          <w:sz w:val="26"/>
          <w:szCs w:val="26"/>
          <w:u w:val="single"/>
        </w:rPr>
        <w:t>state will notify affected employers annually by March 1</w:t>
      </w:r>
      <w:r w:rsidRPr="003E40A3">
        <w:rPr>
          <w:sz w:val="26"/>
          <w:szCs w:val="26"/>
        </w:rPr>
        <w:t>.</w:t>
      </w:r>
      <w:r w:rsidRPr="00F7231B">
        <w:rPr>
          <w:rFonts w:eastAsia="Times New Roman"/>
          <w:sz w:val="26"/>
          <w:szCs w:val="26"/>
        </w:rPr>
        <w:t xml:space="preserve"> Employers will have until April 15 to file and pay electronically. Additional regulations and guidelines are expected to address key questions, including when fees are triggered and how employers can appeal an assessment.</w:t>
      </w:r>
    </w:p>
    <w:p w14:paraId="334C0FA4" w14:textId="77777777" w:rsidR="00672C7B" w:rsidRPr="00F7231B" w:rsidRDefault="00672C7B" w:rsidP="00672C7B">
      <w:pPr>
        <w:spacing w:after="0" w:line="240" w:lineRule="auto"/>
        <w:rPr>
          <w:rFonts w:eastAsia="Times New Roman"/>
          <w:b/>
          <w:bCs/>
          <w:sz w:val="26"/>
          <w:szCs w:val="26"/>
        </w:rPr>
      </w:pPr>
      <w:r w:rsidRPr="00F7231B">
        <w:rPr>
          <w:rFonts w:eastAsia="Times New Roman"/>
          <w:b/>
          <w:bCs/>
          <w:sz w:val="26"/>
          <w:szCs w:val="26"/>
        </w:rPr>
        <w:t>Covered Employers</w:t>
      </w:r>
    </w:p>
    <w:p w14:paraId="0800E7FD" w14:textId="77777777" w:rsidR="00672C7B" w:rsidRPr="00F7231B" w:rsidRDefault="00672C7B" w:rsidP="00672C7B">
      <w:pPr>
        <w:spacing w:after="0" w:line="240" w:lineRule="auto"/>
        <w:rPr>
          <w:rFonts w:eastAsia="Times New Roman"/>
          <w:sz w:val="26"/>
          <w:szCs w:val="26"/>
        </w:rPr>
      </w:pPr>
      <w:r w:rsidRPr="00F7231B">
        <w:rPr>
          <w:rFonts w:eastAsia="Times New Roman"/>
          <w:sz w:val="26"/>
          <w:szCs w:val="26"/>
        </w:rPr>
        <w:t>The fee applies to employers that, at any time during the previous calendar year, employed 50 or more employees who receive health benefits coverage through the New Jersey Medicaid program.</w:t>
      </w:r>
    </w:p>
    <w:p w14:paraId="25D08D7C" w14:textId="77777777" w:rsidR="00672C7B" w:rsidRDefault="00672C7B" w:rsidP="00672C7B">
      <w:pPr>
        <w:spacing w:after="0" w:line="240" w:lineRule="auto"/>
        <w:rPr>
          <w:rFonts w:eastAsia="Times New Roman"/>
          <w:sz w:val="26"/>
          <w:szCs w:val="26"/>
        </w:rPr>
      </w:pPr>
      <w:r w:rsidRPr="00F7231B">
        <w:rPr>
          <w:rFonts w:eastAsia="Times New Roman"/>
          <w:sz w:val="26"/>
          <w:szCs w:val="26"/>
        </w:rPr>
        <w:t>For purposes of the law, </w:t>
      </w:r>
      <w:r w:rsidRPr="00F7231B">
        <w:rPr>
          <w:rFonts w:eastAsia="Times New Roman"/>
          <w:b/>
          <w:bCs/>
          <w:i/>
          <w:iCs/>
          <w:sz w:val="26"/>
          <w:szCs w:val="26"/>
        </w:rPr>
        <w:t>employer</w:t>
      </w:r>
      <w:r w:rsidRPr="00F7231B">
        <w:rPr>
          <w:rFonts w:eastAsia="Times New Roman"/>
          <w:sz w:val="26"/>
          <w:szCs w:val="26"/>
        </w:rPr>
        <w:t> is defined broadly to include any individual, partnership, association, joint stock company, trust, corporation, estate administrator or executor, receiver, trustee, or successor that employs any person in New Jersey and meets the Medicaid-covered employee threshold.</w:t>
      </w:r>
    </w:p>
    <w:p w14:paraId="4CD086D8" w14:textId="77777777" w:rsidR="00672C7B" w:rsidRPr="00F7231B" w:rsidRDefault="00672C7B" w:rsidP="00672C7B">
      <w:pPr>
        <w:spacing w:after="0" w:line="240" w:lineRule="auto"/>
        <w:rPr>
          <w:rFonts w:eastAsia="Times New Roman"/>
          <w:b/>
          <w:bCs/>
          <w:sz w:val="26"/>
          <w:szCs w:val="26"/>
        </w:rPr>
      </w:pPr>
      <w:r w:rsidRPr="00F7231B">
        <w:rPr>
          <w:rFonts w:eastAsia="Times New Roman"/>
          <w:b/>
          <w:bCs/>
          <w:sz w:val="26"/>
          <w:szCs w:val="26"/>
        </w:rPr>
        <w:t>Fee Assessment</w:t>
      </w:r>
    </w:p>
    <w:p w14:paraId="76D1DA2B" w14:textId="77777777" w:rsidR="00672C7B" w:rsidRPr="00F7231B" w:rsidRDefault="00672C7B" w:rsidP="00672C7B">
      <w:pPr>
        <w:spacing w:after="0" w:line="240" w:lineRule="auto"/>
        <w:rPr>
          <w:rFonts w:eastAsia="Times New Roman"/>
          <w:sz w:val="26"/>
          <w:szCs w:val="26"/>
        </w:rPr>
      </w:pPr>
      <w:r w:rsidRPr="00F7231B">
        <w:rPr>
          <w:rFonts w:eastAsia="Times New Roman"/>
          <w:sz w:val="26"/>
          <w:szCs w:val="26"/>
        </w:rPr>
        <w:t>Covered employers will be assessed an annual fee for each employee, and each dependent of the employee, who receives health benefits coverage through the New Jersey Medicaid program. The fee is based on the number of Medicaid-covered employees and dependents as of December 31 preceding the annual employer notice.</w:t>
      </w:r>
    </w:p>
    <w:p w14:paraId="6BAB8B52" w14:textId="77777777" w:rsidR="00672C7B" w:rsidRPr="00F7231B" w:rsidRDefault="00672C7B" w:rsidP="00672C7B">
      <w:pPr>
        <w:spacing w:after="0" w:line="240" w:lineRule="auto"/>
        <w:rPr>
          <w:rFonts w:eastAsia="Times New Roman"/>
          <w:sz w:val="26"/>
          <w:szCs w:val="26"/>
        </w:rPr>
      </w:pPr>
      <w:r w:rsidRPr="00F7231B">
        <w:rPr>
          <w:rFonts w:eastAsia="Times New Roman"/>
          <w:sz w:val="26"/>
          <w:szCs w:val="26"/>
        </w:rPr>
        <w:t>The annual fee </w:t>
      </w:r>
      <w:r w:rsidRPr="00F7231B">
        <w:rPr>
          <w:rFonts w:eastAsia="Times New Roman"/>
          <w:i/>
          <w:iCs/>
          <w:sz w:val="26"/>
          <w:szCs w:val="26"/>
        </w:rPr>
        <w:t>per Medicaid-covered employee or dependent</w:t>
      </w:r>
      <w:r w:rsidRPr="00F7231B">
        <w:rPr>
          <w:rFonts w:eastAsia="Times New Roman"/>
          <w:sz w:val="26"/>
          <w:szCs w:val="26"/>
        </w:rPr>
        <w:t> is as follows:</w:t>
      </w:r>
    </w:p>
    <w:p w14:paraId="2F0CB19D" w14:textId="77777777" w:rsidR="00672C7B" w:rsidRPr="00F7231B" w:rsidRDefault="00672C7B">
      <w:pPr>
        <w:numPr>
          <w:ilvl w:val="0"/>
          <w:numId w:val="390"/>
        </w:numPr>
        <w:spacing w:after="0" w:line="240" w:lineRule="auto"/>
        <w:rPr>
          <w:rFonts w:eastAsia="Times New Roman"/>
          <w:sz w:val="26"/>
          <w:szCs w:val="26"/>
        </w:rPr>
      </w:pPr>
      <w:r w:rsidRPr="00F7231B">
        <w:rPr>
          <w:rFonts w:eastAsia="Times New Roman"/>
          <w:sz w:val="26"/>
          <w:szCs w:val="26"/>
        </w:rPr>
        <w:t>50–249 Medicaid-covered employees: $325</w:t>
      </w:r>
    </w:p>
    <w:p w14:paraId="1506B25F" w14:textId="77777777" w:rsidR="00672C7B" w:rsidRPr="00F7231B" w:rsidRDefault="00672C7B">
      <w:pPr>
        <w:numPr>
          <w:ilvl w:val="0"/>
          <w:numId w:val="390"/>
        </w:numPr>
        <w:spacing w:after="0" w:line="240" w:lineRule="auto"/>
        <w:rPr>
          <w:rFonts w:eastAsia="Times New Roman"/>
          <w:sz w:val="26"/>
          <w:szCs w:val="26"/>
        </w:rPr>
      </w:pPr>
      <w:r w:rsidRPr="00F7231B">
        <w:rPr>
          <w:rFonts w:eastAsia="Times New Roman"/>
          <w:sz w:val="26"/>
          <w:szCs w:val="26"/>
        </w:rPr>
        <w:t>250–499 Medicaid-covered employees: $525</w:t>
      </w:r>
    </w:p>
    <w:p w14:paraId="1FADFD53" w14:textId="6AD932AE" w:rsidR="00672C7B" w:rsidRPr="00672C7B" w:rsidRDefault="00672C7B">
      <w:pPr>
        <w:numPr>
          <w:ilvl w:val="0"/>
          <w:numId w:val="390"/>
        </w:numPr>
        <w:spacing w:after="100" w:line="276" w:lineRule="auto"/>
        <w:rPr>
          <w:rFonts w:eastAsia="Times New Roman"/>
          <w:sz w:val="26"/>
          <w:szCs w:val="26"/>
        </w:rPr>
      </w:pPr>
      <w:r w:rsidRPr="00F7231B">
        <w:rPr>
          <w:rFonts w:eastAsia="Times New Roman"/>
          <w:sz w:val="26"/>
          <w:szCs w:val="26"/>
        </w:rPr>
        <w:t>500 or more Medicaid-covered employees: $725</w:t>
      </w:r>
    </w:p>
    <w:p w14:paraId="36BA5BE7" w14:textId="4DED3242"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266490B9" w14:textId="77777777" w:rsidR="00204F44" w:rsidRPr="00B1456A" w:rsidRDefault="00204F44">
      <w:pPr>
        <w:pStyle w:val="ListParagraph"/>
        <w:numPr>
          <w:ilvl w:val="0"/>
          <w:numId w:val="364"/>
        </w:numPr>
        <w:spacing w:after="0" w:line="276" w:lineRule="auto"/>
      </w:pPr>
      <w:r w:rsidRPr="0055141A">
        <w:rPr>
          <w:caps/>
          <w:noProof/>
          <w:color w:val="0E425C"/>
        </w:rPr>
        <w:t xml:space="preserve">Changes to New Jersey Family Leave Act (NJFLA) Effective </w:t>
      </w:r>
      <w:r w:rsidRPr="0055141A">
        <w:rPr>
          <w:caps/>
          <w:color w:val="0070C0"/>
        </w:rPr>
        <w:t>July 17, 2026</w:t>
      </w:r>
    </w:p>
    <w:p w14:paraId="7B10E0F2" w14:textId="77777777" w:rsidR="00204F44" w:rsidRPr="005036ED" w:rsidRDefault="00204F44">
      <w:pPr>
        <w:pStyle w:val="ListParagraph"/>
        <w:numPr>
          <w:ilvl w:val="0"/>
          <w:numId w:val="364"/>
        </w:numPr>
        <w:spacing w:after="0" w:line="240" w:lineRule="auto"/>
        <w:rPr>
          <w:caps/>
          <w:color w:val="0E425C"/>
        </w:rPr>
      </w:pPr>
      <w:r w:rsidRPr="005036ED">
        <w:rPr>
          <w:caps/>
          <w:color w:val="0E425C"/>
        </w:rPr>
        <w:t xml:space="preserve">TEMPORARY DISABILITY (TDI) &amp; FAMILY LEAVE INSURANCE (FLI) UPDATES - </w:t>
      </w:r>
      <w:r w:rsidRPr="005036ED">
        <w:rPr>
          <w:caps/>
          <w:color w:val="0070C0"/>
        </w:rPr>
        <w:t>July 17, 2026</w:t>
      </w:r>
    </w:p>
    <w:p w14:paraId="519298A7" w14:textId="77777777" w:rsidR="00204F44" w:rsidRPr="0055141A" w:rsidRDefault="00204F44">
      <w:pPr>
        <w:pStyle w:val="ListParagraph"/>
        <w:numPr>
          <w:ilvl w:val="0"/>
          <w:numId w:val="364"/>
        </w:numPr>
        <w:spacing w:after="0" w:line="276" w:lineRule="auto"/>
      </w:pPr>
      <w:r w:rsidRPr="0055141A">
        <w:rPr>
          <w:caps/>
          <w:color w:val="0E425C"/>
        </w:rPr>
        <w:t xml:space="preserve">State’s Final Regulations Independent Contractor Status </w:t>
      </w:r>
      <w:r w:rsidRPr="0055141A">
        <w:rPr>
          <w:caps/>
          <w:color w:val="0070C0"/>
        </w:rPr>
        <w:t>October 1, 2026</w:t>
      </w:r>
    </w:p>
    <w:p w14:paraId="50DC854F" w14:textId="77777777" w:rsidR="00204F44" w:rsidRPr="00204F44" w:rsidRDefault="00204F44" w:rsidP="00C6528C">
      <w:pPr>
        <w:spacing w:after="0"/>
        <w:rPr>
          <w:b/>
          <w:bCs/>
          <w:caps/>
          <w:color w:val="0070C0"/>
        </w:rPr>
      </w:pPr>
    </w:p>
    <w:p w14:paraId="702C8CF6" w14:textId="116E55C1" w:rsidR="00C6528C" w:rsidRDefault="00C6528C" w:rsidP="00C6528C">
      <w:pPr>
        <w:spacing w:after="0"/>
      </w:pPr>
      <w:r w:rsidRPr="00643727">
        <w:rPr>
          <w:b/>
          <w:bCs/>
          <w:caps/>
          <w:color w:val="0070C0"/>
          <w:sz w:val="26"/>
          <w:szCs w:val="26"/>
        </w:rPr>
        <w:t xml:space="preserve">New! </w:t>
      </w:r>
      <w:r>
        <w:rPr>
          <w:b/>
          <w:bCs/>
          <w:caps/>
          <w:color w:val="0E425C"/>
          <w:sz w:val="26"/>
          <w:szCs w:val="26"/>
        </w:rPr>
        <w:t xml:space="preserve">State’s DOL Issues Final Regulations on Independent Contractor Status Rule Effective </w:t>
      </w:r>
      <w:r>
        <w:rPr>
          <w:b/>
          <w:bCs/>
          <w:caps/>
          <w:color w:val="0070C0"/>
          <w:sz w:val="26"/>
          <w:szCs w:val="26"/>
        </w:rPr>
        <w:t>October 1, 2026</w:t>
      </w:r>
    </w:p>
    <w:p w14:paraId="7828B55F" w14:textId="77777777" w:rsidR="00C6528C" w:rsidRPr="001E006E" w:rsidRDefault="00C6528C">
      <w:pPr>
        <w:numPr>
          <w:ilvl w:val="0"/>
          <w:numId w:val="356"/>
        </w:numPr>
        <w:spacing w:after="0" w:line="276" w:lineRule="auto"/>
        <w:rPr>
          <w:rFonts w:eastAsia="Times New Roman"/>
          <w:szCs w:val="20"/>
        </w:rPr>
      </w:pPr>
      <w:r>
        <w:rPr>
          <w:rFonts w:eastAsia="Times New Roman"/>
          <w:szCs w:val="20"/>
        </w:rPr>
        <w:t xml:space="preserve">On May 5th, </w:t>
      </w:r>
      <w:r w:rsidRPr="001E006E">
        <w:rPr>
          <w:rFonts w:eastAsia="Times New Roman"/>
          <w:szCs w:val="20"/>
        </w:rPr>
        <w:t xml:space="preserve">New Jersey DOL </w:t>
      </w:r>
      <w:hyperlink r:id="rId917" w:history="1">
        <w:r w:rsidRPr="0033342C">
          <w:rPr>
            <w:rStyle w:val="Hyperlink"/>
            <w:rFonts w:eastAsia="Times New Roman"/>
            <w:szCs w:val="20"/>
          </w:rPr>
          <w:t>announced</w:t>
        </w:r>
      </w:hyperlink>
      <w:r>
        <w:rPr>
          <w:rFonts w:eastAsia="Times New Roman"/>
          <w:szCs w:val="20"/>
        </w:rPr>
        <w:t xml:space="preserve"> and </w:t>
      </w:r>
      <w:r w:rsidRPr="001E006E">
        <w:rPr>
          <w:rFonts w:eastAsia="Times New Roman"/>
          <w:szCs w:val="20"/>
        </w:rPr>
        <w:t>issued</w:t>
      </w:r>
      <w:r>
        <w:rPr>
          <w:rFonts w:eastAsia="Times New Roman"/>
          <w:szCs w:val="20"/>
        </w:rPr>
        <w:t xml:space="preserve"> the</w:t>
      </w:r>
      <w:r w:rsidRPr="001E006E">
        <w:rPr>
          <w:rFonts w:eastAsia="Times New Roman"/>
          <w:szCs w:val="20"/>
        </w:rPr>
        <w:t xml:space="preserve"> </w:t>
      </w:r>
      <w:hyperlink r:id="rId918" w:history="1">
        <w:r w:rsidRPr="001E006E">
          <w:rPr>
            <w:rStyle w:val="Hyperlink"/>
            <w:rFonts w:eastAsia="Times New Roman"/>
            <w:szCs w:val="20"/>
          </w:rPr>
          <w:t xml:space="preserve">final rule </w:t>
        </w:r>
      </w:hyperlink>
      <w:r w:rsidRPr="001E006E">
        <w:rPr>
          <w:rFonts w:eastAsia="Times New Roman"/>
          <w:szCs w:val="20"/>
        </w:rPr>
        <w:t>implementing the</w:t>
      </w:r>
      <w:r>
        <w:rPr>
          <w:rFonts w:eastAsia="Times New Roman"/>
          <w:szCs w:val="20"/>
        </w:rPr>
        <w:t xml:space="preserve"> </w:t>
      </w:r>
      <w:r w:rsidRPr="00603CA4">
        <w:rPr>
          <w:rFonts w:eastAsia="Times New Roman"/>
          <w:szCs w:val="20"/>
        </w:rPr>
        <w:t>statutory test, commonly referred </w:t>
      </w:r>
      <w:r w:rsidRPr="001E006E">
        <w:rPr>
          <w:rFonts w:eastAsia="Times New Roman"/>
          <w:szCs w:val="20"/>
        </w:rPr>
        <w:t xml:space="preserve"> "ABC"</w:t>
      </w:r>
      <w:r>
        <w:rPr>
          <w:rFonts w:eastAsia="Times New Roman"/>
          <w:szCs w:val="20"/>
        </w:rPr>
        <w:t>,</w:t>
      </w:r>
      <w:r w:rsidRPr="001E006E">
        <w:rPr>
          <w:rFonts w:eastAsia="Times New Roman"/>
          <w:szCs w:val="20"/>
        </w:rPr>
        <w:t xml:space="preserve"> for assessing whether workers are employees or independent contractors under state law</w:t>
      </w:r>
      <w:r>
        <w:rPr>
          <w:rFonts w:eastAsia="Times New Roman"/>
          <w:szCs w:val="20"/>
        </w:rPr>
        <w:t xml:space="preserve"> (which in its current form has been in effect for several years now)</w:t>
      </w:r>
    </w:p>
    <w:p w14:paraId="4CC2EF07" w14:textId="77777777" w:rsidR="00C6528C" w:rsidRDefault="00C6528C">
      <w:pPr>
        <w:numPr>
          <w:ilvl w:val="0"/>
          <w:numId w:val="356"/>
        </w:numPr>
        <w:spacing w:after="0" w:line="276" w:lineRule="auto"/>
        <w:rPr>
          <w:rFonts w:eastAsia="Times New Roman"/>
          <w:szCs w:val="20"/>
        </w:rPr>
      </w:pPr>
      <w:r w:rsidRPr="001E006E">
        <w:rPr>
          <w:rFonts w:eastAsia="Times New Roman"/>
          <w:szCs w:val="20"/>
        </w:rPr>
        <w:t>The final rule scaled back or deleted some of the provisions to which the business community objected but left much of the proposed ABC test</w:t>
      </w:r>
      <w:r>
        <w:rPr>
          <w:rFonts w:eastAsia="Times New Roman"/>
          <w:szCs w:val="20"/>
        </w:rPr>
        <w:t>.</w:t>
      </w:r>
      <w:r w:rsidRPr="001E006E">
        <w:rPr>
          <w:rFonts w:eastAsia="Times New Roman"/>
          <w:szCs w:val="20"/>
        </w:rPr>
        <w:t xml:space="preserve"> The final rule scaled back or deleted some of the provisions intact</w:t>
      </w:r>
      <w:r>
        <w:rPr>
          <w:rFonts w:eastAsia="Times New Roman"/>
          <w:szCs w:val="20"/>
        </w:rPr>
        <w:t xml:space="preserve"> resulting in a narrower approach in response to criticisms from businesses (For those employers following the developments)</w:t>
      </w:r>
    </w:p>
    <w:p w14:paraId="6D58C093" w14:textId="77777777" w:rsidR="00C6528C" w:rsidRPr="00643727" w:rsidRDefault="00C6528C">
      <w:pPr>
        <w:numPr>
          <w:ilvl w:val="0"/>
          <w:numId w:val="356"/>
        </w:numPr>
        <w:spacing w:after="0" w:line="276" w:lineRule="auto"/>
        <w:rPr>
          <w:rFonts w:eastAsia="Times New Roman"/>
          <w:szCs w:val="20"/>
        </w:rPr>
      </w:pPr>
      <w:r w:rsidRPr="00603CA4">
        <w:rPr>
          <w:rFonts w:eastAsia="Times New Roman"/>
          <w:szCs w:val="20"/>
        </w:rPr>
        <w:t>N</w:t>
      </w:r>
      <w:r>
        <w:rPr>
          <w:rFonts w:eastAsia="Times New Roman"/>
          <w:szCs w:val="20"/>
        </w:rPr>
        <w:t>J DOL</w:t>
      </w:r>
      <w:r w:rsidRPr="00603CA4">
        <w:rPr>
          <w:rFonts w:eastAsia="Times New Roman"/>
          <w:szCs w:val="20"/>
        </w:rPr>
        <w:t xml:space="preserve"> and Workforce Development </w:t>
      </w:r>
      <w:r>
        <w:rPr>
          <w:rFonts w:eastAsia="Times New Roman"/>
          <w:szCs w:val="20"/>
        </w:rPr>
        <w:t xml:space="preserve">can now </w:t>
      </w:r>
      <w:r w:rsidRPr="00603CA4">
        <w:rPr>
          <w:rFonts w:eastAsia="Times New Roman"/>
          <w:szCs w:val="20"/>
        </w:rPr>
        <w:t>apply the ABC Test uniformly to any legislative program under its jurisdiction, including the State’s Unemployment Compensation Law, Wage and Hour Law, and Wage Payment Law. </w:t>
      </w:r>
    </w:p>
    <w:p w14:paraId="00E0A9DD" w14:textId="77777777" w:rsidR="00C6528C" w:rsidRPr="00652DB1" w:rsidRDefault="00C6528C" w:rsidP="00C6528C">
      <w:pPr>
        <w:pStyle w:val="NormalWeb"/>
        <w:shd w:val="clear" w:color="auto" w:fill="FFFFFF"/>
        <w:spacing w:before="0" w:beforeAutospacing="0" w:after="240" w:afterAutospacing="0"/>
        <w:ind w:left="360"/>
        <w:rPr>
          <w:rFonts w:ascii="Calibri" w:hAnsi="Calibri" w:cs="Calibri"/>
          <w:sz w:val="12"/>
          <w:szCs w:val="12"/>
        </w:rPr>
      </w:pPr>
    </w:p>
    <w:p w14:paraId="45E12A79" w14:textId="77777777" w:rsidR="00C6528C" w:rsidRPr="00482254" w:rsidRDefault="00C6528C" w:rsidP="00C6528C">
      <w:pPr>
        <w:pStyle w:val="NormalWeb"/>
        <w:shd w:val="clear" w:color="auto" w:fill="FFFFFF"/>
        <w:spacing w:before="0" w:beforeAutospacing="0" w:after="240" w:afterAutospacing="0"/>
        <w:ind w:left="360"/>
        <w:rPr>
          <w:rFonts w:ascii="Calibri" w:hAnsi="Calibri" w:cs="Calibri"/>
          <w:szCs w:val="20"/>
        </w:rPr>
      </w:pPr>
      <w:r w:rsidRPr="00482254">
        <w:rPr>
          <w:rFonts w:ascii="Calibri" w:hAnsi="Calibri" w:cs="Calibri"/>
          <w:szCs w:val="20"/>
        </w:rPr>
        <w:t>Under the three-pronged ABC Test, workers performing services for remuneration are presumed to be employees unless the putative employer can show that</w:t>
      </w:r>
    </w:p>
    <w:p w14:paraId="6A273DB8" w14:textId="77777777" w:rsidR="00C6528C" w:rsidRPr="00482254" w:rsidRDefault="00C6528C">
      <w:pPr>
        <w:pStyle w:val="NormalWeb"/>
        <w:numPr>
          <w:ilvl w:val="0"/>
          <w:numId w:val="356"/>
        </w:numPr>
        <w:shd w:val="clear" w:color="auto" w:fill="FFFFFF"/>
        <w:spacing w:before="0" w:beforeAutospacing="0" w:after="240" w:afterAutospacing="0"/>
        <w:rPr>
          <w:rFonts w:ascii="Calibri" w:hAnsi="Calibri" w:cs="Calibri"/>
          <w:szCs w:val="20"/>
        </w:rPr>
      </w:pPr>
      <w:r w:rsidRPr="00482254">
        <w:rPr>
          <w:rFonts w:ascii="Calibri" w:hAnsi="Calibri" w:cs="Calibri"/>
          <w:szCs w:val="20"/>
        </w:rPr>
        <w:t>(A) the individual has been and will continue to be free from control or direction over the performance of services, both under their contract and in fact,</w:t>
      </w:r>
      <w:r w:rsidRPr="00482254">
        <w:rPr>
          <w:rFonts w:ascii="Calibri" w:hAnsi="Calibri" w:cs="Calibri"/>
          <w:szCs w:val="20"/>
        </w:rPr>
        <w:br/>
      </w:r>
      <w:r w:rsidRPr="00482254">
        <w:rPr>
          <w:rFonts w:ascii="Calibri" w:hAnsi="Calibri" w:cs="Calibri"/>
          <w:szCs w:val="20"/>
        </w:rPr>
        <w:lastRenderedPageBreak/>
        <w:t>(B) the service is either outside the usual course of the business or outside all the places of business of the enterprise, and</w:t>
      </w:r>
      <w:r w:rsidRPr="00482254">
        <w:rPr>
          <w:rFonts w:ascii="Calibri" w:hAnsi="Calibri" w:cs="Calibri"/>
          <w:szCs w:val="20"/>
        </w:rPr>
        <w:br/>
        <w:t>(C) the individual is customarily engaged in an independently established trade, occupation, profession or business.</w:t>
      </w:r>
    </w:p>
    <w:p w14:paraId="7E77B85F" w14:textId="77777777" w:rsidR="00C6528C" w:rsidRPr="00482254"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482254">
        <w:rPr>
          <w:rFonts w:ascii="Calibri" w:hAnsi="Calibri" w:cs="Calibri"/>
          <w:szCs w:val="20"/>
        </w:rPr>
        <w:t>Under this additive test, if the putative employer fails to satisfy even one prong, then the person in question will be deemed an employee, not an independent contractor, under the laws enforced by the Department.</w:t>
      </w:r>
    </w:p>
    <w:p w14:paraId="51E9105E" w14:textId="77777777" w:rsidR="00C6528C" w:rsidRDefault="00C6528C" w:rsidP="00C6528C">
      <w:pPr>
        <w:spacing w:after="0"/>
        <w:rPr>
          <w:rFonts w:eastAsia="Times New Roman"/>
          <w:szCs w:val="20"/>
        </w:rPr>
      </w:pPr>
      <w:r w:rsidRPr="00482254">
        <w:rPr>
          <w:rFonts w:eastAsia="Times New Roman"/>
          <w:szCs w:val="20"/>
        </w:rPr>
        <w:t xml:space="preserve">The final rule still sets out the Department’s general approach to the ABC test and essentially explains rather than expanding current New Jersey law. </w:t>
      </w:r>
    </w:p>
    <w:p w14:paraId="7525C9BA" w14:textId="77777777" w:rsidR="00C6528C" w:rsidRPr="00643727" w:rsidRDefault="00C6528C" w:rsidP="00C6528C">
      <w:pPr>
        <w:spacing w:after="0"/>
        <w:rPr>
          <w:rFonts w:eastAsia="Times New Roman"/>
          <w:sz w:val="12"/>
          <w:szCs w:val="12"/>
        </w:rPr>
      </w:pPr>
    </w:p>
    <w:p w14:paraId="45B8CDC5" w14:textId="77777777" w:rsidR="00C6528C" w:rsidRDefault="00C6528C" w:rsidP="00C6528C">
      <w:pPr>
        <w:spacing w:after="0"/>
        <w:rPr>
          <w:rFonts w:eastAsia="Times New Roman"/>
          <w:szCs w:val="20"/>
        </w:rPr>
      </w:pPr>
      <w:r w:rsidRPr="00482254">
        <w:rPr>
          <w:rFonts w:eastAsia="Times New Roman"/>
          <w:szCs w:val="20"/>
        </w:rPr>
        <w:t xml:space="preserve">It continues to place the burden on businesses to prove that a worker meets all three criteria. It still lists certain facts that are relevant under each criterion, such as whether workers control their own schedule or set their own pay rate. </w:t>
      </w:r>
    </w:p>
    <w:p w14:paraId="5DBAD94E" w14:textId="77777777" w:rsidR="00C6528C" w:rsidRPr="00643727" w:rsidRDefault="00C6528C" w:rsidP="00C6528C">
      <w:pPr>
        <w:spacing w:after="0"/>
        <w:rPr>
          <w:rFonts w:eastAsia="Times New Roman"/>
          <w:sz w:val="12"/>
          <w:szCs w:val="12"/>
        </w:rPr>
      </w:pPr>
    </w:p>
    <w:p w14:paraId="642F5DE6" w14:textId="77777777" w:rsidR="00C6528C" w:rsidRDefault="00C6528C" w:rsidP="00C6528C">
      <w:pPr>
        <w:spacing w:after="0"/>
        <w:rPr>
          <w:rFonts w:eastAsia="Times New Roman"/>
          <w:szCs w:val="20"/>
        </w:rPr>
      </w:pPr>
      <w:r w:rsidRPr="00482254">
        <w:rPr>
          <w:rFonts w:eastAsia="Times New Roman"/>
          <w:szCs w:val="20"/>
        </w:rPr>
        <w:t>The final rule also still reflects that some situations</w:t>
      </w:r>
      <w:r>
        <w:rPr>
          <w:rFonts w:eastAsia="Times New Roman"/>
          <w:szCs w:val="20"/>
        </w:rPr>
        <w:t>/tests alone</w:t>
      </w:r>
      <w:r w:rsidRPr="00482254">
        <w:rPr>
          <w:rFonts w:eastAsia="Times New Roman"/>
          <w:szCs w:val="20"/>
        </w:rPr>
        <w:t xml:space="preserve"> are not enough on their own to avoid a worker being deemed an employee. </w:t>
      </w:r>
      <w:r>
        <w:rPr>
          <w:rFonts w:eastAsia="Times New Roman"/>
          <w:szCs w:val="20"/>
        </w:rPr>
        <w:t>Examples of this include</w:t>
      </w:r>
      <w:r w:rsidRPr="00482254">
        <w:rPr>
          <w:rFonts w:eastAsia="Times New Roman"/>
          <w:szCs w:val="20"/>
        </w:rPr>
        <w:t xml:space="preserve"> whether the worker has an independent-contractor agreement, whether the worker uses a business entity, whether the worker earns a low salary, and whether the worker has multiple jobs.</w:t>
      </w:r>
    </w:p>
    <w:p w14:paraId="08323539" w14:textId="77777777" w:rsidR="00C6528C" w:rsidRPr="00643727" w:rsidRDefault="00C6528C" w:rsidP="00C6528C">
      <w:pPr>
        <w:spacing w:after="0"/>
        <w:rPr>
          <w:rFonts w:eastAsia="Times New Roman"/>
          <w:sz w:val="12"/>
          <w:szCs w:val="12"/>
        </w:rPr>
      </w:pPr>
    </w:p>
    <w:p w14:paraId="09307811" w14:textId="77777777" w:rsidR="00C6528C" w:rsidRDefault="00C6528C" w:rsidP="00C6528C">
      <w:pPr>
        <w:spacing w:after="0"/>
        <w:rPr>
          <w:rFonts w:eastAsia="Times New Roman"/>
          <w:szCs w:val="20"/>
        </w:rPr>
      </w:pPr>
      <w:r w:rsidRPr="00A0794D">
        <w:rPr>
          <w:rFonts w:eastAsia="Times New Roman"/>
          <w:b/>
          <w:bCs/>
          <w:szCs w:val="20"/>
          <w:highlight w:val="lightGray"/>
        </w:rPr>
        <w:t>Employer Takeaway:</w:t>
      </w:r>
      <w:r>
        <w:rPr>
          <w:rFonts w:eastAsia="Times New Roman"/>
          <w:b/>
          <w:bCs/>
          <w:szCs w:val="20"/>
        </w:rPr>
        <w:t xml:space="preserve"> </w:t>
      </w:r>
      <w:r w:rsidRPr="003820EA">
        <w:rPr>
          <w:rFonts w:eastAsia="Times New Roman"/>
          <w:szCs w:val="20"/>
        </w:rPr>
        <w:t>The</w:t>
      </w:r>
      <w:r w:rsidRPr="00A0794D">
        <w:rPr>
          <w:rFonts w:eastAsia="Times New Roman"/>
          <w:b/>
          <w:bCs/>
          <w:szCs w:val="20"/>
        </w:rPr>
        <w:t xml:space="preserve"> </w:t>
      </w:r>
      <w:r>
        <w:rPr>
          <w:rFonts w:eastAsia="Times New Roman"/>
          <w:szCs w:val="20"/>
        </w:rPr>
        <w:t>State</w:t>
      </w:r>
      <w:r w:rsidRPr="00A0794D">
        <w:rPr>
          <w:rFonts w:eastAsia="Times New Roman"/>
          <w:szCs w:val="20"/>
        </w:rPr>
        <w:t xml:space="preserve"> law creates a very strong presumption that workers are employees and provides for potentially significant monetary damages in the event of</w:t>
      </w:r>
      <w:r>
        <w:rPr>
          <w:rFonts w:eastAsia="Times New Roman"/>
          <w:szCs w:val="20"/>
        </w:rPr>
        <w:t xml:space="preserve"> </w:t>
      </w:r>
      <w:r w:rsidRPr="00A0794D">
        <w:rPr>
          <w:rFonts w:eastAsia="Times New Roman"/>
          <w:szCs w:val="20"/>
        </w:rPr>
        <w:t>misclassification. </w:t>
      </w:r>
    </w:p>
    <w:p w14:paraId="237AEC09" w14:textId="77777777" w:rsidR="00C6528C" w:rsidRPr="00B21D69" w:rsidRDefault="00C6528C" w:rsidP="00C6528C">
      <w:pPr>
        <w:spacing w:after="0"/>
        <w:rPr>
          <w:rFonts w:eastAsia="Times New Roman"/>
          <w:szCs w:val="20"/>
        </w:rPr>
      </w:pPr>
      <w:r>
        <w:rPr>
          <w:rFonts w:eastAsia="Times New Roman"/>
          <w:szCs w:val="20"/>
        </w:rPr>
        <w:t>E</w:t>
      </w:r>
      <w:r w:rsidRPr="00A0794D">
        <w:rPr>
          <w:rFonts w:eastAsia="Times New Roman"/>
          <w:szCs w:val="20"/>
        </w:rPr>
        <w:t xml:space="preserve">mployers </w:t>
      </w:r>
      <w:r>
        <w:rPr>
          <w:rFonts w:eastAsia="Times New Roman"/>
          <w:szCs w:val="20"/>
        </w:rPr>
        <w:t xml:space="preserve">are advised </w:t>
      </w:r>
      <w:r w:rsidRPr="00A0794D">
        <w:rPr>
          <w:rFonts w:eastAsia="Times New Roman"/>
          <w:szCs w:val="20"/>
        </w:rPr>
        <w:t>to pay close attention to any workers classif</w:t>
      </w:r>
      <w:r>
        <w:rPr>
          <w:rFonts w:eastAsia="Times New Roman"/>
          <w:szCs w:val="20"/>
        </w:rPr>
        <w:t>ied</w:t>
      </w:r>
      <w:r w:rsidRPr="00A0794D">
        <w:rPr>
          <w:rFonts w:eastAsia="Times New Roman"/>
          <w:szCs w:val="20"/>
        </w:rPr>
        <w:t xml:space="preserve"> as independent contractors</w:t>
      </w:r>
      <w:r>
        <w:rPr>
          <w:rFonts w:eastAsia="Times New Roman"/>
          <w:szCs w:val="20"/>
        </w:rPr>
        <w:t xml:space="preserve"> and </w:t>
      </w:r>
      <w:r w:rsidRPr="007B3DEF">
        <w:rPr>
          <w:rFonts w:eastAsia="Times New Roman"/>
          <w:szCs w:val="20"/>
        </w:rPr>
        <w:t>review 1099</w:t>
      </w:r>
      <w:r>
        <w:rPr>
          <w:rFonts w:eastAsia="Times New Roman"/>
          <w:szCs w:val="20"/>
        </w:rPr>
        <w:t xml:space="preserve"> worker</w:t>
      </w:r>
      <w:r w:rsidRPr="007B3DEF">
        <w:rPr>
          <w:rFonts w:eastAsia="Times New Roman"/>
          <w:szCs w:val="20"/>
        </w:rPr>
        <w:t xml:space="preserve"> classifications </w:t>
      </w:r>
      <w:r>
        <w:rPr>
          <w:rFonts w:eastAsia="Times New Roman"/>
          <w:szCs w:val="20"/>
        </w:rPr>
        <w:t>in NY using the state’s three-pronged ABC Test to ensure compliance with regulations.</w:t>
      </w:r>
    </w:p>
    <w:p w14:paraId="3DBDD02A" w14:textId="77777777" w:rsidR="00C6528C" w:rsidRPr="005E4403" w:rsidRDefault="00C6528C" w:rsidP="00C6528C">
      <w:pPr>
        <w:spacing w:after="0" w:line="240" w:lineRule="auto"/>
        <w:rPr>
          <w:b/>
          <w:bCs/>
          <w:caps/>
          <w:noProof/>
          <w:color w:val="0E425C"/>
          <w:sz w:val="12"/>
          <w:szCs w:val="12"/>
        </w:rPr>
      </w:pPr>
    </w:p>
    <w:p w14:paraId="35E7AC42" w14:textId="77777777" w:rsidR="00C6528C" w:rsidRPr="00DD7BD1" w:rsidRDefault="00C6528C" w:rsidP="00C6528C">
      <w:pPr>
        <w:spacing w:after="0" w:line="240" w:lineRule="auto"/>
        <w:rPr>
          <w:b/>
          <w:bCs/>
          <w:sz w:val="28"/>
          <w:szCs w:val="28"/>
          <w:shd w:val="clear" w:color="auto" w:fill="FFFFFF"/>
          <w:lang w:val="en"/>
        </w:rPr>
      </w:pPr>
      <w:r w:rsidRPr="00FF0B04">
        <w:rPr>
          <w:b/>
          <w:bCs/>
          <w:caps/>
          <w:noProof/>
          <w:color w:val="0E425C"/>
          <w:sz w:val="26"/>
          <w:szCs w:val="26"/>
        </w:rPr>
        <w:t xml:space="preserve">Reminder: Changes to New Jersey Family Leave Act (NJFLA) Effective </w:t>
      </w:r>
      <w:r w:rsidRPr="00FF0B04">
        <w:rPr>
          <w:b/>
          <w:bCs/>
          <w:caps/>
          <w:color w:val="0070C0"/>
          <w:sz w:val="26"/>
          <w:szCs w:val="26"/>
        </w:rPr>
        <w:t>July 17, 2026</w:t>
      </w:r>
    </w:p>
    <w:p w14:paraId="13C82104"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rPr>
        <w:t xml:space="preserve">New Jersey </w:t>
      </w:r>
      <w:hyperlink r:id="rId919" w:history="1">
        <w:r w:rsidRPr="00B925FB">
          <w:rPr>
            <w:rStyle w:val="Hyperlink"/>
            <w:rFonts w:ascii="Calibri" w:eastAsiaTheme="majorEastAsia" w:hAnsi="Calibri" w:cs="Calibri"/>
          </w:rPr>
          <w:t>enacted</w:t>
        </w:r>
      </w:hyperlink>
      <w:r w:rsidRPr="00B925FB">
        <w:rPr>
          <w:rFonts w:ascii="Calibri" w:hAnsi="Calibri" w:cs="Calibri"/>
        </w:rPr>
        <w:t xml:space="preserve"> amendments to its Family Leave Act (NJFLA), </w:t>
      </w:r>
      <w:hyperlink r:id="rId920" w:history="1">
        <w:r w:rsidRPr="00B925FB">
          <w:rPr>
            <w:rStyle w:val="Hyperlink"/>
            <w:rFonts w:ascii="Calibri" w:eastAsiaTheme="majorEastAsia" w:hAnsi="Calibri" w:cs="Calibri"/>
          </w:rPr>
          <w:t>Assembly Bill 3451</w:t>
        </w:r>
      </w:hyperlink>
      <w:r w:rsidRPr="00B925FB">
        <w:rPr>
          <w:rFonts w:ascii="Calibri" w:hAnsi="Calibri" w:cs="Calibri"/>
        </w:rPr>
        <w:t xml:space="preserve"> (A3451), that </w:t>
      </w:r>
      <w:r w:rsidRPr="007021C8">
        <w:rPr>
          <w:rFonts w:cs="Calibri"/>
        </w:rPr>
        <w:t>ap</w:t>
      </w:r>
      <w:r w:rsidRPr="00B925FB">
        <w:rPr>
          <w:rFonts w:ascii="Calibri" w:hAnsi="Calibri" w:cs="Calibri"/>
          <w:szCs w:val="20"/>
        </w:rPr>
        <w:t>ply the law to smaller employers and reduce eligibility requirements for employees. The amendments also add job protection for employees receiving benefits under the state temporary disability insurance (TDI) and family leave insurance (FLI) programs. The FLA will now apply to smaller employers than it currently does, and employee eligibility requirements for FLA leave will be lowered.</w:t>
      </w:r>
      <w:r>
        <w:rPr>
          <w:rFonts w:ascii="Calibri" w:hAnsi="Calibri" w:cs="Calibri"/>
          <w:szCs w:val="20"/>
        </w:rPr>
        <w:t xml:space="preserve"> </w:t>
      </w:r>
      <w:r w:rsidRPr="00B925FB">
        <w:rPr>
          <w:rFonts w:ascii="Calibri" w:hAnsi="Calibri" w:cs="Calibri"/>
          <w:szCs w:val="20"/>
        </w:rPr>
        <w:t>The changes are contained in Assembly Bill (AB) 3451 and take effect</w:t>
      </w:r>
      <w:r w:rsidRPr="00B925FB">
        <w:rPr>
          <w:rFonts w:ascii="Calibri" w:hAnsi="Calibri" w:cs="Calibri"/>
          <w:b/>
          <w:bCs/>
          <w:szCs w:val="20"/>
        </w:rPr>
        <w:t xml:space="preserve"> July 17, 2026.</w:t>
      </w:r>
      <w:r w:rsidRPr="00B925FB">
        <w:rPr>
          <w:rFonts w:ascii="Calibri" w:hAnsi="Calibri" w:cs="Calibri"/>
          <w:szCs w:val="20"/>
        </w:rPr>
        <w:t xml:space="preserve"> </w:t>
      </w:r>
    </w:p>
    <w:p w14:paraId="7FA76367" w14:textId="77777777" w:rsidR="00C6528C" w:rsidRPr="00652DB1" w:rsidRDefault="00C6528C" w:rsidP="00C6528C">
      <w:pPr>
        <w:pStyle w:val="NormalWeb"/>
        <w:shd w:val="clear" w:color="auto" w:fill="FFFFFF"/>
        <w:spacing w:before="0" w:beforeAutospacing="0" w:after="0" w:afterAutospacing="0" w:line="276" w:lineRule="auto"/>
        <w:rPr>
          <w:rFonts w:ascii="Calibri" w:hAnsi="Calibri" w:cs="Calibri"/>
          <w:szCs w:val="20"/>
        </w:rPr>
      </w:pPr>
      <w:r w:rsidRPr="00B925FB">
        <w:rPr>
          <w:rFonts w:ascii="Calibri" w:hAnsi="Calibri" w:cs="Calibri"/>
          <w:szCs w:val="20"/>
        </w:rPr>
        <w:t>The NJFLA currently provides twelve weeks of leave every 24 months to eligible employees who require time off to care for a seriously ill family member or bond with a new child. To be eligible for</w:t>
      </w:r>
      <w:r>
        <w:rPr>
          <w:rFonts w:ascii="Calibri" w:hAnsi="Calibri" w:cs="Calibri"/>
          <w:szCs w:val="20"/>
        </w:rPr>
        <w:t xml:space="preserve"> </w:t>
      </w:r>
      <w:r w:rsidRPr="00652DB1">
        <w:rPr>
          <w:rFonts w:ascii="Calibri" w:hAnsi="Calibri" w:cs="Calibri"/>
          <w:szCs w:val="20"/>
        </w:rPr>
        <w:t xml:space="preserve">NJFLA leave under existing law, an employee must: </w:t>
      </w:r>
    </w:p>
    <w:p w14:paraId="539D5529" w14:textId="77777777" w:rsidR="00C6528C" w:rsidRDefault="00C6528C" w:rsidP="00C6528C">
      <w:pPr>
        <w:spacing w:after="0"/>
      </w:pPr>
      <w:r w:rsidRPr="00307AD9">
        <w:t>(1) work for an employer with </w:t>
      </w:r>
      <w:r w:rsidRPr="00307AD9">
        <w:rPr>
          <w:b/>
          <w:bCs/>
        </w:rPr>
        <w:t>thirty</w:t>
      </w:r>
      <w:r w:rsidRPr="00307AD9">
        <w:t xml:space="preserve"> or more employees; </w:t>
      </w:r>
    </w:p>
    <w:p w14:paraId="55D8F1B7" w14:textId="77777777" w:rsidR="00C6528C" w:rsidRDefault="00C6528C" w:rsidP="00C6528C">
      <w:pPr>
        <w:spacing w:after="0"/>
      </w:pPr>
      <w:r w:rsidRPr="00307AD9">
        <w:t>(2) have been employed at least </w:t>
      </w:r>
      <w:r w:rsidRPr="00307AD9">
        <w:rPr>
          <w:b/>
          <w:bCs/>
        </w:rPr>
        <w:t>twelve</w:t>
      </w:r>
      <w:r w:rsidRPr="00307AD9">
        <w:t xml:space="preserve"> months; and </w:t>
      </w:r>
    </w:p>
    <w:p w14:paraId="7EBDE1ED" w14:textId="77777777" w:rsidR="00C6528C" w:rsidRPr="00B925FB" w:rsidRDefault="00C6528C" w:rsidP="00C6528C">
      <w:pPr>
        <w:spacing w:after="0"/>
      </w:pPr>
      <w:r w:rsidRPr="00307AD9">
        <w:t>(3) have worked at least </w:t>
      </w:r>
      <w:r w:rsidRPr="00307AD9">
        <w:rPr>
          <w:b/>
          <w:bCs/>
        </w:rPr>
        <w:t>1,000</w:t>
      </w:r>
      <w:r w:rsidRPr="00307AD9">
        <w:t> hours in the twelve months preceding the requested leave start date.</w:t>
      </w:r>
    </w:p>
    <w:p w14:paraId="5591493E" w14:textId="77777777" w:rsidR="00C6528C" w:rsidRDefault="00C6528C" w:rsidP="00C6528C">
      <w:pPr>
        <w:spacing w:after="0"/>
      </w:pPr>
    </w:p>
    <w:p w14:paraId="41B3AB03" w14:textId="77777777" w:rsidR="00C6528C" w:rsidRDefault="00C6528C" w:rsidP="00C6528C">
      <w:pPr>
        <w:spacing w:after="0"/>
      </w:pPr>
      <w:r w:rsidRPr="00307AD9">
        <w:t>The</w:t>
      </w:r>
      <w:r w:rsidRPr="002C23B3">
        <w:rPr>
          <w:b/>
          <w:bCs/>
          <w:u w:val="single"/>
        </w:rPr>
        <w:t xml:space="preserve"> new legislation changes</w:t>
      </w:r>
      <w:r w:rsidRPr="00307AD9">
        <w:t xml:space="preserve"> each of these eligibility requirements. Now, an employee will be eligible for NJFLA leave if the employee: </w:t>
      </w:r>
    </w:p>
    <w:p w14:paraId="24B4639D" w14:textId="77777777" w:rsidR="00C6528C" w:rsidRDefault="00C6528C" w:rsidP="00C6528C">
      <w:pPr>
        <w:spacing w:after="0"/>
      </w:pPr>
      <w:r w:rsidRPr="00307AD9">
        <w:t xml:space="preserve">(1) </w:t>
      </w:r>
      <w:proofErr w:type="gramStart"/>
      <w:r w:rsidRPr="00307AD9">
        <w:t>works</w:t>
      </w:r>
      <w:proofErr w:type="gramEnd"/>
      <w:r w:rsidRPr="00307AD9">
        <w:t xml:space="preserve"> for an employer with </w:t>
      </w:r>
      <w:r w:rsidRPr="00307AD9">
        <w:rPr>
          <w:b/>
          <w:bCs/>
        </w:rPr>
        <w:t>fifteen</w:t>
      </w:r>
      <w:r w:rsidRPr="00307AD9">
        <w:t xml:space="preserve"> or more employees; </w:t>
      </w:r>
    </w:p>
    <w:p w14:paraId="375E497D" w14:textId="77777777" w:rsidR="00C6528C" w:rsidRDefault="00C6528C" w:rsidP="00C6528C">
      <w:pPr>
        <w:spacing w:after="0"/>
      </w:pPr>
      <w:r w:rsidRPr="00307AD9">
        <w:t>(2) has been employed for at least </w:t>
      </w:r>
      <w:r w:rsidRPr="00307AD9">
        <w:rPr>
          <w:b/>
          <w:bCs/>
        </w:rPr>
        <w:t>three</w:t>
      </w:r>
      <w:r w:rsidRPr="00307AD9">
        <w:t xml:space="preserve"> months; and </w:t>
      </w:r>
    </w:p>
    <w:p w14:paraId="373616E1" w14:textId="77777777" w:rsidR="00C6528C" w:rsidRPr="00307AD9" w:rsidRDefault="00C6528C" w:rsidP="00C6528C">
      <w:pPr>
        <w:spacing w:after="0"/>
      </w:pPr>
      <w:r w:rsidRPr="00307AD9">
        <w:t>(3) has worked at least </w:t>
      </w:r>
      <w:r w:rsidRPr="00307AD9">
        <w:rPr>
          <w:b/>
          <w:bCs/>
        </w:rPr>
        <w:t>250</w:t>
      </w:r>
      <w:r w:rsidRPr="00307AD9">
        <w:t> hours in the preceding three months.</w:t>
      </w:r>
    </w:p>
    <w:p w14:paraId="311880BE" w14:textId="77777777" w:rsidR="00C6528C" w:rsidRPr="00B925FB" w:rsidRDefault="00C6528C" w:rsidP="00C6528C">
      <w:pPr>
        <w:spacing w:after="0"/>
        <w:rPr>
          <w:sz w:val="12"/>
          <w:szCs w:val="12"/>
        </w:rPr>
      </w:pPr>
    </w:p>
    <w:p w14:paraId="140FCC0C" w14:textId="77777777" w:rsidR="00C6528C" w:rsidRPr="00B925FB" w:rsidRDefault="00C6528C" w:rsidP="00C6528C">
      <w:pPr>
        <w:pStyle w:val="NormalWeb"/>
        <w:shd w:val="clear" w:color="auto" w:fill="FFFFFF"/>
        <w:spacing w:before="0" w:beforeAutospacing="0" w:after="0" w:afterAutospacing="0" w:line="276" w:lineRule="auto"/>
        <w:rPr>
          <w:rFonts w:ascii="Calibri" w:hAnsi="Calibri" w:cs="Calibri"/>
          <w:b/>
          <w:bCs/>
          <w:szCs w:val="20"/>
        </w:rPr>
      </w:pPr>
      <w:r w:rsidRPr="00B925FB">
        <w:rPr>
          <w:rFonts w:ascii="Calibri" w:hAnsi="Calibri" w:cs="Calibri"/>
          <w:b/>
          <w:bCs/>
          <w:szCs w:val="20"/>
        </w:rPr>
        <w:t>New Medical Leave Job-Protection Provisions</w:t>
      </w:r>
    </w:p>
    <w:p w14:paraId="3D13A5BA" w14:textId="77777777" w:rsidR="00C6528C" w:rsidRPr="00B925FB" w:rsidRDefault="00C6528C" w:rsidP="00C6528C">
      <w:pPr>
        <w:pStyle w:val="NormalWeb"/>
        <w:shd w:val="clear" w:color="auto" w:fill="FFFFFF"/>
        <w:spacing w:before="0" w:beforeAutospacing="0" w:after="0" w:afterAutospacing="0" w:line="276" w:lineRule="auto"/>
        <w:rPr>
          <w:rFonts w:ascii="Calibri" w:hAnsi="Calibri" w:cs="Calibri"/>
          <w:szCs w:val="20"/>
        </w:rPr>
      </w:pPr>
      <w:r w:rsidRPr="00B925FB">
        <w:rPr>
          <w:rFonts w:ascii="Calibri" w:hAnsi="Calibri" w:cs="Calibri"/>
          <w:szCs w:val="20"/>
        </w:rPr>
        <w:t xml:space="preserve">The new law also appears to greatly expand state law to include new job-protection provisions for employees taking medical leave and receiving state Temporary Disability Insurance (TDI) benefits. Currently, the NJFLA (unlike the federal Family and Medical Leave Act (FMLA)) does not provide job-protected leave for an employee’s own serious </w:t>
      </w:r>
      <w:r w:rsidRPr="00B925FB">
        <w:rPr>
          <w:rFonts w:ascii="Calibri" w:hAnsi="Calibri" w:cs="Calibri"/>
          <w:szCs w:val="20"/>
        </w:rPr>
        <w:lastRenderedPageBreak/>
        <w:t>medical condition. Under the new law, employees receiving state TDI benefits for their own medical condition must be restored to the same job they had before taking leave, or a jo that is equivalent in terms of “seniority, status, employment benefits, pay, and other terms and conditions of employment.”</w:t>
      </w:r>
    </w:p>
    <w:p w14:paraId="35C9A158"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szCs w:val="20"/>
        </w:rPr>
        <w:t>Although this amendment to the TDI law does not describe this as a new “leave” right, the job restoration requirement may effectively create a new job-protected medical leave entitlement. Further, since employees are eligible for up to twenty-six weeks of state TDI benefits, the new law may provide for up to twenty-six weeks of medical leave—a truly remarkable change in the law, providing fourteen more weeks of job protection than is currently available under the FMLA.</w:t>
      </w:r>
    </w:p>
    <w:p w14:paraId="133F7F78"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szCs w:val="20"/>
        </w:rPr>
        <w:t>Whether the new law in fact creates a new twenty-six–week, job-protected medical leave entitlement, or perhaps simply requires restoration to prior employment when an employee returns from leave under an employer’s existing medical leave policy or takes leave under the FMLA is unclear.</w:t>
      </w:r>
    </w:p>
    <w:p w14:paraId="0609D18D" w14:textId="77777777" w:rsidR="00C6528C" w:rsidRDefault="00C6528C" w:rsidP="00C6528C">
      <w:pPr>
        <w:spacing w:after="0"/>
      </w:pPr>
      <w:r w:rsidRPr="005967C1">
        <w:rPr>
          <w:b/>
          <w:bCs/>
        </w:rPr>
        <w:t>Ability to Choose Order of Earned Sick Leave and Temporary Disability Benefits</w:t>
      </w:r>
    </w:p>
    <w:p w14:paraId="6522E1C5" w14:textId="62B7CF6A" w:rsidR="00C6528C" w:rsidRPr="00C6528C" w:rsidRDefault="00C6528C" w:rsidP="00C6528C">
      <w:pPr>
        <w:spacing w:after="0"/>
      </w:pPr>
      <w:r>
        <w:t>I</w:t>
      </w:r>
      <w:r w:rsidRPr="005967C1">
        <w:t>f an employee is eligible for earned sick leave under New Jersey’s Earned Sick Leave Law </w:t>
      </w:r>
      <w:r w:rsidRPr="005967C1">
        <w:rPr>
          <w:i/>
          <w:iCs/>
        </w:rPr>
        <w:t>and</w:t>
      </w:r>
      <w:r w:rsidRPr="005967C1">
        <w:t> eligible for TDI benefits, the employee may choose “the order in which the different kinds of leave are taken,” but will not receive more than one kind of paid leave at the same time.</w:t>
      </w:r>
    </w:p>
    <w:p w14:paraId="6BC7EF19" w14:textId="409D03BB" w:rsidR="00C6528C" w:rsidRPr="00C6528C" w:rsidRDefault="00C6528C" w:rsidP="00C6528C">
      <w:pPr>
        <w:rPr>
          <w:b/>
          <w:bCs/>
          <w:caps/>
          <w:noProof/>
          <w:color w:val="0E425C"/>
          <w:sz w:val="28"/>
          <w:szCs w:val="28"/>
        </w:rPr>
      </w:pPr>
      <w:r>
        <w:t xml:space="preserve">Additional resources can be accessed on the </w:t>
      </w:r>
      <w:hyperlink r:id="rId921" w:history="1">
        <w:r w:rsidRPr="00C961D4">
          <w:rPr>
            <w:rStyle w:val="Hyperlink"/>
          </w:rPr>
          <w:t>NJFLA</w:t>
        </w:r>
      </w:hyperlink>
      <w:r>
        <w:t xml:space="preserve"> website</w:t>
      </w:r>
      <w:r>
        <w:rPr>
          <w:b/>
          <w:bCs/>
          <w:caps/>
          <w:noProof/>
          <w:color w:val="0E425C"/>
          <w:sz w:val="28"/>
          <w:szCs w:val="28"/>
        </w:rPr>
        <w:t>.</w:t>
      </w:r>
    </w:p>
    <w:p w14:paraId="482919CC" w14:textId="6582F398" w:rsidR="00425344" w:rsidRPr="00DD7BD1" w:rsidRDefault="00425344" w:rsidP="004253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Changes to New Jersey Family Leave Act (NJFLA) Forthcoming – Eff </w:t>
      </w:r>
      <w:r w:rsidRPr="00DD7BD1">
        <w:rPr>
          <w:rFonts w:ascii="Calibri" w:hAnsi="Calibri" w:cs="Calibri"/>
          <w:b/>
          <w:bCs/>
          <w:color w:val="C00000"/>
          <w:sz w:val="28"/>
          <w:szCs w:val="28"/>
          <w:shd w:val="clear" w:color="auto" w:fill="FFFFFF"/>
          <w:lang w:val="en"/>
        </w:rPr>
        <w:t xml:space="preserve">July </w:t>
      </w:r>
      <w:r w:rsidR="002E62E2">
        <w:rPr>
          <w:rFonts w:ascii="Calibri" w:hAnsi="Calibri" w:cs="Calibri"/>
          <w:b/>
          <w:bCs/>
          <w:color w:val="C00000"/>
          <w:sz w:val="28"/>
          <w:szCs w:val="28"/>
          <w:shd w:val="clear" w:color="auto" w:fill="FFFFFF"/>
          <w:lang w:val="en"/>
        </w:rPr>
        <w:t xml:space="preserve">17, </w:t>
      </w:r>
      <w:r w:rsidRPr="00DD7BD1">
        <w:rPr>
          <w:rFonts w:ascii="Calibri" w:hAnsi="Calibri" w:cs="Calibri"/>
          <w:b/>
          <w:bCs/>
          <w:color w:val="C00000"/>
          <w:sz w:val="28"/>
          <w:szCs w:val="28"/>
          <w:shd w:val="clear" w:color="auto" w:fill="FFFFFF"/>
          <w:lang w:val="en"/>
        </w:rPr>
        <w:t>2026</w:t>
      </w:r>
    </w:p>
    <w:p w14:paraId="6BCF799A" w14:textId="19ED78C5" w:rsidR="00425344" w:rsidRPr="00DD7BD1" w:rsidRDefault="00425344" w:rsidP="00425344">
      <w:pPr>
        <w:spacing w:after="0" w:line="240" w:lineRule="auto"/>
        <w:rPr>
          <w:rFonts w:ascii="Calibri" w:hAnsi="Calibri" w:cs="Calibri"/>
        </w:rPr>
      </w:pPr>
      <w:r w:rsidRPr="00DD7BD1">
        <w:rPr>
          <w:rFonts w:ascii="Calibri" w:hAnsi="Calibri" w:cs="Calibri"/>
        </w:rPr>
        <w:t xml:space="preserve">New Jersey has </w:t>
      </w:r>
      <w:hyperlink r:id="rId922" w:history="1">
        <w:r w:rsidRPr="00DD7BD1">
          <w:rPr>
            <w:rStyle w:val="Hyperlink"/>
            <w:rFonts w:ascii="Calibri" w:hAnsi="Calibri" w:cs="Calibri"/>
          </w:rPr>
          <w:t>enacted</w:t>
        </w:r>
      </w:hyperlink>
      <w:r w:rsidRPr="00DD7BD1">
        <w:rPr>
          <w:rFonts w:ascii="Calibri" w:hAnsi="Calibri" w:cs="Calibri"/>
        </w:rPr>
        <w:t xml:space="preserve"> amendments to its Family Leave Act (NJFLA)</w:t>
      </w:r>
      <w:r w:rsidR="00586D2E" w:rsidRPr="00DD7BD1">
        <w:rPr>
          <w:rFonts w:ascii="Calibri" w:hAnsi="Calibri" w:cs="Calibri"/>
        </w:rPr>
        <w:t xml:space="preserve">, </w:t>
      </w:r>
      <w:hyperlink r:id="rId923" w:history="1">
        <w:r w:rsidR="00586D2E" w:rsidRPr="00DD7BD1">
          <w:rPr>
            <w:rStyle w:val="Hyperlink"/>
            <w:rFonts w:ascii="Calibri" w:hAnsi="Calibri" w:cs="Calibri"/>
          </w:rPr>
          <w:t>Assembly Bill 3451</w:t>
        </w:r>
      </w:hyperlink>
      <w:r w:rsidR="00586D2E" w:rsidRPr="00DD7BD1">
        <w:rPr>
          <w:rFonts w:ascii="Calibri" w:hAnsi="Calibri" w:cs="Calibri"/>
        </w:rPr>
        <w:t xml:space="preserve"> (A3451), </w:t>
      </w:r>
      <w:r w:rsidRPr="00DD7BD1">
        <w:rPr>
          <w:rFonts w:ascii="Calibri" w:hAnsi="Calibri" w:cs="Calibri"/>
        </w:rPr>
        <w:t xml:space="preserve">that </w:t>
      </w:r>
      <w:proofErr w:type="gramStart"/>
      <w:r w:rsidRPr="00DD7BD1">
        <w:rPr>
          <w:rFonts w:ascii="Calibri" w:hAnsi="Calibri" w:cs="Calibri"/>
        </w:rPr>
        <w:t>apply</w:t>
      </w:r>
      <w:proofErr w:type="gramEnd"/>
      <w:r w:rsidRPr="00DD7BD1">
        <w:rPr>
          <w:rFonts w:ascii="Calibri" w:hAnsi="Calibri" w:cs="Calibri"/>
        </w:rPr>
        <w:t xml:space="preserve"> the law to smaller employers and </w:t>
      </w:r>
      <w:proofErr w:type="gramStart"/>
      <w:r w:rsidRPr="00DD7BD1">
        <w:rPr>
          <w:rFonts w:ascii="Calibri" w:hAnsi="Calibri" w:cs="Calibri"/>
        </w:rPr>
        <w:t>reduce</w:t>
      </w:r>
      <w:proofErr w:type="gramEnd"/>
      <w:r w:rsidRPr="00DD7BD1">
        <w:rPr>
          <w:rFonts w:ascii="Calibri" w:hAnsi="Calibri" w:cs="Calibri"/>
        </w:rPr>
        <w:t xml:space="preserve"> eligibility requirements for employees. The amendments also add job protection for employees receiving benefits under the state temporary disability insurance (TDI) and family leave insurance (FLI) programs. </w:t>
      </w:r>
    </w:p>
    <w:p w14:paraId="376210BE" w14:textId="55DFC143" w:rsidR="00425344" w:rsidRPr="00DD7BD1" w:rsidRDefault="00425344" w:rsidP="00425344">
      <w:pPr>
        <w:spacing w:after="0" w:line="240" w:lineRule="auto"/>
        <w:rPr>
          <w:rFonts w:ascii="Calibri" w:hAnsi="Calibri" w:cs="Calibri"/>
          <w:shd w:val="clear" w:color="auto" w:fill="FFFFFF"/>
        </w:rPr>
      </w:pPr>
      <w:r w:rsidRPr="00DD7BD1">
        <w:rPr>
          <w:rFonts w:ascii="Calibri" w:hAnsi="Calibri" w:cs="Calibri"/>
        </w:rPr>
        <w:t xml:space="preserve">The changes are contained in Assembly Bill (AB) 3451 and take effect </w:t>
      </w:r>
      <w:r w:rsidRPr="00DD7BD1">
        <w:rPr>
          <w:rFonts w:ascii="Calibri" w:hAnsi="Calibri" w:cs="Calibri"/>
          <w:b/>
          <w:bCs/>
        </w:rPr>
        <w:t>July 17, 2026</w:t>
      </w:r>
      <w:r w:rsidRPr="00DD7BD1">
        <w:rPr>
          <w:rFonts w:ascii="Calibri" w:hAnsi="Calibri" w:cs="Calibri"/>
        </w:rPr>
        <w:t xml:space="preserve">. </w:t>
      </w:r>
      <w:r w:rsidRPr="00DD7BD1">
        <w:rPr>
          <w:rFonts w:ascii="Calibri" w:hAnsi="Calibri" w:cs="Calibri"/>
          <w:shd w:val="clear" w:color="auto" w:fill="FFFFFF"/>
        </w:rPr>
        <w:t>More details to come ahead of the effective date.</w:t>
      </w:r>
    </w:p>
    <w:p w14:paraId="4B39C0D5" w14:textId="77777777" w:rsidR="00425344" w:rsidRPr="00DD7BD1" w:rsidRDefault="00425344" w:rsidP="00425344">
      <w:pPr>
        <w:spacing w:after="0" w:line="240" w:lineRule="auto"/>
        <w:rPr>
          <w:rFonts w:ascii="Calibri" w:hAnsi="Calibri" w:cs="Calibri"/>
        </w:rPr>
      </w:pPr>
    </w:p>
    <w:p w14:paraId="104ADDE8" w14:textId="2E02AAE0" w:rsidR="00024501" w:rsidRPr="00DD7BD1" w:rsidRDefault="00024501" w:rsidP="00024501">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232FD2AB" w14:textId="77777777" w:rsidR="00024501" w:rsidRPr="00DD7BD1" w:rsidRDefault="00024501" w:rsidP="00024501">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hourly wages in New Jersey will increase as follows:</w:t>
      </w:r>
    </w:p>
    <w:p w14:paraId="7CB1A53C"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most employers and employees: $15.92</w:t>
      </w:r>
    </w:p>
    <w:p w14:paraId="461CFB10"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tipped employees: $6.05 as a </w:t>
      </w:r>
      <w:r w:rsidRPr="00DD7BD1">
        <w:rPr>
          <w:rFonts w:ascii="Calibri" w:hAnsi="Calibri" w:cs="Calibri"/>
          <w:i/>
          <w:iCs/>
          <w:shd w:val="clear" w:color="auto" w:fill="FFFFFF"/>
        </w:rPr>
        <w:t>base wage </w:t>
      </w:r>
      <w:r w:rsidRPr="00DD7BD1">
        <w:rPr>
          <w:rFonts w:ascii="Calibri" w:hAnsi="Calibri" w:cs="Calibri"/>
          <w:shd w:val="clear" w:color="auto" w:fill="FFFFFF"/>
        </w:rPr>
        <w:t>(tips must bring them to $15.92)</w:t>
      </w:r>
    </w:p>
    <w:p w14:paraId="60D86FD9"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seasonal and small employers (those with five or fewer employees): $15.23</w:t>
      </w:r>
    </w:p>
    <w:p w14:paraId="6A47CC45"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agricultural employers: $14.20</w:t>
      </w:r>
    </w:p>
    <w:p w14:paraId="5F74573E"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employees who provide direct care at a long-term care facility: $18.92</w:t>
      </w:r>
    </w:p>
    <w:p w14:paraId="4CEF382C" w14:textId="77777777" w:rsidR="00024501" w:rsidRPr="00DD7BD1" w:rsidRDefault="00024501" w:rsidP="00B22B5D">
      <w:pPr>
        <w:spacing w:after="0" w:line="240" w:lineRule="auto"/>
        <w:ind w:right="-187"/>
        <w:jc w:val="center"/>
        <w:rPr>
          <w:rFonts w:ascii="Calibri" w:hAnsi="Calibri" w:cs="Calibri"/>
          <w:b/>
          <w:spacing w:val="-6"/>
        </w:rPr>
      </w:pPr>
    </w:p>
    <w:p w14:paraId="374FB169" w14:textId="698C7847"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Bans</w:t>
      </w:r>
      <w:r w:rsidRPr="00DD7BD1">
        <w:rPr>
          <w:rFonts w:ascii="Calibri" w:hAnsi="Calibri" w:cs="Calibri"/>
          <w:b/>
          <w:spacing w:val="-7"/>
          <w:sz w:val="28"/>
        </w:rPr>
        <w:t xml:space="preserve"> </w:t>
      </w:r>
      <w:r w:rsidRPr="00DD7BD1">
        <w:rPr>
          <w:rFonts w:ascii="Calibri" w:hAnsi="Calibri" w:cs="Calibri"/>
          <w:b/>
          <w:spacing w:val="-6"/>
          <w:sz w:val="28"/>
        </w:rPr>
        <w:t>Mandatory</w:t>
      </w:r>
      <w:r w:rsidRPr="00DD7BD1">
        <w:rPr>
          <w:rFonts w:ascii="Calibri" w:hAnsi="Calibri" w:cs="Calibri"/>
          <w:b/>
          <w:spacing w:val="-10"/>
          <w:sz w:val="28"/>
        </w:rPr>
        <w:t xml:space="preserve"> </w:t>
      </w:r>
      <w:r w:rsidRPr="00DD7BD1">
        <w:rPr>
          <w:rFonts w:ascii="Calibri" w:hAnsi="Calibri" w:cs="Calibri"/>
          <w:b/>
          <w:spacing w:val="-6"/>
          <w:sz w:val="28"/>
        </w:rPr>
        <w:t>Employee</w:t>
      </w:r>
      <w:r w:rsidRPr="00DD7BD1">
        <w:rPr>
          <w:rFonts w:ascii="Calibri" w:hAnsi="Calibri" w:cs="Calibri"/>
          <w:b/>
          <w:spacing w:val="-10"/>
          <w:sz w:val="28"/>
        </w:rPr>
        <w:t xml:space="preserve"> </w:t>
      </w:r>
      <w:r w:rsidRPr="00DD7BD1">
        <w:rPr>
          <w:rFonts w:ascii="Calibri" w:hAnsi="Calibri" w:cs="Calibri"/>
          <w:b/>
          <w:spacing w:val="-6"/>
          <w:sz w:val="28"/>
        </w:rPr>
        <w:t>Meetings –</w:t>
      </w:r>
      <w:r w:rsidRPr="00DD7BD1">
        <w:rPr>
          <w:rFonts w:ascii="Calibri" w:hAnsi="Calibri" w:cs="Calibri"/>
          <w:b/>
          <w:spacing w:val="-8"/>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Dec</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0755C983"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New Jersey Governor Phil Murphy signed into law significant amendments to the New Jersey Employer Political Communication Restrictions Act (the “Act”) on September 3, 2025. These amendments, which take effect on December</w:t>
      </w:r>
      <w:r w:rsidRPr="00DD7BD1">
        <w:rPr>
          <w:rFonts w:cs="Calibri"/>
          <w:color w:val="auto"/>
          <w:spacing w:val="-13"/>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2025,</w:t>
      </w:r>
      <w:r w:rsidRPr="00DD7BD1">
        <w:rPr>
          <w:rFonts w:cs="Calibri"/>
          <w:color w:val="auto"/>
          <w:spacing w:val="-13"/>
          <w:w w:val="110"/>
          <w:szCs w:val="22"/>
        </w:rPr>
        <w:t xml:space="preserve"> </w:t>
      </w:r>
      <w:r w:rsidRPr="00DD7BD1">
        <w:rPr>
          <w:rFonts w:cs="Calibri"/>
          <w:color w:val="auto"/>
          <w:w w:val="110"/>
          <w:szCs w:val="22"/>
        </w:rPr>
        <w:t>make</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3"/>
          <w:w w:val="110"/>
          <w:szCs w:val="22"/>
        </w:rPr>
        <w:t xml:space="preserve"> </w:t>
      </w:r>
      <w:r w:rsidRPr="00DD7BD1">
        <w:rPr>
          <w:rFonts w:cs="Calibri"/>
          <w:color w:val="auto"/>
          <w:w w:val="110"/>
          <w:szCs w:val="22"/>
        </w:rPr>
        <w:t>Jersey</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12</w:t>
      </w:r>
      <w:r w:rsidRPr="00DD7BD1">
        <w:rPr>
          <w:rFonts w:cs="Calibri"/>
          <w:color w:val="auto"/>
          <w:spacing w:val="-7"/>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nation</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prohibit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from</w:t>
      </w:r>
      <w:r w:rsidRPr="00DD7BD1">
        <w:rPr>
          <w:rFonts w:cs="Calibri"/>
          <w:color w:val="auto"/>
          <w:spacing w:val="-12"/>
          <w:w w:val="110"/>
          <w:szCs w:val="22"/>
        </w:rPr>
        <w:t xml:space="preserve"> </w:t>
      </w:r>
      <w:r w:rsidRPr="00DD7BD1">
        <w:rPr>
          <w:rFonts w:cs="Calibri"/>
          <w:color w:val="auto"/>
          <w:w w:val="110"/>
          <w:szCs w:val="22"/>
        </w:rPr>
        <w:t>holding</w:t>
      </w:r>
      <w:r w:rsidRPr="00DD7BD1">
        <w:rPr>
          <w:rFonts w:cs="Calibri"/>
          <w:color w:val="auto"/>
          <w:spacing w:val="-6"/>
          <w:w w:val="110"/>
          <w:szCs w:val="22"/>
        </w:rPr>
        <w:t xml:space="preserve"> </w:t>
      </w:r>
      <w:r w:rsidRPr="00DD7BD1">
        <w:rPr>
          <w:rFonts w:cs="Calibri"/>
          <w:color w:val="auto"/>
          <w:w w:val="110"/>
          <w:szCs w:val="22"/>
        </w:rPr>
        <w:t>mandatory, captive</w:t>
      </w:r>
      <w:r w:rsidRPr="00DD7BD1">
        <w:rPr>
          <w:rFonts w:cs="Calibri"/>
          <w:color w:val="auto"/>
          <w:spacing w:val="-6"/>
          <w:w w:val="110"/>
          <w:szCs w:val="22"/>
        </w:rPr>
        <w:t xml:space="preserve"> </w:t>
      </w:r>
      <w:r w:rsidRPr="00DD7BD1">
        <w:rPr>
          <w:rFonts w:cs="Calibri"/>
          <w:color w:val="auto"/>
          <w:w w:val="110"/>
          <w:szCs w:val="22"/>
        </w:rPr>
        <w:t>audience</w:t>
      </w:r>
      <w:r w:rsidRPr="00DD7BD1">
        <w:rPr>
          <w:rFonts w:cs="Calibri"/>
          <w:color w:val="auto"/>
          <w:spacing w:val="-6"/>
          <w:w w:val="110"/>
          <w:szCs w:val="22"/>
        </w:rPr>
        <w:t xml:space="preserve"> </w:t>
      </w:r>
      <w:r w:rsidRPr="00DD7BD1">
        <w:rPr>
          <w:rFonts w:cs="Calibri"/>
          <w:color w:val="auto"/>
          <w:w w:val="110"/>
          <w:szCs w:val="22"/>
        </w:rPr>
        <w:t>meetings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discuss</w:t>
      </w:r>
      <w:r w:rsidRPr="00DD7BD1">
        <w:rPr>
          <w:rFonts w:cs="Calibri"/>
          <w:color w:val="auto"/>
          <w:spacing w:val="-2"/>
          <w:w w:val="110"/>
          <w:szCs w:val="22"/>
        </w:rPr>
        <w:t xml:space="preserve"> </w:t>
      </w:r>
      <w:r w:rsidRPr="00DD7BD1">
        <w:rPr>
          <w:rFonts w:cs="Calibri"/>
          <w:b/>
          <w:color w:val="auto"/>
          <w:w w:val="110"/>
          <w:szCs w:val="22"/>
          <w:u w:val="single"/>
        </w:rPr>
        <w:t>unionization</w:t>
      </w:r>
      <w:r w:rsidRPr="00DD7BD1">
        <w:rPr>
          <w:rFonts w:cs="Calibri"/>
          <w:b/>
          <w:color w:val="auto"/>
          <w:spacing w:val="-5"/>
          <w:w w:val="110"/>
          <w:szCs w:val="22"/>
          <w:u w:val="single"/>
        </w:rPr>
        <w:t xml:space="preserve"> </w:t>
      </w:r>
      <w:r w:rsidRPr="00DD7BD1">
        <w:rPr>
          <w:rFonts w:cs="Calibri"/>
          <w:b/>
          <w:color w:val="auto"/>
          <w:w w:val="110"/>
          <w:szCs w:val="22"/>
          <w:u w:val="single"/>
        </w:rPr>
        <w:t>with</w:t>
      </w:r>
      <w:r w:rsidRPr="00DD7BD1">
        <w:rPr>
          <w:rFonts w:cs="Calibri"/>
          <w:b/>
          <w:color w:val="auto"/>
          <w:spacing w:val="-5"/>
          <w:w w:val="110"/>
          <w:szCs w:val="22"/>
          <w:u w:val="single"/>
        </w:rPr>
        <w:t xml:space="preserve"> </w:t>
      </w:r>
      <w:r w:rsidRPr="00DD7BD1">
        <w:rPr>
          <w:rFonts w:cs="Calibri"/>
          <w:b/>
          <w:color w:val="auto"/>
          <w:w w:val="110"/>
          <w:szCs w:val="22"/>
          <w:u w:val="single"/>
        </w:rPr>
        <w:t>employees</w:t>
      </w:r>
      <w:r w:rsidRPr="00DD7BD1">
        <w:rPr>
          <w:rFonts w:cs="Calibri"/>
          <w:color w:val="auto"/>
          <w:w w:val="110"/>
          <w:szCs w:val="22"/>
        </w:rPr>
        <w:t>.</w:t>
      </w:r>
      <w:r w:rsidRPr="00DD7BD1">
        <w:rPr>
          <w:rFonts w:cs="Calibri"/>
          <w:color w:val="auto"/>
          <w:spacing w:val="-7"/>
          <w:w w:val="110"/>
          <w:szCs w:val="22"/>
        </w:rPr>
        <w:t xml:space="preserve"> </w:t>
      </w:r>
      <w:r w:rsidRPr="00DD7BD1">
        <w:rPr>
          <w:rFonts w:cs="Calibri"/>
          <w:color w:val="auto"/>
          <w:w w:val="110"/>
          <w:szCs w:val="22"/>
        </w:rPr>
        <w:t>Additionally,</w:t>
      </w:r>
      <w:r w:rsidRPr="00DD7BD1">
        <w:rPr>
          <w:rFonts w:cs="Calibri"/>
          <w:color w:val="auto"/>
          <w:spacing w:val="-7"/>
          <w:w w:val="110"/>
          <w:szCs w:val="22"/>
        </w:rPr>
        <w:t xml:space="preserve"> </w:t>
      </w:r>
      <w:r w:rsidRPr="00DD7BD1">
        <w:rPr>
          <w:rFonts w:cs="Calibri"/>
          <w:color w:val="auto"/>
          <w:w w:val="110"/>
          <w:szCs w:val="22"/>
        </w:rPr>
        <w:t>once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goes</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effect, employers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post</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notice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4"/>
          <w:w w:val="110"/>
          <w:szCs w:val="22"/>
        </w:rPr>
        <w:t xml:space="preserve"> </w:t>
      </w:r>
      <w:r w:rsidRPr="00DD7BD1">
        <w:rPr>
          <w:rFonts w:cs="Calibri"/>
          <w:color w:val="auto"/>
          <w:w w:val="110"/>
          <w:szCs w:val="22"/>
        </w:rPr>
        <w:t>under</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conspicuous</w:t>
      </w:r>
      <w:r w:rsidRPr="00DD7BD1">
        <w:rPr>
          <w:rFonts w:cs="Calibri"/>
          <w:color w:val="auto"/>
          <w:spacing w:val="-10"/>
          <w:w w:val="110"/>
          <w:szCs w:val="22"/>
        </w:rPr>
        <w:t xml:space="preserve"> </w:t>
      </w:r>
      <w:r w:rsidRPr="00DD7BD1">
        <w:rPr>
          <w:rFonts w:cs="Calibri"/>
          <w:color w:val="auto"/>
          <w:w w:val="110"/>
          <w:szCs w:val="22"/>
        </w:rPr>
        <w:t>locations</w:t>
      </w:r>
      <w:r w:rsidRPr="00DD7BD1">
        <w:rPr>
          <w:rFonts w:cs="Calibri"/>
          <w:color w:val="auto"/>
          <w:spacing w:val="-10"/>
          <w:w w:val="110"/>
          <w:szCs w:val="22"/>
        </w:rPr>
        <w:t xml:space="preserve"> </w:t>
      </w:r>
      <w:r w:rsidRPr="00DD7BD1">
        <w:rPr>
          <w:rFonts w:cs="Calibri"/>
          <w:color w:val="auto"/>
          <w:w w:val="110"/>
          <w:szCs w:val="22"/>
        </w:rPr>
        <w:t>frequented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w w:val="110"/>
          <w:szCs w:val="22"/>
        </w:rPr>
        <w:t>employees.</w:t>
      </w:r>
    </w:p>
    <w:p w14:paraId="528AF116" w14:textId="77777777" w:rsidR="00B22B5D" w:rsidRPr="00DD7BD1" w:rsidRDefault="00B22B5D" w:rsidP="00BD445F">
      <w:pPr>
        <w:spacing w:after="0" w:line="240" w:lineRule="auto"/>
        <w:jc w:val="center"/>
        <w:rPr>
          <w:rFonts w:ascii="Calibri" w:hAnsi="Calibri" w:cs="Calibri"/>
          <w:b/>
          <w:bCs/>
          <w:sz w:val="28"/>
          <w:szCs w:val="28"/>
          <w:shd w:val="clear" w:color="auto" w:fill="FFFFFF"/>
          <w:lang w:val="en"/>
        </w:rPr>
      </w:pPr>
    </w:p>
    <w:p w14:paraId="30832233" w14:textId="2DDB564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Employers’ Use of AI Tools Must Comply With New Jersey’s Law Against Discrimination</w:t>
      </w:r>
    </w:p>
    <w:p w14:paraId="31C3CDCD"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w:t>
      </w:r>
      <w:proofErr w:type="gramStart"/>
      <w:r w:rsidRPr="00DD7BD1">
        <w:rPr>
          <w:rFonts w:ascii="Calibri" w:hAnsi="Calibri" w:cs="Calibri"/>
          <w:shd w:val="clear" w:color="auto" w:fill="FFFFFF"/>
        </w:rPr>
        <w:t>by the use of</w:t>
      </w:r>
      <w:proofErr w:type="gramEnd"/>
      <w:r w:rsidRPr="00DD7BD1">
        <w:rPr>
          <w:rFonts w:ascii="Calibri" w:hAnsi="Calibri" w:cs="Calibri"/>
          <w:shd w:val="clear" w:color="auto" w:fill="FFFFFF"/>
        </w:rPr>
        <w:t xml:space="preserve"> artificial intelligence (“AI”) and automated decision-making tools in the workplace.</w:t>
      </w:r>
    </w:p>
    <w:p w14:paraId="3FBB120E"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06B0821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In conjunction with this initiative, the New Jersey Office of the Attorney General and the DCR jointly published a </w:t>
      </w:r>
      <w:hyperlink r:id="rId924" w:history="1">
        <w:r w:rsidRPr="00DD7BD1">
          <w:rPr>
            <w:rStyle w:val="Hyperlink"/>
            <w:rFonts w:ascii="Calibri" w:hAnsi="Calibri" w:cs="Calibri"/>
            <w:shd w:val="clear" w:color="auto" w:fill="FFFFFF"/>
          </w:rPr>
          <w:t>Guidance Memorandum</w:t>
        </w:r>
      </w:hyperlink>
      <w:r w:rsidRPr="00DD7BD1">
        <w:rPr>
          <w:rFonts w:ascii="Calibri" w:hAnsi="Calibri" w:cs="Calibri"/>
          <w:shd w:val="clear" w:color="auto" w:fill="FFFFFF"/>
        </w:rPr>
        <w:t> to explain how the New Jersey Law Against Discrimination (“LAD”) applies in the face of an advancing technological landscape.</w:t>
      </w:r>
    </w:p>
    <w:p w14:paraId="3C7BB8D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shd w:val="clear" w:color="auto" w:fill="FFFFFF"/>
        </w:rPr>
        <w:t xml:space="preserve"> 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Pr="00DD7BD1" w:rsidRDefault="00BD445F" w:rsidP="003B29FD">
      <w:pPr>
        <w:spacing w:after="0" w:line="240" w:lineRule="auto"/>
        <w:jc w:val="center"/>
        <w:rPr>
          <w:rFonts w:ascii="Calibri" w:hAnsi="Calibri" w:cs="Calibri"/>
          <w:b/>
          <w:bCs/>
          <w:sz w:val="28"/>
          <w:szCs w:val="28"/>
        </w:rPr>
      </w:pPr>
    </w:p>
    <w:p w14:paraId="4372EB37" w14:textId="530CD4B2"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New Jersey Family and Disability Insurance Leave Rates to Increase -</w:t>
      </w:r>
      <w:r w:rsidRPr="00DD7BD1">
        <w:rPr>
          <w:rFonts w:ascii="Calibri" w:hAnsi="Calibri" w:cs="Calibri"/>
          <w:b/>
          <w:bCs/>
          <w:color w:val="C00000"/>
          <w:sz w:val="28"/>
          <w:szCs w:val="28"/>
        </w:rPr>
        <w:t xml:space="preserve"> 2025</w:t>
      </w:r>
    </w:p>
    <w:p w14:paraId="2AB68728" w14:textId="77777777" w:rsidR="003B29FD" w:rsidRPr="00DD7BD1" w:rsidRDefault="003B29FD" w:rsidP="003B29FD">
      <w:pPr>
        <w:spacing w:after="0" w:line="240" w:lineRule="auto"/>
        <w:rPr>
          <w:rFonts w:ascii="Calibri" w:hAnsi="Calibri" w:cs="Calibri"/>
        </w:rPr>
      </w:pPr>
      <w:r w:rsidRPr="00DD7BD1">
        <w:rPr>
          <w:rFonts w:ascii="Calibri" w:hAnsi="Calibri" w:cs="Calibri"/>
        </w:rPr>
        <w:t>New Jersey has increased its temporary disability insurance (TDI) and family leave insurance (FLI) contribution rates for 2025</w:t>
      </w:r>
    </w:p>
    <w:p w14:paraId="376BCBC5" w14:textId="77777777" w:rsidR="003B29FD" w:rsidRPr="00DD7BD1" w:rsidRDefault="003B29FD">
      <w:pPr>
        <w:pStyle w:val="SubHeader"/>
        <w:numPr>
          <w:ilvl w:val="0"/>
          <w:numId w:val="113"/>
        </w:numPr>
        <w:rPr>
          <w:rFonts w:cs="Calibri"/>
          <w:b w:val="0"/>
          <w:bCs/>
          <w:color w:val="auto"/>
          <w:sz w:val="22"/>
          <w:szCs w:val="22"/>
        </w:rPr>
      </w:pPr>
      <w:r w:rsidRPr="00DD7BD1">
        <w:rPr>
          <w:rFonts w:cs="Calibri"/>
          <w:color w:val="auto"/>
          <w:sz w:val="22"/>
          <w:szCs w:val="22"/>
        </w:rPr>
        <w:t xml:space="preserve">2025 TDI Contribution Rate - </w:t>
      </w:r>
      <w:r w:rsidRPr="00DD7BD1">
        <w:rPr>
          <w:rFonts w:cs="Calibri"/>
          <w:b w:val="0"/>
          <w:bCs/>
          <w:color w:val="auto"/>
          <w:sz w:val="22"/>
          <w:szCs w:val="22"/>
        </w:rPr>
        <w:t>The TDI contribution rate for workers will be 0.23% of employee wages in 2025.</w:t>
      </w:r>
    </w:p>
    <w:p w14:paraId="3D750DEC" w14:textId="77777777" w:rsidR="003B29FD" w:rsidRPr="00DD7BD1" w:rsidRDefault="003B29FD">
      <w:pPr>
        <w:pStyle w:val="SubHeader"/>
        <w:numPr>
          <w:ilvl w:val="0"/>
          <w:numId w:val="113"/>
        </w:numPr>
        <w:rPr>
          <w:rFonts w:cs="Calibri"/>
          <w:color w:val="auto"/>
          <w:sz w:val="22"/>
          <w:szCs w:val="22"/>
        </w:rPr>
      </w:pPr>
      <w:r w:rsidRPr="00DD7BD1">
        <w:rPr>
          <w:rFonts w:cs="Calibri"/>
          <w:color w:val="auto"/>
          <w:sz w:val="22"/>
          <w:szCs w:val="22"/>
        </w:rPr>
        <w:t xml:space="preserve">2025 FLI Contribution Rate - </w:t>
      </w:r>
      <w:r w:rsidRPr="00DD7BD1">
        <w:rPr>
          <w:rFonts w:cs="Calibri"/>
          <w:b w:val="0"/>
          <w:bCs/>
          <w:color w:val="auto"/>
          <w:sz w:val="22"/>
          <w:szCs w:val="22"/>
        </w:rPr>
        <w:t>The FLI employee contribution rate will be 0.33% of wages in 2025.</w:t>
      </w:r>
      <w:r w:rsidRPr="00DD7BD1">
        <w:rPr>
          <w:rFonts w:cs="Calibri"/>
          <w:color w:val="auto"/>
          <w:sz w:val="22"/>
          <w:szCs w:val="22"/>
        </w:rPr>
        <w:t xml:space="preserve"> </w:t>
      </w:r>
    </w:p>
    <w:p w14:paraId="4EA3E9E7" w14:textId="77777777" w:rsidR="003B29FD" w:rsidRPr="00DD7BD1" w:rsidRDefault="003B29FD" w:rsidP="003B29FD">
      <w:pPr>
        <w:spacing w:after="0" w:line="240" w:lineRule="auto"/>
        <w:rPr>
          <w:rFonts w:ascii="Calibri" w:hAnsi="Calibri" w:cs="Calibri"/>
        </w:rPr>
      </w:pPr>
      <w:r w:rsidRPr="00DD7BD1">
        <w:rPr>
          <w:rFonts w:ascii="Calibri" w:hAnsi="Calibri" w:cs="Calibri"/>
        </w:rPr>
        <w:t>The “Notice of Employer Contribution Rates” for fiscal year 2024-25 is now available for download via </w:t>
      </w:r>
      <w:hyperlink r:id="rId925" w:history="1">
        <w:r w:rsidRPr="00DD7BD1">
          <w:rPr>
            <w:rStyle w:val="Hyperlink"/>
            <w:rFonts w:ascii="Calibri" w:hAnsi="Calibri" w:cs="Calibri"/>
          </w:rPr>
          <w:t>Employer Access</w:t>
        </w:r>
      </w:hyperlink>
      <w:r w:rsidRPr="00DD7BD1">
        <w:rPr>
          <w:rFonts w:ascii="Calibri" w:hAnsi="Calibri" w:cs="Calibri"/>
        </w:rPr>
        <w:t>.</w:t>
      </w:r>
    </w:p>
    <w:p w14:paraId="01513497" w14:textId="77777777" w:rsidR="003B29FD" w:rsidRPr="00DD7BD1" w:rsidRDefault="003B29FD" w:rsidP="003B29FD">
      <w:pPr>
        <w:spacing w:after="0" w:line="240" w:lineRule="auto"/>
        <w:rPr>
          <w:rFonts w:ascii="Calibri" w:hAnsi="Calibri" w:cs="Calibri"/>
          <w:sz w:val="20"/>
          <w:szCs w:val="20"/>
        </w:rPr>
      </w:pPr>
    </w:p>
    <w:p w14:paraId="235B2706" w14:textId="7D7BFA13" w:rsidR="003B29FD" w:rsidRPr="00DD7BD1" w:rsidRDefault="003B29FD" w:rsidP="003B29FD">
      <w:pPr>
        <w:spacing w:after="0" w:line="240" w:lineRule="auto"/>
        <w:jc w:val="center"/>
        <w:rPr>
          <w:rFonts w:ascii="Calibri" w:hAnsi="Calibri" w:cs="Calibri"/>
          <w:b/>
          <w:bCs/>
          <w:color w:val="C00000"/>
          <w:sz w:val="28"/>
          <w:szCs w:val="28"/>
        </w:rPr>
      </w:pPr>
      <w:r w:rsidRPr="00DD7BD1">
        <w:rPr>
          <w:rFonts w:ascii="Calibri" w:hAnsi="Calibri" w:cs="Calibri"/>
          <w:b/>
          <w:bCs/>
          <w:sz w:val="28"/>
          <w:szCs w:val="28"/>
        </w:rPr>
        <w:t>Expanded Pay Transparency Regulations –</w:t>
      </w:r>
      <w:r w:rsidRPr="00DD7BD1">
        <w:rPr>
          <w:rFonts w:ascii="Calibri" w:hAnsi="Calibri" w:cs="Calibri"/>
        </w:rPr>
        <w:t xml:space="preserve"> </w:t>
      </w:r>
      <w:r w:rsidRPr="00DD7BD1">
        <w:rPr>
          <w:rFonts w:ascii="Calibri" w:hAnsi="Calibri" w:cs="Calibri"/>
          <w:b/>
          <w:bCs/>
          <w:color w:val="C00000"/>
          <w:sz w:val="28"/>
          <w:szCs w:val="28"/>
        </w:rPr>
        <w:t>Ju</w:t>
      </w:r>
      <w:r w:rsidR="00080317" w:rsidRPr="00DD7BD1">
        <w:rPr>
          <w:rFonts w:ascii="Calibri" w:hAnsi="Calibri" w:cs="Calibri"/>
          <w:b/>
          <w:bCs/>
          <w:color w:val="C00000"/>
          <w:sz w:val="28"/>
          <w:szCs w:val="28"/>
        </w:rPr>
        <w:t>ne 1</w:t>
      </w:r>
      <w:r w:rsidR="006A0C8C" w:rsidRPr="00DD7BD1">
        <w:rPr>
          <w:rFonts w:ascii="Calibri" w:hAnsi="Calibri" w:cs="Calibri"/>
          <w:b/>
          <w:bCs/>
          <w:color w:val="C00000"/>
          <w:sz w:val="28"/>
          <w:szCs w:val="28"/>
        </w:rPr>
        <w:t>, 2025</w:t>
      </w:r>
    </w:p>
    <w:p w14:paraId="7AF4E46C" w14:textId="77777777" w:rsidR="003B29FD" w:rsidRPr="00DD7BD1" w:rsidRDefault="003B29FD" w:rsidP="003B29FD">
      <w:pPr>
        <w:spacing w:after="0" w:line="240" w:lineRule="auto"/>
        <w:rPr>
          <w:rFonts w:ascii="Calibri" w:hAnsi="Calibri" w:cs="Calibri"/>
        </w:rPr>
      </w:pPr>
      <w:r w:rsidRPr="00DD7BD1">
        <w:rPr>
          <w:rFonts w:ascii="Calibri" w:hAnsi="Calibri" w:cs="Calibri"/>
        </w:rPr>
        <w:t xml:space="preserve">A bill </w:t>
      </w:r>
      <w:proofErr w:type="gramStart"/>
      <w:r w:rsidRPr="00DD7BD1">
        <w:rPr>
          <w:rFonts w:ascii="Calibri" w:hAnsi="Calibri" w:cs="Calibri"/>
        </w:rPr>
        <w:t>signed into effect</w:t>
      </w:r>
      <w:proofErr w:type="gramEnd"/>
      <w:r w:rsidRPr="00DD7BD1">
        <w:rPr>
          <w:rFonts w:ascii="Calibri" w:hAnsi="Calibri" w:cs="Calibri"/>
        </w:rPr>
        <w:t xml:space="preserve"> by Governor Murphy this month (</w:t>
      </w:r>
      <w:hyperlink r:id="rId926" w:history="1">
        <w:r w:rsidRPr="00DD7BD1">
          <w:rPr>
            <w:rStyle w:val="Hyperlink"/>
            <w:rFonts w:ascii="Calibri" w:hAnsi="Calibri" w:cs="Calibri"/>
          </w:rPr>
          <w:t>Senate Bill 2310</w:t>
        </w:r>
      </w:hyperlink>
      <w:r w:rsidRPr="00DD7BD1">
        <w:rPr>
          <w:rFonts w:ascii="Calibri" w:hAnsi="Calibri" w:cs="Calibri"/>
        </w:rPr>
        <w:t>) will only add to employers’ obligations. Starting June 1, 2025, the new law will require you to disclose certain compensation and benefits information in job listings </w:t>
      </w:r>
      <w:r w:rsidRPr="00DD7BD1">
        <w:rPr>
          <w:rFonts w:ascii="Calibri" w:hAnsi="Calibri" w:cs="Calibri"/>
          <w:u w:val="single"/>
        </w:rPr>
        <w:t>and</w:t>
      </w:r>
      <w:r w:rsidRPr="00DD7BD1">
        <w:rPr>
          <w:rFonts w:ascii="Calibri" w:hAnsi="Calibri" w:cs="Calibri"/>
        </w:rPr>
        <w:t> for promotional opportunities.</w:t>
      </w:r>
    </w:p>
    <w:p w14:paraId="1FEC075F" w14:textId="77777777" w:rsidR="003B29FD" w:rsidRPr="00DD7BD1" w:rsidRDefault="003B29FD" w:rsidP="003B29FD">
      <w:pPr>
        <w:spacing w:after="0" w:line="240" w:lineRule="auto"/>
        <w:rPr>
          <w:rFonts w:ascii="Calibri" w:hAnsi="Calibri" w:cs="Calibri"/>
        </w:rPr>
      </w:pPr>
    </w:p>
    <w:p w14:paraId="3CE39A9C"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Currently, </w:t>
      </w:r>
      <w:r w:rsidRPr="00DD7BD1">
        <w:rPr>
          <w:rFonts w:ascii="Calibri" w:hAnsi="Calibri" w:cs="Calibri"/>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New Legislation </w:t>
      </w:r>
      <w:r w:rsidRPr="00DD7BD1">
        <w:rPr>
          <w:rFonts w:ascii="Calibri" w:hAnsi="Calibri" w:cs="Calibri"/>
        </w:rPr>
        <w:t>will require pay transparency for both promotional opportunities </w:t>
      </w:r>
      <w:r w:rsidRPr="00DD7BD1">
        <w:rPr>
          <w:rFonts w:ascii="Calibri" w:hAnsi="Calibri" w:cs="Calibri"/>
          <w:u w:val="single"/>
        </w:rPr>
        <w:t>and</w:t>
      </w:r>
      <w:r w:rsidRPr="00DD7BD1">
        <w:rPr>
          <w:rFonts w:ascii="Calibri" w:hAnsi="Calibri" w:cs="Calibri"/>
        </w:rPr>
        <w:t> employment listings. The requirements will apply to New Jersey employers with 10 or more employees over 20 calendar weeks that do business, employ workers, or take applications for employment in the state.   Employers will need to disclose the hourly wage or salary (or range) and a general description of benefits and other compensation programs for which the employee would be eligible. This information is to be in each posting for a new job, as well as transfer opportunities that are advertised externally or internally. </w:t>
      </w:r>
    </w:p>
    <w:p w14:paraId="6A9612F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Job Postings</w:t>
      </w:r>
      <w:r w:rsidRPr="00DD7BD1">
        <w:rPr>
          <w:rFonts w:ascii="Calibri" w:hAnsi="Calibri" w:cs="Calibri"/>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Promotion Opportunities</w:t>
      </w:r>
      <w:r w:rsidRPr="00DD7BD1">
        <w:rPr>
          <w:rFonts w:ascii="Calibri" w:hAnsi="Calibri" w:cs="Calibri"/>
          <w:sz w:val="22"/>
          <w:szCs w:val="22"/>
        </w:rPr>
        <w:br/>
        <w:t>Before making promotion decisions, employers need to make reasonable efforts to notify employees in the affected departments about promotion opportunities that have been advertised, either internally or externally. A </w:t>
      </w:r>
      <w:r w:rsidRPr="00DD7BD1">
        <w:rPr>
          <w:rStyle w:val="Strong"/>
          <w:rFonts w:ascii="Calibri" w:hAnsi="Calibri" w:cs="Calibri"/>
          <w:i/>
          <w:iCs/>
          <w:sz w:val="22"/>
          <w:szCs w:val="22"/>
        </w:rPr>
        <w:t>promotion </w:t>
      </w:r>
      <w:r w:rsidRPr="00DD7BD1">
        <w:rPr>
          <w:rFonts w:ascii="Calibri" w:hAnsi="Calibri" w:cs="Calibri"/>
          <w:sz w:val="22"/>
          <w:szCs w:val="22"/>
        </w:rPr>
        <w:t>is defined as a change in job title </w:t>
      </w:r>
      <w:r w:rsidRPr="00DD7BD1">
        <w:rPr>
          <w:rFonts w:ascii="Calibri" w:hAnsi="Calibri" w:cs="Calibri"/>
          <w:i/>
          <w:iCs/>
          <w:sz w:val="22"/>
          <w:szCs w:val="22"/>
        </w:rPr>
        <w:t>and </w:t>
      </w:r>
      <w:r w:rsidRPr="00DD7BD1">
        <w:rPr>
          <w:rFonts w:ascii="Calibri" w:hAnsi="Calibri" w:cs="Calibri"/>
          <w:sz w:val="22"/>
          <w:szCs w:val="22"/>
        </w:rPr>
        <w:t>an increase in compensation.</w:t>
      </w:r>
    </w:p>
    <w:p w14:paraId="58104604" w14:textId="4318AB99" w:rsidR="00F45F26" w:rsidRPr="00DD7BD1" w:rsidRDefault="002756C0" w:rsidP="00F45F26">
      <w:pPr>
        <w:pStyle w:val="NormalWeb"/>
        <w:shd w:val="clear" w:color="auto" w:fill="FFFFFF"/>
        <w:ind w:left="360"/>
        <w:rPr>
          <w:rFonts w:ascii="Calibri" w:hAnsi="Calibri" w:cs="Calibri"/>
          <w:sz w:val="22"/>
          <w:szCs w:val="22"/>
        </w:rPr>
      </w:pPr>
      <w:r w:rsidRPr="00DD7BD1">
        <w:rPr>
          <w:rFonts w:ascii="Calibri" w:hAnsi="Calibri" w:cs="Calibri"/>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24EE767" w14:textId="1D6724BA" w:rsidR="00F45F26" w:rsidRPr="00DD7BD1" w:rsidRDefault="00F45F26" w:rsidP="00D81793">
      <w:pPr>
        <w:spacing w:line="278" w:lineRule="auto"/>
        <w:rPr>
          <w:rFonts w:ascii="Calibri" w:hAnsi="Calibri" w:cs="Calibri"/>
        </w:rPr>
      </w:pPr>
      <w:r w:rsidRPr="00DD7BD1">
        <w:rPr>
          <w:rFonts w:ascii="Calibri" w:hAnsi="Calibri" w:cs="Calibri"/>
          <w:b/>
          <w:bCs/>
        </w:rPr>
        <w:t>The New Jersey Department of Labor (NJ DOL) has now provided interpretative guidance on the new law in an</w:t>
      </w:r>
      <w:r w:rsidRPr="00DD7BD1">
        <w:rPr>
          <w:rFonts w:ascii="Calibri" w:hAnsi="Calibri" w:cs="Calibri"/>
        </w:rPr>
        <w:t> </w:t>
      </w:r>
      <w:hyperlink r:id="rId927" w:tgtFrame="_blank" w:history="1">
        <w:r w:rsidRPr="00DD7BD1">
          <w:rPr>
            <w:rStyle w:val="Hyperlink"/>
            <w:rFonts w:ascii="Calibri" w:hAnsi="Calibri" w:cs="Calibri"/>
          </w:rPr>
          <w:t>FAQ</w:t>
        </w:r>
      </w:hyperlink>
      <w:r w:rsidRPr="00DD7BD1">
        <w:rPr>
          <w:rFonts w:ascii="Calibri" w:hAnsi="Calibri" w:cs="Calibri"/>
        </w:rPr>
        <w:t>.</w:t>
      </w:r>
    </w:p>
    <w:p w14:paraId="7DB86724" w14:textId="0DB5E866" w:rsidR="00A33FCC" w:rsidRPr="00DD7BD1" w:rsidRDefault="00A33FCC" w:rsidP="00A33FC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Upcoming Deadlines for RetireReady NJ - </w:t>
      </w:r>
      <w:r w:rsidRPr="00DD7BD1">
        <w:rPr>
          <w:rFonts w:ascii="Calibri" w:hAnsi="Calibri" w:cs="Calibri"/>
          <w:b/>
          <w:bCs/>
          <w:color w:val="C00000"/>
          <w:sz w:val="28"/>
          <w:szCs w:val="28"/>
          <w:shd w:val="clear" w:color="auto" w:fill="FFFFFF"/>
          <w:lang w:val="en"/>
        </w:rPr>
        <w:t>Sept &amp; Nov 2024</w:t>
      </w:r>
    </w:p>
    <w:p w14:paraId="2659C2CC" w14:textId="77777777" w:rsidR="00A33FCC" w:rsidRPr="00DD7BD1" w:rsidRDefault="00A33FCC" w:rsidP="00A33FCC">
      <w:pPr>
        <w:pStyle w:val="BodyText"/>
        <w:spacing w:after="0" w:line="240" w:lineRule="auto"/>
        <w:rPr>
          <w:rFonts w:cs="Calibri"/>
          <w:b/>
          <w:bCs/>
          <w:szCs w:val="22"/>
        </w:rPr>
      </w:pPr>
      <w:r w:rsidRPr="00DD7BD1">
        <w:rPr>
          <w:rFonts w:cs="Calibri"/>
          <w:color w:val="auto"/>
          <w:szCs w:val="22"/>
        </w:rPr>
        <w:t xml:space="preserve">Employers that are required to participate in New Jersey’s state-facilitated individual retirement account (IRA) savings program—known as </w:t>
      </w:r>
      <w:hyperlink r:id="rId928" w:history="1">
        <w:r w:rsidRPr="00DD7BD1">
          <w:rPr>
            <w:rStyle w:val="Hyperlink"/>
            <w:rFonts w:cs="Calibri"/>
            <w:szCs w:val="22"/>
          </w:rPr>
          <w:t>RetireReady NJ</w:t>
        </w:r>
      </w:hyperlink>
      <w:r w:rsidRPr="00DD7BD1">
        <w:rPr>
          <w:rFonts w:cs="Calibri"/>
          <w:szCs w:val="22"/>
        </w:rPr>
        <w:t>—</w:t>
      </w:r>
      <w:r w:rsidRPr="00DD7BD1">
        <w:rPr>
          <w:rFonts w:cs="Calibri"/>
          <w:b/>
          <w:bCs/>
          <w:color w:val="auto"/>
          <w:szCs w:val="22"/>
        </w:rPr>
        <w:t>must register or certify an exemption this Fall.</w:t>
      </w:r>
      <w:r w:rsidRPr="00DD7BD1">
        <w:rPr>
          <w:rFonts w:cs="Calibri"/>
          <w:color w:val="auto"/>
          <w:szCs w:val="22"/>
        </w:rPr>
        <w:t xml:space="preserve">  To learn more access the September HR WIRE.</w:t>
      </w:r>
    </w:p>
    <w:p w14:paraId="5C92C32E"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Sept. 15, 2024 - Employers with 40 or more employees must register by this date.</w:t>
      </w:r>
    </w:p>
    <w:p w14:paraId="0556A8F6"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Nov. 15, 2024 - Employers with 25-39 employees must register by this date.</w:t>
      </w:r>
    </w:p>
    <w:p w14:paraId="7BC2DD80" w14:textId="77777777" w:rsidR="00A33FCC" w:rsidRPr="00DD7BD1" w:rsidRDefault="00A33FCC" w:rsidP="00472E17">
      <w:pPr>
        <w:spacing w:after="0" w:line="240" w:lineRule="auto"/>
        <w:jc w:val="both"/>
        <w:rPr>
          <w:rFonts w:ascii="Calibri" w:hAnsi="Calibri" w:cs="Calibri"/>
          <w:b/>
          <w:bCs/>
          <w:color w:val="2E74B5" w:themeColor="accent5" w:themeShade="BF"/>
          <w:shd w:val="clear" w:color="auto" w:fill="FFFFFF"/>
          <w:lang w:val="en"/>
        </w:rPr>
      </w:pPr>
    </w:p>
    <w:p w14:paraId="255B1C1C" w14:textId="77777777"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State’s Secure Choice Retirement Savings Program Operational on </w:t>
      </w:r>
      <w:r w:rsidRPr="00DD7BD1">
        <w:rPr>
          <w:rFonts w:ascii="Calibri" w:hAnsi="Calibri" w:cs="Calibri"/>
          <w:b/>
          <w:bCs/>
          <w:color w:val="C00000"/>
          <w:sz w:val="28"/>
          <w:szCs w:val="28"/>
          <w:shd w:val="clear" w:color="auto" w:fill="FFFFFF"/>
          <w:lang w:val="en"/>
        </w:rPr>
        <w:t>June 30, 2024</w:t>
      </w:r>
    </w:p>
    <w:p w14:paraId="33522907"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September 15, 2024</w:t>
      </w:r>
      <w:r w:rsidRPr="00DD7BD1">
        <w:rPr>
          <w:rFonts w:ascii="Calibri" w:hAnsi="Calibri" w:cs="Calibri"/>
          <w:shd w:val="clear" w:color="auto" w:fill="FFFFFF"/>
        </w:rPr>
        <w:t>, for covered employers with 40 or more employees; and</w:t>
      </w:r>
    </w:p>
    <w:p w14:paraId="06F7041A"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November 15, 2024</w:t>
      </w:r>
      <w:r w:rsidRPr="00DD7BD1">
        <w:rPr>
          <w:rFonts w:ascii="Calibri" w:hAnsi="Calibri" w:cs="Calibri"/>
          <w:shd w:val="clear" w:color="auto" w:fill="FFFFFF"/>
        </w:rPr>
        <w:t>, for covered employers with 25 to 39 employees.</w:t>
      </w:r>
    </w:p>
    <w:p w14:paraId="4D65032E"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Details can be found on the </w:t>
      </w:r>
      <w:hyperlink r:id="rId929" w:history="1">
        <w:r w:rsidRPr="00DD7BD1">
          <w:rPr>
            <w:rStyle w:val="Hyperlink"/>
            <w:rFonts w:ascii="Calibri" w:hAnsi="Calibri" w:cs="Calibri"/>
            <w:shd w:val="clear" w:color="auto" w:fill="FFFFFF"/>
          </w:rPr>
          <w:t>New Jersey Secure Choice Retirement Savings Program</w:t>
        </w:r>
      </w:hyperlink>
      <w:r w:rsidRPr="00DD7BD1">
        <w:rPr>
          <w:rFonts w:ascii="Calibri" w:hAnsi="Calibri" w:cs="Calibri"/>
          <w:shd w:val="clear" w:color="auto" w:fill="FFFFFF"/>
        </w:rPr>
        <w:t> page.</w:t>
      </w:r>
    </w:p>
    <w:p w14:paraId="09D75817" w14:textId="77777777" w:rsidR="001C5F42" w:rsidRPr="00DD7BD1" w:rsidRDefault="001C5F42" w:rsidP="00472E17">
      <w:pPr>
        <w:spacing w:after="0" w:line="240" w:lineRule="auto"/>
        <w:jc w:val="center"/>
        <w:rPr>
          <w:rStyle w:val="Strong"/>
          <w:rFonts w:ascii="Calibri" w:eastAsia="Times New Roman" w:hAnsi="Calibri" w:cs="Calibri"/>
        </w:rPr>
      </w:pPr>
    </w:p>
    <w:p w14:paraId="2D109F9C" w14:textId="093D2594" w:rsidR="00472E17" w:rsidRPr="00DD7BD1" w:rsidRDefault="00472E17" w:rsidP="00472E17">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State Issues FAQs on Family Leave Act</w:t>
      </w:r>
    </w:p>
    <w:p w14:paraId="71C801EE" w14:textId="77777777" w:rsidR="00472E17" w:rsidRPr="00DD7BD1" w:rsidRDefault="00472E17" w:rsidP="00472E17">
      <w:pPr>
        <w:pStyle w:val="BodyText"/>
        <w:spacing w:after="0" w:line="240" w:lineRule="auto"/>
        <w:rPr>
          <w:rFonts w:cs="Calibri"/>
          <w:color w:val="auto"/>
          <w:szCs w:val="22"/>
        </w:rPr>
      </w:pPr>
      <w:r w:rsidRPr="00DD7BD1">
        <w:rPr>
          <w:rFonts w:cs="Calibri"/>
          <w:color w:val="auto"/>
          <w:szCs w:val="22"/>
        </w:rPr>
        <w:t xml:space="preserve">Enacted in 1989, the NJFLA applies to private employers with 30 or more employees worldwide and to state and local government agencies. </w:t>
      </w:r>
    </w:p>
    <w:p w14:paraId="0AFA6BB3" w14:textId="2A6448CC" w:rsidR="00472E17" w:rsidRPr="00DD7BD1" w:rsidRDefault="00472E17" w:rsidP="00472E17">
      <w:pPr>
        <w:pStyle w:val="BodyText"/>
        <w:spacing w:after="0" w:line="240" w:lineRule="auto"/>
        <w:rPr>
          <w:rFonts w:cs="Calibri"/>
          <w:color w:val="auto"/>
          <w:szCs w:val="22"/>
        </w:rPr>
      </w:pPr>
      <w:r w:rsidRPr="00DD7BD1">
        <w:rPr>
          <w:rFonts w:cs="Calibri"/>
          <w:color w:val="auto"/>
          <w:szCs w:val="22"/>
        </w:rPr>
        <w:t>The New Jersey Division on Civil Rights has published</w:t>
      </w:r>
      <w:r w:rsidRPr="00DD7BD1">
        <w:rPr>
          <w:rFonts w:cs="Calibri"/>
        </w:rPr>
        <w:t xml:space="preserve"> </w:t>
      </w:r>
      <w:hyperlink r:id="rId930" w:history="1">
        <w:r w:rsidRPr="00DD7BD1">
          <w:rPr>
            <w:rStyle w:val="Hyperlink"/>
            <w:rFonts w:cs="Calibri"/>
          </w:rPr>
          <w:t>answers to frequently asked questions</w:t>
        </w:r>
      </w:hyperlink>
      <w:r w:rsidRPr="00DD7BD1">
        <w:rPr>
          <w:rFonts w:cs="Calibri"/>
        </w:rPr>
        <w:t xml:space="preserve"> </w:t>
      </w:r>
      <w:r w:rsidRPr="00DD7BD1">
        <w:rPr>
          <w:rFonts w:cs="Calibri"/>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DD7BD1" w:rsidRDefault="00472E17" w:rsidP="00472E17">
      <w:pPr>
        <w:pStyle w:val="BodyText"/>
        <w:spacing w:after="0" w:line="240" w:lineRule="auto"/>
        <w:rPr>
          <w:rFonts w:cs="Calibri"/>
          <w:color w:val="auto"/>
          <w:sz w:val="16"/>
          <w:szCs w:val="16"/>
        </w:rPr>
      </w:pPr>
    </w:p>
    <w:p w14:paraId="1635E8A5" w14:textId="4F56F847" w:rsidR="00D81793" w:rsidRPr="00DD7BD1" w:rsidRDefault="00D81793"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Mexico</w:t>
      </w:r>
    </w:p>
    <w:p w14:paraId="63DEAA8D" w14:textId="77777777" w:rsidR="00D04D54" w:rsidRPr="00DD7BD1" w:rsidRDefault="00D04D54" w:rsidP="00D04D54">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Santa Fe and Santa Fe County Minimum Wage Increases – </w:t>
      </w:r>
      <w:r w:rsidRPr="00DD7BD1">
        <w:rPr>
          <w:rFonts w:ascii="Calibri" w:hAnsi="Calibri" w:cs="Calibri"/>
          <w:b/>
          <w:bCs/>
          <w:color w:val="C00000"/>
          <w:sz w:val="28"/>
          <w:szCs w:val="28"/>
          <w:shd w:val="clear" w:color="auto" w:fill="FFFFFF"/>
          <w:lang w:val="en"/>
        </w:rPr>
        <w:t>Eff Mar 1, 2026</w:t>
      </w:r>
    </w:p>
    <w:p w14:paraId="7041D676" w14:textId="77777777" w:rsidR="00D04D54" w:rsidRPr="00DD7BD1" w:rsidRDefault="00D04D54" w:rsidP="00D04D54">
      <w:pPr>
        <w:spacing w:after="0" w:line="240" w:lineRule="auto"/>
        <w:ind w:left="90"/>
        <w:rPr>
          <w:rFonts w:ascii="Calibri" w:hAnsi="Calibri" w:cs="Calibri"/>
          <w:shd w:val="clear" w:color="auto" w:fill="FFFFFF"/>
          <w:lang w:val="en"/>
        </w:rPr>
      </w:pPr>
      <w:r w:rsidRPr="00DD7BD1">
        <w:rPr>
          <w:rFonts w:ascii="Calibri" w:hAnsi="Calibri" w:cs="Calibri"/>
          <w:shd w:val="clear" w:color="auto" w:fill="FFFFFF"/>
        </w:rPr>
        <w:t>The minimum wage for employees in the city of Santa Fe and unincorporated Santa Fe County will increase to $15.40 per hour. The base wage for tipped employees in Santa Fe County will increase to $4.62 per hour while the city of Santa Fe will continue to match the state rate of $3.00 per hour.</w:t>
      </w:r>
    </w:p>
    <w:p w14:paraId="7ABE3570" w14:textId="77777777" w:rsidR="00D81793" w:rsidRPr="00DD7BD1" w:rsidRDefault="00D81793" w:rsidP="00676358">
      <w:pPr>
        <w:spacing w:after="0" w:line="240" w:lineRule="auto"/>
        <w:jc w:val="both"/>
        <w:rPr>
          <w:rFonts w:ascii="Calibri" w:hAnsi="Calibri" w:cs="Calibri"/>
          <w:b/>
          <w:bCs/>
          <w:color w:val="2E74B5" w:themeColor="accent5" w:themeShade="BF"/>
          <w:shd w:val="clear" w:color="auto" w:fill="FFFFFF"/>
          <w:lang w:val="en"/>
        </w:rPr>
      </w:pPr>
    </w:p>
    <w:p w14:paraId="064BF6E7" w14:textId="18F8A746" w:rsidR="00AD4A8E" w:rsidRPr="00DD7BD1" w:rsidRDefault="00472E17"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York</w:t>
      </w:r>
    </w:p>
    <w:p w14:paraId="18A4A392" w14:textId="77777777" w:rsidR="00672C7B" w:rsidRDefault="00672C7B" w:rsidP="00672C7B">
      <w:pPr>
        <w:rPr>
          <w:b/>
          <w:bCs/>
          <w:caps/>
          <w:color w:val="0070C0"/>
          <w:sz w:val="28"/>
          <w:szCs w:val="28"/>
        </w:rPr>
      </w:pPr>
      <w:r>
        <w:rPr>
          <w:b/>
          <w:bCs/>
          <w:caps/>
          <w:color w:val="0070C0"/>
          <w:sz w:val="28"/>
          <w:szCs w:val="28"/>
        </w:rPr>
        <w:t>New!</w:t>
      </w:r>
      <w:r w:rsidRPr="003B1174">
        <w:rPr>
          <w:b/>
          <w:bCs/>
          <w:caps/>
          <w:color w:val="0070C0"/>
          <w:sz w:val="28"/>
          <w:szCs w:val="28"/>
        </w:rPr>
        <w:t xml:space="preserve"> </w:t>
      </w:r>
      <w:r w:rsidRPr="003B1174">
        <w:rPr>
          <w:b/>
          <w:bCs/>
          <w:caps/>
          <w:noProof/>
          <w:color w:val="0E425C"/>
          <w:sz w:val="28"/>
          <w:szCs w:val="28"/>
          <w:u w:val="single"/>
        </w:rPr>
        <w:t>New York City</w:t>
      </w:r>
      <w:r w:rsidRPr="003B1174">
        <w:rPr>
          <w:b/>
          <w:bCs/>
          <w:caps/>
          <w:noProof/>
          <w:color w:val="0E425C"/>
          <w:sz w:val="28"/>
          <w:szCs w:val="28"/>
        </w:rPr>
        <w:t xml:space="preserve"> Amends </w:t>
      </w:r>
      <w:r>
        <w:rPr>
          <w:b/>
          <w:bCs/>
          <w:caps/>
          <w:noProof/>
          <w:color w:val="0E425C"/>
          <w:sz w:val="28"/>
          <w:szCs w:val="28"/>
        </w:rPr>
        <w:t>Sick &amp; Safe Time</w:t>
      </w:r>
      <w:r w:rsidRPr="003B1174">
        <w:rPr>
          <w:b/>
          <w:bCs/>
          <w:caps/>
          <w:noProof/>
          <w:color w:val="0E425C"/>
          <w:sz w:val="28"/>
          <w:szCs w:val="28"/>
        </w:rPr>
        <w:t xml:space="preserve"> Rules Effective </w:t>
      </w:r>
      <w:r w:rsidRPr="003B1174">
        <w:rPr>
          <w:b/>
          <w:bCs/>
          <w:caps/>
          <w:color w:val="0070C0"/>
          <w:sz w:val="28"/>
          <w:szCs w:val="28"/>
        </w:rPr>
        <w:t>July 23, 2026</w:t>
      </w:r>
    </w:p>
    <w:p w14:paraId="7F23DFF7" w14:textId="77777777" w:rsidR="00672C7B" w:rsidRPr="00530B66" w:rsidRDefault="00672C7B" w:rsidP="00672C7B">
      <w:pPr>
        <w:rPr>
          <w:b/>
          <w:bCs/>
          <w:caps/>
          <w:color w:val="0070C0"/>
          <w:sz w:val="28"/>
          <w:szCs w:val="28"/>
        </w:rPr>
      </w:pPr>
      <w:r w:rsidRPr="00AA509A">
        <w:rPr>
          <w:rFonts w:eastAsia="Times New Roman"/>
          <w:sz w:val="26"/>
          <w:szCs w:val="26"/>
        </w:rPr>
        <w:t>For pay periods starting after July 23, 2026, New York City’s Earned Safe and Sick Time Act (ESSTA) rules apply to employers of all sizes.</w:t>
      </w:r>
    </w:p>
    <w:p w14:paraId="1E541552" w14:textId="77777777" w:rsidR="00672C7B" w:rsidRPr="00AA509A" w:rsidRDefault="00672C7B" w:rsidP="00672C7B">
      <w:pPr>
        <w:rPr>
          <w:rFonts w:eastAsia="Times New Roman"/>
          <w:sz w:val="26"/>
          <w:szCs w:val="26"/>
        </w:rPr>
      </w:pPr>
      <w:r w:rsidRPr="00AA509A">
        <w:rPr>
          <w:rFonts w:eastAsia="Times New Roman"/>
          <w:sz w:val="26"/>
          <w:szCs w:val="26"/>
        </w:rPr>
        <w:t xml:space="preserve">Under the amended rules, the required ESSTA </w:t>
      </w:r>
      <w:proofErr w:type="gramStart"/>
      <w:r w:rsidRPr="00AA509A">
        <w:rPr>
          <w:rFonts w:eastAsia="Times New Roman"/>
          <w:sz w:val="26"/>
          <w:szCs w:val="26"/>
        </w:rPr>
        <w:t>leave</w:t>
      </w:r>
      <w:proofErr w:type="gramEnd"/>
      <w:r w:rsidRPr="00AA509A">
        <w:rPr>
          <w:rFonts w:eastAsia="Times New Roman"/>
          <w:sz w:val="26"/>
          <w:szCs w:val="26"/>
        </w:rPr>
        <w:t xml:space="preserve"> information that employers must provide to employees in writing each pay </w:t>
      </w:r>
      <w:proofErr w:type="gramStart"/>
      <w:r w:rsidRPr="00AA509A">
        <w:rPr>
          <w:rFonts w:eastAsia="Times New Roman"/>
          <w:sz w:val="26"/>
          <w:szCs w:val="26"/>
        </w:rPr>
        <w:t>period—i</w:t>
      </w:r>
      <w:proofErr w:type="gramEnd"/>
      <w:r w:rsidRPr="00AA509A">
        <w:rPr>
          <w:rFonts w:eastAsia="Times New Roman"/>
          <w:sz w:val="26"/>
          <w:szCs w:val="26"/>
        </w:rPr>
        <w:t>.e., accrued, used, and total leave balances—will need to be </w:t>
      </w:r>
      <w:r w:rsidRPr="00AA509A">
        <w:rPr>
          <w:rFonts w:eastAsia="Times New Roman"/>
          <w:sz w:val="26"/>
          <w:szCs w:val="26"/>
          <w:u w:val="single"/>
        </w:rPr>
        <w:t>separated into paid and unpaid leave</w:t>
      </w:r>
      <w:r w:rsidRPr="00AA509A">
        <w:rPr>
          <w:rFonts w:eastAsia="Times New Roman"/>
          <w:sz w:val="26"/>
          <w:szCs w:val="26"/>
        </w:rPr>
        <w:t>. This information is typically provided on a pay stub, though any written format is acceptable.</w:t>
      </w:r>
    </w:p>
    <w:p w14:paraId="1AC2B7BE" w14:textId="77777777" w:rsidR="00672C7B" w:rsidRPr="00AA509A" w:rsidRDefault="00672C7B" w:rsidP="00672C7B">
      <w:pPr>
        <w:rPr>
          <w:rFonts w:eastAsia="Times New Roman"/>
          <w:sz w:val="26"/>
          <w:szCs w:val="26"/>
          <w:u w:val="single"/>
        </w:rPr>
      </w:pPr>
      <w:r w:rsidRPr="00AA509A">
        <w:rPr>
          <w:rFonts w:eastAsia="Times New Roman"/>
          <w:sz w:val="26"/>
          <w:szCs w:val="26"/>
        </w:rPr>
        <w:t xml:space="preserve">Additionally, employers that use an electronic system that allows employees to access their ESSTA information directly </w:t>
      </w:r>
      <w:r w:rsidRPr="00AA509A">
        <w:rPr>
          <w:rFonts w:eastAsia="Times New Roman"/>
          <w:sz w:val="26"/>
          <w:szCs w:val="26"/>
          <w:u w:val="single"/>
        </w:rPr>
        <w:t>will need to give terminated employees continued access for at least 6 months or provide a written statement with the required information from their final pay period within one week of their last payday.</w:t>
      </w:r>
    </w:p>
    <w:p w14:paraId="3B0FBC68" w14:textId="77777777" w:rsidR="00672C7B" w:rsidRPr="00AA509A" w:rsidRDefault="00672C7B" w:rsidP="00672C7B">
      <w:pPr>
        <w:rPr>
          <w:rFonts w:eastAsia="Times New Roman"/>
          <w:sz w:val="26"/>
          <w:szCs w:val="26"/>
        </w:rPr>
      </w:pPr>
      <w:r w:rsidRPr="00AA509A">
        <w:rPr>
          <w:rFonts w:eastAsia="Times New Roman"/>
          <w:sz w:val="26"/>
          <w:szCs w:val="26"/>
        </w:rPr>
        <w:t>Another obligation includes employers being required to reinstate unused, unpaid Safe and Sick Time for employees rehired within the same calendar year.</w:t>
      </w:r>
    </w:p>
    <w:p w14:paraId="4A6826C8" w14:textId="3688A77C" w:rsidR="00672C7B" w:rsidRPr="00672C7B" w:rsidRDefault="00672C7B" w:rsidP="00204F44">
      <w:pPr>
        <w:rPr>
          <w:b/>
          <w:bCs/>
          <w:caps/>
          <w:color w:val="0070C0"/>
          <w:sz w:val="28"/>
          <w:szCs w:val="28"/>
        </w:rPr>
      </w:pPr>
      <w:r w:rsidRPr="00AA509A">
        <w:rPr>
          <w:rFonts w:eastAsia="Times New Roman"/>
          <w:sz w:val="26"/>
          <w:szCs w:val="26"/>
        </w:rPr>
        <w:t xml:space="preserve">There are two additional reminders for employers. </w:t>
      </w:r>
      <w:r w:rsidRPr="00131B19">
        <w:rPr>
          <w:sz w:val="26"/>
          <w:szCs w:val="26"/>
        </w:rPr>
        <w:t>First</w:t>
      </w:r>
      <w:r w:rsidRPr="00AA509A">
        <w:rPr>
          <w:rFonts w:eastAsia="Times New Roman"/>
          <w:sz w:val="26"/>
          <w:szCs w:val="26"/>
        </w:rPr>
        <w:t xml:space="preserve">, at least 32 hours of safe and sick leave, whether paid or unpaid, must be made immediately available on an employee’s first day of employment and on the first day of each calendar year, and an employee may also be eligible for up to 40 or 56 hours of paid safe and sick time in addition to the </w:t>
      </w:r>
      <w:proofErr w:type="gramStart"/>
      <w:r w:rsidRPr="00AA509A">
        <w:rPr>
          <w:rFonts w:eastAsia="Times New Roman"/>
          <w:sz w:val="26"/>
          <w:szCs w:val="26"/>
        </w:rPr>
        <w:t>aforementioned 32</w:t>
      </w:r>
      <w:proofErr w:type="gramEnd"/>
      <w:r w:rsidRPr="00AA509A">
        <w:rPr>
          <w:rFonts w:eastAsia="Times New Roman"/>
          <w:sz w:val="26"/>
          <w:szCs w:val="26"/>
        </w:rPr>
        <w:t xml:space="preserve"> hours. </w:t>
      </w:r>
      <w:r w:rsidRPr="00131B19">
        <w:rPr>
          <w:sz w:val="26"/>
          <w:szCs w:val="26"/>
        </w:rPr>
        <w:t>Second,</w:t>
      </w:r>
      <w:r w:rsidRPr="00AA509A">
        <w:rPr>
          <w:rFonts w:eastAsia="Times New Roman"/>
          <w:sz w:val="26"/>
          <w:szCs w:val="26"/>
        </w:rPr>
        <w:t xml:space="preserve"> as it applies to salaried-exempt </w:t>
      </w:r>
      <w:r w:rsidRPr="00AA509A">
        <w:rPr>
          <w:rFonts w:eastAsia="Times New Roman"/>
          <w:sz w:val="26"/>
          <w:szCs w:val="26"/>
        </w:rPr>
        <w:lastRenderedPageBreak/>
        <w:t xml:space="preserve">employees, </w:t>
      </w:r>
      <w:r w:rsidRPr="00131B19">
        <w:rPr>
          <w:sz w:val="26"/>
          <w:szCs w:val="26"/>
        </w:rPr>
        <w:t>employers</w:t>
      </w:r>
      <w:r w:rsidRPr="00AA509A">
        <w:rPr>
          <w:rFonts w:eastAsia="Times New Roman"/>
          <w:sz w:val="26"/>
          <w:szCs w:val="26"/>
        </w:rPr>
        <w:t xml:space="preserve"> should continue to pay such employees their full salary for unpaid sick time when use results in only partial-day absences.</w:t>
      </w:r>
    </w:p>
    <w:p w14:paraId="243EEA4E" w14:textId="0130DBAD"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1CAF7433" w14:textId="77777777" w:rsidR="00204F44" w:rsidRPr="0055141A" w:rsidRDefault="00204F44">
      <w:pPr>
        <w:pStyle w:val="ListParagraph"/>
        <w:numPr>
          <w:ilvl w:val="0"/>
          <w:numId w:val="372"/>
        </w:numPr>
        <w:spacing w:after="100" w:line="276" w:lineRule="auto"/>
      </w:pPr>
      <w:r w:rsidRPr="0055141A">
        <w:rPr>
          <w:caps/>
          <w:color w:val="0E425C"/>
        </w:rPr>
        <w:t xml:space="preserve">Workplace 1st Aid Requirements &amp; Opioid Antagonists - </w:t>
      </w:r>
      <w:r w:rsidRPr="0055141A">
        <w:rPr>
          <w:caps/>
          <w:color w:val="0070C0"/>
        </w:rPr>
        <w:t>June 10, 2026</w:t>
      </w:r>
    </w:p>
    <w:p w14:paraId="44AFF21A" w14:textId="147E4799" w:rsidR="00204F44" w:rsidRPr="00204F44" w:rsidRDefault="00204F44">
      <w:pPr>
        <w:pStyle w:val="ListParagraph"/>
        <w:numPr>
          <w:ilvl w:val="0"/>
          <w:numId w:val="372"/>
        </w:numPr>
        <w:spacing w:after="100" w:line="276" w:lineRule="auto"/>
      </w:pPr>
      <w:r w:rsidRPr="0055141A">
        <w:rPr>
          <w:caps/>
          <w:color w:val="0E425C"/>
        </w:rPr>
        <w:t>State Mandatory Retirement Savings Program Effective March 16, May 15 &amp;</w:t>
      </w:r>
      <w:r w:rsidRPr="0055141A">
        <w:rPr>
          <w:caps/>
          <w:color w:val="0070C0"/>
        </w:rPr>
        <w:t xml:space="preserve"> July 15, 2026</w:t>
      </w:r>
      <w:r w:rsidRPr="0055141A">
        <w:rPr>
          <w:caps/>
          <w:color w:val="0070C0"/>
          <w:sz w:val="26"/>
          <w:szCs w:val="26"/>
        </w:rPr>
        <w:t xml:space="preserve"> </w:t>
      </w:r>
      <w:r w:rsidRPr="00255475">
        <w:rPr>
          <w:shd w:val="clear" w:color="auto" w:fill="FFFFFF"/>
        </w:rPr>
        <w:t>(Employers with 11-14 employees)</w:t>
      </w:r>
    </w:p>
    <w:p w14:paraId="6478362D" w14:textId="471C7A5D" w:rsidR="002C0337" w:rsidRDefault="002C0337" w:rsidP="002C0337">
      <w:r>
        <w:rPr>
          <w:b/>
          <w:bCs/>
          <w:caps/>
          <w:color w:val="0E425C"/>
          <w:sz w:val="26"/>
          <w:szCs w:val="26"/>
        </w:rPr>
        <w:t xml:space="preserve">Reminder: Workplace First Aid Requirements in New York State to Include Opioid Antagonists Starting </w:t>
      </w:r>
      <w:r w:rsidR="00B2755A">
        <w:rPr>
          <w:b/>
          <w:bCs/>
          <w:caps/>
          <w:color w:val="0070C0"/>
          <w:sz w:val="26"/>
          <w:szCs w:val="26"/>
        </w:rPr>
        <w:t>Dec</w:t>
      </w:r>
      <w:r>
        <w:rPr>
          <w:b/>
          <w:bCs/>
          <w:caps/>
          <w:color w:val="0070C0"/>
          <w:sz w:val="26"/>
          <w:szCs w:val="26"/>
        </w:rPr>
        <w:t xml:space="preserve"> 1</w:t>
      </w:r>
      <w:r w:rsidR="00B2755A">
        <w:rPr>
          <w:b/>
          <w:bCs/>
          <w:caps/>
          <w:color w:val="0070C0"/>
          <w:sz w:val="26"/>
          <w:szCs w:val="26"/>
        </w:rPr>
        <w:t>2</w:t>
      </w:r>
      <w:r>
        <w:rPr>
          <w:b/>
          <w:bCs/>
          <w:caps/>
          <w:color w:val="0070C0"/>
          <w:sz w:val="26"/>
          <w:szCs w:val="26"/>
        </w:rPr>
        <w:t>, 2026</w:t>
      </w:r>
    </w:p>
    <w:p w14:paraId="72C35401" w14:textId="77777777" w:rsidR="002C0337" w:rsidRPr="007021C8" w:rsidRDefault="002C0337" w:rsidP="002C0337">
      <w:pPr>
        <w:rPr>
          <w:shd w:val="clear" w:color="auto" w:fill="FFFFFF"/>
        </w:rPr>
      </w:pPr>
      <w:r w:rsidRPr="007021C8">
        <w:rPr>
          <w:shd w:val="clear" w:color="auto" w:fill="FFFFFF"/>
        </w:rPr>
        <w:t>As previously reported, New York expanded its workplace first aid requirements through Senate Bill S5922-A/A2725-A requiring certain employers to include opioid antagonists, such as Narcan, as part of their workplace emergency preparedness efforts.</w:t>
      </w:r>
    </w:p>
    <w:p w14:paraId="4A7AADA3" w14:textId="77777777" w:rsidR="002C0337" w:rsidRPr="00B925FB" w:rsidRDefault="002C0337" w:rsidP="002C0337">
      <w:pPr>
        <w:rPr>
          <w:shd w:val="clear" w:color="auto" w:fill="FFFFFF"/>
        </w:rPr>
      </w:pPr>
      <w:r w:rsidRPr="007021C8">
        <w:rPr>
          <w:shd w:val="clear" w:color="auto" w:fill="FFFFFF"/>
        </w:rPr>
        <w:t>On February 13, 2026, amendments (A9453/S8770) were signed which provided additional clarification for employers. Under the updated regulations, private employers covered by OSHA and required to maintain first aid supplies must also ensure opioid antagonists are available for emergency use in the workplace. Employers are not required to place opioid antagonists in every individual first aid kit, only where first aid is administered.</w:t>
      </w:r>
    </w:p>
    <w:p w14:paraId="5F64290B" w14:textId="77777777" w:rsidR="002C0337" w:rsidRDefault="002C0337" w:rsidP="002C0337">
      <w:r>
        <w:rPr>
          <w:b/>
          <w:bCs/>
          <w:caps/>
          <w:color w:val="0E425C"/>
          <w:sz w:val="26"/>
          <w:szCs w:val="26"/>
        </w:rPr>
        <w:t>Reminder: State Mandatory Retirement Savings Program Effective March 16, May 15 &amp;</w:t>
      </w:r>
      <w:r>
        <w:rPr>
          <w:b/>
          <w:bCs/>
          <w:caps/>
          <w:color w:val="0070C0"/>
          <w:sz w:val="26"/>
          <w:szCs w:val="26"/>
        </w:rPr>
        <w:t xml:space="preserve"> July 15, 2026</w:t>
      </w:r>
    </w:p>
    <w:p w14:paraId="20877B3E" w14:textId="77777777" w:rsidR="002C0337" w:rsidRPr="007021C8" w:rsidRDefault="002C0337" w:rsidP="002C0337">
      <w:pPr>
        <w:rPr>
          <w:shd w:val="clear" w:color="auto" w:fill="FFFFFF"/>
        </w:rPr>
      </w:pPr>
      <w:r w:rsidRPr="007021C8">
        <w:rPr>
          <w:shd w:val="clear" w:color="auto" w:fill="FFFFFF"/>
          <w:lang w:val="en"/>
        </w:rPr>
        <w:t>Though</w:t>
      </w:r>
      <w:r w:rsidRPr="007021C8">
        <w:rPr>
          <w:b/>
          <w:bCs/>
          <w:shd w:val="clear" w:color="auto" w:fill="FFFFFF"/>
          <w:lang w:val="en"/>
        </w:rPr>
        <w:t xml:space="preserve"> </w:t>
      </w:r>
      <w:r w:rsidRPr="007021C8">
        <w:rPr>
          <w:shd w:val="clear" w:color="auto" w:fill="FFFFFF"/>
        </w:rPr>
        <w:t>ETC does not monitor or report on Retirement or Pension matters, it is important that New York employers who do not offer a retirement plan are aware of a new compliance obligation. The New York Secure Choice Savings Program requires covered private-sector employers to automatically enroll their employees in a state-facilitated Roth IRA through payroll deduction. Employers with questions are advised to engage their Retirement Benefits advisor or reach out to the applicable state agency over the mandatory state retirement program.</w:t>
      </w:r>
    </w:p>
    <w:p w14:paraId="201BC599" w14:textId="1E027859" w:rsidR="002C0337" w:rsidRPr="002C0337" w:rsidRDefault="002C0337" w:rsidP="002C0337">
      <w:pPr>
        <w:rPr>
          <w:shd w:val="clear" w:color="auto" w:fill="FFFFFF"/>
        </w:rPr>
      </w:pPr>
      <w:r w:rsidRPr="007021C8">
        <w:rPr>
          <w:b/>
          <w:bCs/>
          <w:shd w:val="clear" w:color="auto" w:fill="FFFFFF"/>
        </w:rPr>
        <w:t>The program uses a phased rollout based on employer size:</w:t>
      </w:r>
      <w:r w:rsidRPr="007021C8">
        <w:rPr>
          <w:shd w:val="clear" w:color="auto" w:fill="FFFFFF"/>
        </w:rPr>
        <w:br/>
      </w:r>
      <w:r w:rsidRPr="007021C8">
        <w:rPr>
          <w:b/>
          <w:bCs/>
          <w:u w:val="single"/>
          <w:shd w:val="clear" w:color="auto" w:fill="FFFFFF"/>
        </w:rPr>
        <w:t>Employer Size</w:t>
      </w:r>
      <w:r w:rsidRPr="007021C8">
        <w:rPr>
          <w:b/>
          <w:bCs/>
          <w:shd w:val="clear" w:color="auto" w:fill="FFFFFF"/>
        </w:rPr>
        <w:t>                   </w:t>
      </w:r>
      <w:r w:rsidRPr="007021C8">
        <w:rPr>
          <w:b/>
          <w:bCs/>
          <w:shd w:val="clear" w:color="auto" w:fill="FFFFFF"/>
        </w:rPr>
        <w:tab/>
      </w:r>
      <w:r w:rsidRPr="007021C8">
        <w:rPr>
          <w:b/>
          <w:bCs/>
          <w:u w:val="single"/>
          <w:shd w:val="clear" w:color="auto" w:fill="FFFFFF"/>
        </w:rPr>
        <w:t>Compliance Deadline</w:t>
      </w:r>
      <w:r w:rsidRPr="00A2630C">
        <w:rPr>
          <w:shd w:val="clear" w:color="auto" w:fill="FFFFFF"/>
        </w:rPr>
        <w:br/>
      </w:r>
      <w:r w:rsidRPr="009057E3">
        <w:rPr>
          <w:shd w:val="clear" w:color="auto" w:fill="FFFFFF"/>
        </w:rPr>
        <w:t>30 or more employees             March 16, 2026</w:t>
      </w:r>
      <w:r w:rsidRPr="009057E3">
        <w:rPr>
          <w:shd w:val="clear" w:color="auto" w:fill="FFFFFF"/>
        </w:rPr>
        <w:br/>
        <w:t>15–29 employees                      May 15, 2026</w:t>
      </w:r>
      <w:r w:rsidRPr="00A817CE">
        <w:rPr>
          <w:color w:val="0070C0"/>
          <w:shd w:val="clear" w:color="auto" w:fill="FFFFFF"/>
        </w:rPr>
        <w:br/>
        <w:t>11–14 employees                      July 15, 2026</w:t>
      </w:r>
    </w:p>
    <w:p w14:paraId="759DA804" w14:textId="074C95CE" w:rsidR="00305AA2" w:rsidRDefault="00305AA2" w:rsidP="00305AA2">
      <w:pPr>
        <w:jc w:val="center"/>
        <w:rPr>
          <w:b/>
          <w:bCs/>
          <w:caps/>
          <w:color w:val="0070C0"/>
          <w:sz w:val="26"/>
          <w:szCs w:val="26"/>
        </w:rPr>
      </w:pPr>
      <w:r>
        <w:rPr>
          <w:b/>
          <w:bCs/>
          <w:caps/>
          <w:color w:val="0070C0"/>
          <w:sz w:val="26"/>
          <w:szCs w:val="26"/>
        </w:rPr>
        <w:t xml:space="preserve">New! </w:t>
      </w:r>
      <w:r w:rsidRPr="00AB4A48">
        <w:rPr>
          <w:b/>
          <w:bCs/>
          <w:caps/>
          <w:noProof/>
          <w:color w:val="0E425C"/>
          <w:sz w:val="26"/>
          <w:szCs w:val="26"/>
        </w:rPr>
        <w:t xml:space="preserve">State’s Trapped at Work Effective Date in Question- effective </w:t>
      </w:r>
      <w:r>
        <w:rPr>
          <w:b/>
          <w:bCs/>
          <w:caps/>
          <w:color w:val="0070C0"/>
          <w:sz w:val="26"/>
          <w:szCs w:val="26"/>
        </w:rPr>
        <w:t xml:space="preserve">December 19, </w:t>
      </w:r>
      <w:proofErr w:type="gramStart"/>
      <w:r>
        <w:rPr>
          <w:b/>
          <w:bCs/>
          <w:caps/>
          <w:color w:val="0070C0"/>
          <w:sz w:val="26"/>
          <w:szCs w:val="26"/>
        </w:rPr>
        <w:t>2026</w:t>
      </w:r>
      <w:proofErr w:type="gramEnd"/>
      <w:r>
        <w:rPr>
          <w:b/>
          <w:bCs/>
          <w:caps/>
          <w:color w:val="0070C0"/>
          <w:sz w:val="26"/>
          <w:szCs w:val="26"/>
        </w:rPr>
        <w:t xml:space="preserve"> </w:t>
      </w:r>
      <w:r w:rsidRPr="00AB4A48">
        <w:rPr>
          <w:b/>
          <w:bCs/>
          <w:caps/>
          <w:noProof/>
          <w:color w:val="0E425C"/>
          <w:sz w:val="26"/>
          <w:szCs w:val="26"/>
        </w:rPr>
        <w:t xml:space="preserve">or </w:t>
      </w:r>
      <w:r>
        <w:rPr>
          <w:b/>
          <w:bCs/>
          <w:caps/>
          <w:color w:val="0070C0"/>
          <w:sz w:val="26"/>
          <w:szCs w:val="26"/>
        </w:rPr>
        <w:t>February 13, 2027</w:t>
      </w:r>
      <w:r w:rsidRPr="00AB4A48">
        <w:rPr>
          <w:b/>
          <w:bCs/>
          <w:caps/>
          <w:noProof/>
          <w:color w:val="0E425C"/>
          <w:sz w:val="26"/>
          <w:szCs w:val="26"/>
        </w:rPr>
        <w:t>?</w:t>
      </w:r>
    </w:p>
    <w:p w14:paraId="3C4385B5" w14:textId="77777777" w:rsidR="00305AA2" w:rsidRDefault="00305AA2" w:rsidP="00305AA2">
      <w:pPr>
        <w:rPr>
          <w:b/>
          <w:bCs/>
          <w:shd w:val="clear" w:color="auto" w:fill="FFFFFF"/>
        </w:rPr>
      </w:pPr>
      <w:r w:rsidRPr="00594D8A">
        <w:rPr>
          <w:shd w:val="clear" w:color="auto" w:fill="FFFFFF"/>
        </w:rPr>
        <w:t xml:space="preserve">The amendments </w:t>
      </w:r>
      <w:r>
        <w:rPr>
          <w:shd w:val="clear" w:color="auto" w:fill="FFFFFF"/>
        </w:rPr>
        <w:t xml:space="preserve">signed February 2026 </w:t>
      </w:r>
      <w:r w:rsidRPr="00594D8A">
        <w:rPr>
          <w:shd w:val="clear" w:color="auto" w:fill="FFFFFF"/>
        </w:rPr>
        <w:t>adjust</w:t>
      </w:r>
      <w:r>
        <w:rPr>
          <w:shd w:val="clear" w:color="auto" w:fill="FFFFFF"/>
        </w:rPr>
        <w:t>ed</w:t>
      </w:r>
      <w:r w:rsidRPr="00594D8A">
        <w:rPr>
          <w:shd w:val="clear" w:color="auto" w:fill="FFFFFF"/>
        </w:rPr>
        <w:t xml:space="preserve"> the effective date of the Trapped at Work Act, which had </w:t>
      </w:r>
      <w:r>
        <w:rPr>
          <w:shd w:val="clear" w:color="auto" w:fill="FFFFFF"/>
        </w:rPr>
        <w:t xml:space="preserve">originally </w:t>
      </w:r>
      <w:r w:rsidRPr="00594D8A">
        <w:rPr>
          <w:shd w:val="clear" w:color="auto" w:fill="FFFFFF"/>
        </w:rPr>
        <w:t>taken effect “immediately” upon its signing into law on December 19, 2025. The amendments replace “immediately” in the act with “one year after it shall have become law,” thereby apparently fixing the effective date to December 19, 2026. </w:t>
      </w:r>
    </w:p>
    <w:p w14:paraId="0BC09195" w14:textId="4891F4E1" w:rsidR="00305AA2" w:rsidRPr="00305AA2" w:rsidRDefault="00305AA2" w:rsidP="00305AA2">
      <w:pPr>
        <w:rPr>
          <w:b/>
          <w:bCs/>
          <w:shd w:val="clear" w:color="auto" w:fill="FFFFFF"/>
          <w:lang w:val="en"/>
        </w:rPr>
      </w:pPr>
      <w:r>
        <w:rPr>
          <w:b/>
          <w:bCs/>
          <w:shd w:val="clear" w:color="auto" w:fill="FFFFFF"/>
        </w:rPr>
        <w:t>T</w:t>
      </w:r>
      <w:r w:rsidRPr="002255C6">
        <w:rPr>
          <w:b/>
          <w:bCs/>
          <w:shd w:val="clear" w:color="auto" w:fill="FFFFFF"/>
        </w:rPr>
        <w:t>here is a question as to whether the amendments are intended to delay the effective date to one year after they were signed, which would set the effective date to February 13, 2027.</w:t>
      </w:r>
      <w:r>
        <w:rPr>
          <w:b/>
          <w:bCs/>
          <w:shd w:val="clear" w:color="auto" w:fill="FFFFFF"/>
        </w:rPr>
        <w:t xml:space="preserve"> ETC has reported both effective dates and will continue to monitor the situation for clarity.</w:t>
      </w:r>
    </w:p>
    <w:p w14:paraId="0BD4D454" w14:textId="2B0F79CE" w:rsidR="00B15363" w:rsidRDefault="00B15363" w:rsidP="00B15363">
      <w:pPr>
        <w:jc w:val="center"/>
        <w:rPr>
          <w:rFonts w:ascii="Roboto" w:hAnsi="Roboto"/>
          <w:b/>
          <w:bCs/>
          <w:color w:val="C00000"/>
          <w:shd w:val="clear" w:color="auto" w:fill="FFFFFF"/>
          <w:lang w:val="en"/>
        </w:rPr>
      </w:pPr>
      <w:r>
        <w:rPr>
          <w:b/>
          <w:bCs/>
          <w:caps/>
          <w:color w:val="0070C0"/>
          <w:sz w:val="26"/>
          <w:szCs w:val="26"/>
        </w:rPr>
        <w:t xml:space="preserve">Reminder: </w:t>
      </w:r>
      <w:r w:rsidRPr="00ED13E0">
        <w:rPr>
          <w:b/>
          <w:bCs/>
          <w:caps/>
          <w:noProof/>
          <w:color w:val="0E425C"/>
          <w:sz w:val="26"/>
          <w:szCs w:val="26"/>
        </w:rPr>
        <w:t>State Mandatory Retirement Savings Program Eff</w:t>
      </w:r>
      <w:r>
        <w:rPr>
          <w:b/>
          <w:bCs/>
          <w:caps/>
          <w:noProof/>
          <w:color w:val="0E425C"/>
          <w:sz w:val="26"/>
          <w:szCs w:val="26"/>
        </w:rPr>
        <w:t>ECTIVE</w:t>
      </w:r>
      <w:r w:rsidRPr="00ED13E0">
        <w:rPr>
          <w:b/>
          <w:bCs/>
          <w:caps/>
          <w:noProof/>
          <w:color w:val="0E425C"/>
          <w:sz w:val="26"/>
          <w:szCs w:val="26"/>
        </w:rPr>
        <w:t xml:space="preserve"> </w:t>
      </w:r>
      <w:r w:rsidRPr="00ED13E0">
        <w:rPr>
          <w:b/>
          <w:bCs/>
          <w:caps/>
          <w:color w:val="0070C0"/>
          <w:sz w:val="26"/>
          <w:szCs w:val="26"/>
        </w:rPr>
        <w:t>March 16, 2026</w:t>
      </w:r>
    </w:p>
    <w:p w14:paraId="7EE25A93" w14:textId="77777777" w:rsidR="00B15363" w:rsidRPr="00A2630C" w:rsidRDefault="00B15363" w:rsidP="00B15363">
      <w:pPr>
        <w:rPr>
          <w:shd w:val="clear" w:color="auto" w:fill="FFFFFF"/>
        </w:rPr>
      </w:pPr>
      <w:r w:rsidRPr="00A2630C">
        <w:rPr>
          <w:shd w:val="clear" w:color="auto" w:fill="FFFFFF"/>
          <w:lang w:val="en"/>
        </w:rPr>
        <w:t>Though</w:t>
      </w:r>
      <w:r w:rsidRPr="00A2630C">
        <w:rPr>
          <w:b/>
          <w:bCs/>
          <w:shd w:val="clear" w:color="auto" w:fill="FFFFFF"/>
          <w:lang w:val="en"/>
        </w:rPr>
        <w:t xml:space="preserve"> </w:t>
      </w:r>
      <w:r w:rsidRPr="00A2630C">
        <w:rPr>
          <w:shd w:val="clear" w:color="auto" w:fill="FFFFFF"/>
        </w:rPr>
        <w:t xml:space="preserve">ETC does not monitor or report on Retirement or Pension matters, it is important that New York employers who do not offer a retirement plan are aware of a new compliance obligation. The New York Secure Choice Savings </w:t>
      </w:r>
      <w:r w:rsidRPr="00A2630C">
        <w:rPr>
          <w:shd w:val="clear" w:color="auto" w:fill="FFFFFF"/>
        </w:rPr>
        <w:lastRenderedPageBreak/>
        <w:t>Program requires covered private-sector employers to automatically enroll their employees in a state-facilitated Roth IRA through payroll deduction. With the first compliance deadline arriving on March 16, 2026, employers should assess their obligations now. New York joins a growing list of states that mandate retirement savings plans: California (</w:t>
      </w:r>
      <w:proofErr w:type="spellStart"/>
      <w:r w:rsidRPr="00A2630C">
        <w:rPr>
          <w:shd w:val="clear" w:color="auto" w:fill="FFFFFF"/>
        </w:rPr>
        <w:t>CalSavers</w:t>
      </w:r>
      <w:proofErr w:type="spellEnd"/>
      <w:r w:rsidRPr="00A2630C">
        <w:rPr>
          <w:shd w:val="clear" w:color="auto" w:fill="FFFFFF"/>
        </w:rPr>
        <w:t>), Colorado (</w:t>
      </w:r>
      <w:proofErr w:type="spellStart"/>
      <w:r w:rsidRPr="00A2630C">
        <w:rPr>
          <w:shd w:val="clear" w:color="auto" w:fill="FFFFFF"/>
        </w:rPr>
        <w:t>SecureSavings</w:t>
      </w:r>
      <w:proofErr w:type="spellEnd"/>
      <w:r w:rsidRPr="00A2630C">
        <w:rPr>
          <w:shd w:val="clear" w:color="auto" w:fill="FFFFFF"/>
        </w:rPr>
        <w:t>), Connecticut (</w:t>
      </w:r>
      <w:proofErr w:type="spellStart"/>
      <w:r w:rsidRPr="00A2630C">
        <w:rPr>
          <w:shd w:val="clear" w:color="auto" w:fill="FFFFFF"/>
        </w:rPr>
        <w:t>MyCTSavings</w:t>
      </w:r>
      <w:proofErr w:type="spellEnd"/>
      <w:r w:rsidRPr="00A2630C">
        <w:rPr>
          <w:shd w:val="clear" w:color="auto" w:fill="FFFFFF"/>
        </w:rPr>
        <w:t>), Delaware (Delaware EARNS), Illinois (Secure Choice), Maine (MERIT), Maryland (</w:t>
      </w:r>
      <w:proofErr w:type="spellStart"/>
      <w:r w:rsidRPr="00A2630C">
        <w:rPr>
          <w:shd w:val="clear" w:color="auto" w:fill="FFFFFF"/>
        </w:rPr>
        <w:t>MarylandSaves</w:t>
      </w:r>
      <w:proofErr w:type="spellEnd"/>
      <w:r w:rsidRPr="00A2630C">
        <w:rPr>
          <w:shd w:val="clear" w:color="auto" w:fill="FFFFFF"/>
        </w:rPr>
        <w:t>), New Jersey (Secure Choice), Oregon (</w:t>
      </w:r>
      <w:proofErr w:type="spellStart"/>
      <w:r w:rsidRPr="00A2630C">
        <w:rPr>
          <w:shd w:val="clear" w:color="auto" w:fill="FFFFFF"/>
        </w:rPr>
        <w:t>OregonSaves</w:t>
      </w:r>
      <w:proofErr w:type="spellEnd"/>
      <w:r w:rsidRPr="00A2630C">
        <w:rPr>
          <w:shd w:val="clear" w:color="auto" w:fill="FFFFFF"/>
        </w:rPr>
        <w:t>), Vermont (VT Saves), and Virginia (</w:t>
      </w:r>
      <w:proofErr w:type="spellStart"/>
      <w:r w:rsidRPr="00A2630C">
        <w:rPr>
          <w:shd w:val="clear" w:color="auto" w:fill="FFFFFF"/>
        </w:rPr>
        <w:t>RetirePathVA</w:t>
      </w:r>
      <w:proofErr w:type="spellEnd"/>
      <w:r w:rsidRPr="00A2630C">
        <w:rPr>
          <w:shd w:val="clear" w:color="auto" w:fill="FFFFFF"/>
        </w:rPr>
        <w:t>). Employers with questions are advised to engage their Retirement Benefits advisor or reach out to the applicable state agency over the mandatory state retirement program.</w:t>
      </w:r>
    </w:p>
    <w:p w14:paraId="4CB9C538" w14:textId="77777777" w:rsidR="00B15363" w:rsidRPr="00A2630C" w:rsidRDefault="00B15363" w:rsidP="00B15363">
      <w:pPr>
        <w:rPr>
          <w:b/>
          <w:bCs/>
          <w:shd w:val="clear" w:color="auto" w:fill="FFFFFF"/>
        </w:rPr>
      </w:pPr>
      <w:r w:rsidRPr="00A2630C">
        <w:rPr>
          <w:b/>
          <w:bCs/>
          <w:shd w:val="clear" w:color="auto" w:fill="FFFFFF"/>
        </w:rPr>
        <w:t>Covered Employers &amp; Employees</w:t>
      </w:r>
    </w:p>
    <w:p w14:paraId="0DCFCD17" w14:textId="77777777" w:rsidR="00B15363" w:rsidRPr="004F2C97" w:rsidRDefault="00B15363" w:rsidP="00B15363">
      <w:pPr>
        <w:rPr>
          <w:shd w:val="clear" w:color="auto" w:fill="FFFFFF"/>
        </w:rPr>
      </w:pPr>
      <w:r w:rsidRPr="00A2630C">
        <w:rPr>
          <w:shd w:val="clear" w:color="auto" w:fill="FFFFFF"/>
        </w:rPr>
        <w:t xml:space="preserve">private-sector employers, whether for-profit or </w:t>
      </w:r>
      <w:r>
        <w:rPr>
          <w:shd w:val="clear" w:color="auto" w:fill="FFFFFF"/>
        </w:rPr>
        <w:t xml:space="preserve">nonprofit, </w:t>
      </w:r>
      <w:r w:rsidRPr="00A2630C">
        <w:rPr>
          <w:shd w:val="clear" w:color="auto" w:fill="FFFFFF"/>
        </w:rPr>
        <w:t xml:space="preserve">that </w:t>
      </w:r>
      <w:proofErr w:type="gramStart"/>
      <w:r w:rsidRPr="00A2630C">
        <w:rPr>
          <w:shd w:val="clear" w:color="auto" w:fill="FFFFFF"/>
        </w:rPr>
        <w:t>are located in</w:t>
      </w:r>
      <w:proofErr w:type="gramEnd"/>
      <w:r w:rsidRPr="00A2630C">
        <w:rPr>
          <w:shd w:val="clear" w:color="auto" w:fill="FFFFFF"/>
        </w:rPr>
        <w:t xml:space="preserve"> New York State, have been in business for at least two years, have employed ten or more employees in New York State in the past 12 months, and do not already offer a qualified retirement plan to their employees such as a 401(k), 403(b), or similar arrangement. Employers cannot drop an existing qualified plan to participate in Secure Choice instead. Covered employers must automatically enroll eligible employees in the program, although employees may opt out from participation or change their contribution rate or investment option, at any time. Eligible employees are those age 18 or older who receive </w:t>
      </w:r>
      <w:r w:rsidRPr="00610189">
        <w:rPr>
          <w:shd w:val="clear" w:color="auto" w:fill="FFFFFF"/>
        </w:rPr>
        <w:t>taxable wages</w:t>
      </w:r>
      <w:r w:rsidRPr="00A2630C">
        <w:rPr>
          <w:shd w:val="clear" w:color="auto" w:fill="FFFFFF"/>
        </w:rPr>
        <w:t> from a covered employer.</w:t>
      </w:r>
    </w:p>
    <w:p w14:paraId="77FB935D" w14:textId="77777777" w:rsidR="00B15363" w:rsidRPr="00A2630C" w:rsidRDefault="00B15363" w:rsidP="00B15363">
      <w:pPr>
        <w:rPr>
          <w:shd w:val="clear" w:color="auto" w:fill="FFFFFF"/>
        </w:rPr>
      </w:pPr>
      <w:r w:rsidRPr="00A2630C">
        <w:rPr>
          <w:b/>
          <w:bCs/>
          <w:shd w:val="clear" w:color="auto" w:fill="FFFFFF"/>
        </w:rPr>
        <w:t>The program uses a phased rollout based on employer size:</w:t>
      </w:r>
      <w:r w:rsidRPr="00A2630C">
        <w:rPr>
          <w:shd w:val="clear" w:color="auto" w:fill="FFFFFF"/>
        </w:rPr>
        <w:br/>
      </w:r>
      <w:r w:rsidRPr="00A2630C">
        <w:rPr>
          <w:b/>
          <w:bCs/>
          <w:u w:val="single"/>
          <w:shd w:val="clear" w:color="auto" w:fill="FFFFFF"/>
        </w:rPr>
        <w:t>Employer Size</w:t>
      </w:r>
      <w:r w:rsidRPr="00A2630C">
        <w:rPr>
          <w:b/>
          <w:bCs/>
          <w:shd w:val="clear" w:color="auto" w:fill="FFFFFF"/>
        </w:rPr>
        <w:t>                   </w:t>
      </w:r>
      <w:r w:rsidRPr="00A2630C">
        <w:rPr>
          <w:b/>
          <w:bCs/>
          <w:shd w:val="clear" w:color="auto" w:fill="FFFFFF"/>
        </w:rPr>
        <w:tab/>
      </w:r>
      <w:r w:rsidRPr="00A2630C">
        <w:rPr>
          <w:b/>
          <w:bCs/>
          <w:u w:val="single"/>
          <w:shd w:val="clear" w:color="auto" w:fill="FFFFFF"/>
        </w:rPr>
        <w:t>Compliance Deadline</w:t>
      </w:r>
      <w:r w:rsidRPr="00A2630C">
        <w:rPr>
          <w:shd w:val="clear" w:color="auto" w:fill="FFFFFF"/>
        </w:rPr>
        <w:br/>
      </w:r>
      <w:r w:rsidRPr="00A817CE">
        <w:rPr>
          <w:color w:val="0070C0"/>
          <w:shd w:val="clear" w:color="auto" w:fill="FFFFFF"/>
        </w:rPr>
        <w:t>30 or more employees             March 16, 2026</w:t>
      </w:r>
      <w:r w:rsidRPr="00A817CE">
        <w:rPr>
          <w:color w:val="0070C0"/>
          <w:shd w:val="clear" w:color="auto" w:fill="FFFFFF"/>
        </w:rPr>
        <w:br/>
        <w:t>15–29 employees                      May 15, 2026</w:t>
      </w:r>
      <w:r w:rsidRPr="00A817CE">
        <w:rPr>
          <w:color w:val="0070C0"/>
          <w:shd w:val="clear" w:color="auto" w:fill="FFFFFF"/>
        </w:rPr>
        <w:br/>
        <w:t>11–14 employees                      July 15, 2026</w:t>
      </w:r>
    </w:p>
    <w:p w14:paraId="095156D7" w14:textId="77777777" w:rsidR="00B15363" w:rsidRPr="00A2630C" w:rsidRDefault="00B15363" w:rsidP="00B15363">
      <w:pPr>
        <w:rPr>
          <w:shd w:val="clear" w:color="auto" w:fill="FFFFFF"/>
        </w:rPr>
      </w:pPr>
      <w:r w:rsidRPr="00A2630C">
        <w:rPr>
          <w:shd w:val="clear" w:color="auto" w:fill="FFFFFF"/>
        </w:rPr>
        <w:t>Covered employers should take the following steps: automatically enroll eligible employees in the program, facilitate payroll deductions at the default contribution rate of 3% of gross wages (or as adjusted by the employee, subject to federal IRA limits), remit contributions to the program, and provide required informational materials and disclosures to employees upon commencement of the program and upon hire.</w:t>
      </w:r>
      <w:r w:rsidRPr="00A2630C">
        <w:rPr>
          <w:shd w:val="clear" w:color="auto" w:fill="FFFFFF"/>
        </w:rPr>
        <w:br/>
        <w:t>Employers may not contribute to employee accounts. However, employers are not fiduciaries under the program and bear no liability for employees' participation choices, investment decisions, or outcomes. The program is overseen by the New York Secure Choice Savings Program Board which has the fiduciary responsibility to act in the best interests of participants.</w:t>
      </w:r>
    </w:p>
    <w:p w14:paraId="79FD7740" w14:textId="2E2FD7C7" w:rsidR="00B15363" w:rsidRPr="00B15363" w:rsidRDefault="00B15363" w:rsidP="00B15363">
      <w:pPr>
        <w:rPr>
          <w:b/>
          <w:color w:val="0E425C"/>
          <w:u w:val="single"/>
        </w:rPr>
      </w:pPr>
      <w:r w:rsidRPr="00A2630C">
        <w:rPr>
          <w:b/>
          <w:bCs/>
          <w:shd w:val="clear" w:color="auto" w:fill="FFFFFF"/>
        </w:rPr>
        <w:t>Penalties for Non-Compliance</w:t>
      </w:r>
      <w:r w:rsidRPr="00A2630C">
        <w:rPr>
          <w:shd w:val="clear" w:color="auto" w:fill="FFFFFF"/>
        </w:rPr>
        <w:br/>
        <w:t xml:space="preserve">The program's enabling legislation authorizes the Secure Choice Savings Program Board to determine enforcement of penalties but the website for the program does not currently address penalties for non-compliance. Employers should monitor guidance from the Board and the program's website at </w:t>
      </w:r>
      <w:r w:rsidRPr="00280C5F">
        <w:rPr>
          <w:rStyle w:val="Hyperlink"/>
        </w:rPr>
        <w:t xml:space="preserve">securechoice.ny.gov </w:t>
      </w:r>
      <w:r w:rsidRPr="00A2630C">
        <w:rPr>
          <w:shd w:val="clear" w:color="auto" w:fill="FFFFFF"/>
        </w:rPr>
        <w:t>for specific information regarding enforcement procedures and penalties as the compliance deadlines approach.</w:t>
      </w:r>
    </w:p>
    <w:p w14:paraId="3407561B" w14:textId="1FFD28B3" w:rsidR="00DB649F" w:rsidRPr="005D141E" w:rsidRDefault="00DB649F" w:rsidP="00DB649F">
      <w:pPr>
        <w:jc w:val="center"/>
        <w:rPr>
          <w:bCs/>
          <w:color w:val="0070C0"/>
          <w:sz w:val="26"/>
          <w:szCs w:val="26"/>
        </w:rPr>
      </w:pPr>
      <w:r>
        <w:rPr>
          <w:b/>
          <w:bCs/>
          <w:caps/>
          <w:color w:val="0070C0"/>
          <w:sz w:val="26"/>
          <w:szCs w:val="26"/>
        </w:rPr>
        <w:t xml:space="preserve">UPDATE! </w:t>
      </w:r>
      <w:r w:rsidRPr="00A632EF">
        <w:rPr>
          <w:b/>
          <w:bCs/>
          <w:caps/>
          <w:noProof/>
          <w:color w:val="0E425C"/>
          <w:sz w:val="26"/>
          <w:szCs w:val="26"/>
        </w:rPr>
        <w:t xml:space="preserve">Workplace First Aid Requirements in New York State to Include Opioid Antagonists </w:t>
      </w:r>
    </w:p>
    <w:p w14:paraId="187F102B" w14:textId="77777777" w:rsidR="00DB649F" w:rsidRDefault="00DB649F" w:rsidP="00DB649F">
      <w:pPr>
        <w:rPr>
          <w:shd w:val="clear" w:color="auto" w:fill="FFFFFF"/>
        </w:rPr>
      </w:pPr>
      <w:r w:rsidRPr="005D141E">
        <w:rPr>
          <w:shd w:val="clear" w:color="auto" w:fill="FFFFFF"/>
        </w:rPr>
        <w:t xml:space="preserve">As </w:t>
      </w:r>
      <w:r>
        <w:rPr>
          <w:shd w:val="clear" w:color="auto" w:fill="FFFFFF"/>
        </w:rPr>
        <w:t>previously</w:t>
      </w:r>
      <w:r w:rsidRPr="005D141E">
        <w:rPr>
          <w:shd w:val="clear" w:color="auto" w:fill="FFFFFF"/>
        </w:rPr>
        <w:t xml:space="preserve"> reported, </w:t>
      </w:r>
      <w:r w:rsidRPr="000B6E10">
        <w:rPr>
          <w:shd w:val="clear" w:color="auto" w:fill="FFFFFF"/>
        </w:rPr>
        <w:t>New York expanded its workplace first aid requirements through Senate Bill S5922-A/A2725-A</w:t>
      </w:r>
      <w:r>
        <w:rPr>
          <w:shd w:val="clear" w:color="auto" w:fill="FFFFFF"/>
        </w:rPr>
        <w:t xml:space="preserve"> </w:t>
      </w:r>
      <w:r w:rsidRPr="000B6E10">
        <w:rPr>
          <w:shd w:val="clear" w:color="auto" w:fill="FFFFFF"/>
        </w:rPr>
        <w:t>requir</w:t>
      </w:r>
      <w:r>
        <w:rPr>
          <w:shd w:val="clear" w:color="auto" w:fill="FFFFFF"/>
        </w:rPr>
        <w:t>ing</w:t>
      </w:r>
      <w:r w:rsidRPr="000B6E10">
        <w:rPr>
          <w:shd w:val="clear" w:color="auto" w:fill="FFFFFF"/>
        </w:rPr>
        <w:t xml:space="preserve"> certain employers to include opioid antagonists</w:t>
      </w:r>
      <w:r>
        <w:rPr>
          <w:shd w:val="clear" w:color="auto" w:fill="FFFFFF"/>
        </w:rPr>
        <w:t xml:space="preserve">, </w:t>
      </w:r>
      <w:r w:rsidRPr="000B6E10">
        <w:rPr>
          <w:shd w:val="clear" w:color="auto" w:fill="FFFFFF"/>
        </w:rPr>
        <w:t>such as Narcan</w:t>
      </w:r>
      <w:r>
        <w:rPr>
          <w:shd w:val="clear" w:color="auto" w:fill="FFFFFF"/>
        </w:rPr>
        <w:t xml:space="preserve">, </w:t>
      </w:r>
      <w:r w:rsidRPr="000B6E10">
        <w:rPr>
          <w:shd w:val="clear" w:color="auto" w:fill="FFFFFF"/>
        </w:rPr>
        <w:t>as part of their workplace emergency preparedness efforts.</w:t>
      </w:r>
      <w:r>
        <w:rPr>
          <w:shd w:val="clear" w:color="auto" w:fill="FFFFFF"/>
        </w:rPr>
        <w:t xml:space="preserve">  </w:t>
      </w:r>
    </w:p>
    <w:p w14:paraId="5D9C0A9A" w14:textId="77777777" w:rsidR="00DB649F" w:rsidRPr="000857C1" w:rsidRDefault="00DB649F" w:rsidP="00DB649F">
      <w:pPr>
        <w:rPr>
          <w:shd w:val="clear" w:color="auto" w:fill="FFFFFF"/>
        </w:rPr>
      </w:pPr>
      <w:r>
        <w:rPr>
          <w:shd w:val="clear" w:color="auto" w:fill="FFFFFF"/>
        </w:rPr>
        <w:t xml:space="preserve">On February 13, 2026, amendments </w:t>
      </w:r>
      <w:r w:rsidRPr="00705D56">
        <w:rPr>
          <w:shd w:val="clear" w:color="auto" w:fill="FFFFFF"/>
        </w:rPr>
        <w:t>(A9453/S8770)</w:t>
      </w:r>
      <w:r>
        <w:rPr>
          <w:shd w:val="clear" w:color="auto" w:fill="FFFFFF"/>
        </w:rPr>
        <w:t xml:space="preserve"> were signed which provided additional clarification for employers. </w:t>
      </w:r>
      <w:r w:rsidRPr="000857C1">
        <w:rPr>
          <w:shd w:val="clear" w:color="auto" w:fill="FFFFFF"/>
        </w:rPr>
        <w:t xml:space="preserve">Under the updated </w:t>
      </w:r>
      <w:r>
        <w:rPr>
          <w:shd w:val="clear" w:color="auto" w:fill="FFFFFF"/>
        </w:rPr>
        <w:t>regulations</w:t>
      </w:r>
      <w:r w:rsidRPr="000857C1">
        <w:rPr>
          <w:shd w:val="clear" w:color="auto" w:fill="FFFFFF"/>
        </w:rPr>
        <w:t xml:space="preserve">, private employers covered by </w:t>
      </w:r>
      <w:r>
        <w:rPr>
          <w:shd w:val="clear" w:color="auto" w:fill="FFFFFF"/>
        </w:rPr>
        <w:t xml:space="preserve">OSHA </w:t>
      </w:r>
      <w:r w:rsidRPr="000857C1">
        <w:rPr>
          <w:shd w:val="clear" w:color="auto" w:fill="FFFFFF"/>
        </w:rPr>
        <w:t>and required to maintain first aid supplies must also ensure opioid antagonists are available for emergency use in the workplace.</w:t>
      </w:r>
      <w:r>
        <w:rPr>
          <w:shd w:val="clear" w:color="auto" w:fill="FFFFFF"/>
        </w:rPr>
        <w:t xml:space="preserve"> </w:t>
      </w:r>
      <w:r w:rsidRPr="000857C1">
        <w:rPr>
          <w:shd w:val="clear" w:color="auto" w:fill="FFFFFF"/>
        </w:rPr>
        <w:t>Employers are not required to place opioid antagonists in every individual first aid kit</w:t>
      </w:r>
      <w:r>
        <w:rPr>
          <w:shd w:val="clear" w:color="auto" w:fill="FFFFFF"/>
        </w:rPr>
        <w:t xml:space="preserve">, only </w:t>
      </w:r>
      <w:r w:rsidRPr="000857C1">
        <w:rPr>
          <w:shd w:val="clear" w:color="auto" w:fill="FFFFFF"/>
        </w:rPr>
        <w:t>where first aid is administered.</w:t>
      </w:r>
    </w:p>
    <w:p w14:paraId="464F8CA3" w14:textId="77777777" w:rsidR="00DB649F" w:rsidRPr="008E422E" w:rsidRDefault="00DB649F" w:rsidP="00DB649F">
      <w:pPr>
        <w:rPr>
          <w:shd w:val="clear" w:color="auto" w:fill="FFFFFF"/>
        </w:rPr>
      </w:pPr>
      <w:r w:rsidRPr="00A632EF">
        <w:rPr>
          <w:shd w:val="clear" w:color="auto" w:fill="FFFFFF"/>
        </w:rPr>
        <w:t>Employers should begin evaluating current first-aid protocols, identifying where opioid antagonists will be stored, and planning for potential training programs once regulations are released.</w:t>
      </w:r>
    </w:p>
    <w:p w14:paraId="2A893A1C" w14:textId="12E52D99" w:rsidR="00C16DCC" w:rsidRDefault="00B44444" w:rsidP="00C16DCC">
      <w:pPr>
        <w:jc w:val="center"/>
        <w:rPr>
          <w:b/>
          <w:bCs/>
          <w:caps/>
          <w:color w:val="0070C0"/>
          <w:sz w:val="26"/>
          <w:szCs w:val="26"/>
        </w:rPr>
      </w:pPr>
      <w:r w:rsidRPr="00AF34B8">
        <w:rPr>
          <w:b/>
          <w:bCs/>
          <w:caps/>
          <w:noProof/>
          <w:color w:val="0070C0"/>
          <w:sz w:val="26"/>
          <w:szCs w:val="26"/>
        </w:rPr>
        <w:t>Remin</w:t>
      </w:r>
      <w:r>
        <w:rPr>
          <w:b/>
          <w:bCs/>
          <w:caps/>
          <w:noProof/>
          <w:color w:val="0070C0"/>
          <w:sz w:val="26"/>
          <w:szCs w:val="26"/>
        </w:rPr>
        <w:t>D</w:t>
      </w:r>
      <w:r w:rsidRPr="00AF34B8">
        <w:rPr>
          <w:b/>
          <w:bCs/>
          <w:caps/>
          <w:noProof/>
          <w:color w:val="0070C0"/>
          <w:sz w:val="26"/>
          <w:szCs w:val="26"/>
        </w:rPr>
        <w:t>er</w:t>
      </w:r>
      <w:r>
        <w:rPr>
          <w:b/>
          <w:bCs/>
          <w:caps/>
          <w:noProof/>
          <w:color w:val="0070C0"/>
          <w:sz w:val="26"/>
          <w:szCs w:val="26"/>
        </w:rPr>
        <w:t>:</w:t>
      </w:r>
      <w:r>
        <w:rPr>
          <w:b/>
          <w:bCs/>
          <w:caps/>
          <w:noProof/>
          <w:color w:val="0E425C"/>
          <w:sz w:val="28"/>
          <w:szCs w:val="28"/>
        </w:rPr>
        <w:t xml:space="preserve"> </w:t>
      </w:r>
      <w:r w:rsidRPr="00AF34B8">
        <w:rPr>
          <w:b/>
          <w:bCs/>
          <w:caps/>
          <w:noProof/>
          <w:color w:val="0E425C"/>
          <w:sz w:val="26"/>
          <w:szCs w:val="26"/>
        </w:rPr>
        <w:t>State Restricts Use of Credit History Eff</w:t>
      </w:r>
      <w:r>
        <w:rPr>
          <w:b/>
          <w:bCs/>
          <w:caps/>
          <w:noProof/>
          <w:color w:val="0E425C"/>
          <w:sz w:val="26"/>
          <w:szCs w:val="26"/>
        </w:rPr>
        <w:t>ECTIVE</w:t>
      </w:r>
      <w:r w:rsidRPr="00AF34B8">
        <w:rPr>
          <w:b/>
          <w:bCs/>
          <w:caps/>
          <w:noProof/>
          <w:color w:val="0E425C"/>
          <w:sz w:val="26"/>
          <w:szCs w:val="26"/>
        </w:rPr>
        <w:t xml:space="preserve"> </w:t>
      </w:r>
      <w:r w:rsidRPr="00AF34B8">
        <w:rPr>
          <w:b/>
          <w:bCs/>
          <w:caps/>
          <w:color w:val="0070C0"/>
          <w:sz w:val="26"/>
          <w:szCs w:val="26"/>
        </w:rPr>
        <w:t>April 18, 2026</w:t>
      </w:r>
    </w:p>
    <w:p w14:paraId="1B4824A1" w14:textId="77777777" w:rsidR="00C16DCC" w:rsidRDefault="00C16DCC" w:rsidP="00C16DCC">
      <w:pPr>
        <w:jc w:val="center"/>
        <w:rPr>
          <w:rFonts w:ascii="Roboto" w:hAnsi="Roboto"/>
          <w:b/>
          <w:bCs/>
          <w:color w:val="C00000"/>
          <w:shd w:val="clear" w:color="auto" w:fill="FFFFFF"/>
          <w:lang w:val="en"/>
        </w:rPr>
      </w:pPr>
      <w:r w:rsidRPr="00F90BC8">
        <w:rPr>
          <w:b/>
          <w:bCs/>
          <w:caps/>
          <w:color w:val="0070C0"/>
          <w:sz w:val="26"/>
          <w:szCs w:val="26"/>
        </w:rPr>
        <w:lastRenderedPageBreak/>
        <w:t>New</w:t>
      </w:r>
      <w:r>
        <w:rPr>
          <w:b/>
          <w:bCs/>
          <w:caps/>
          <w:color w:val="0070C0"/>
          <w:sz w:val="26"/>
          <w:szCs w:val="26"/>
        </w:rPr>
        <w:t>!</w:t>
      </w:r>
      <w:r>
        <w:rPr>
          <w:rFonts w:ascii="Roboto" w:hAnsi="Roboto"/>
          <w:b/>
          <w:bCs/>
          <w:color w:val="C00000"/>
          <w:shd w:val="clear" w:color="auto" w:fill="FFFFFF"/>
          <w:lang w:val="en"/>
        </w:rPr>
        <w:t xml:space="preserve"> </w:t>
      </w:r>
      <w:r w:rsidRPr="00F90BC8">
        <w:rPr>
          <w:b/>
          <w:bCs/>
          <w:caps/>
          <w:noProof/>
          <w:color w:val="0E425C"/>
          <w:sz w:val="26"/>
          <w:szCs w:val="26"/>
        </w:rPr>
        <w:t>State AI Regulations Eff</w:t>
      </w:r>
      <w:r>
        <w:rPr>
          <w:b/>
          <w:bCs/>
          <w:caps/>
          <w:noProof/>
          <w:color w:val="0E425C"/>
          <w:sz w:val="26"/>
          <w:szCs w:val="26"/>
        </w:rPr>
        <w:t>ECTIVE</w:t>
      </w:r>
      <w:r w:rsidRPr="00CA1B8C">
        <w:rPr>
          <w:rFonts w:ascii="Roboto" w:hAnsi="Roboto"/>
          <w:b/>
          <w:bCs/>
          <w:shd w:val="clear" w:color="auto" w:fill="FFFFFF"/>
        </w:rPr>
        <w:t xml:space="preserve"> </w:t>
      </w:r>
      <w:r w:rsidRPr="00F90BC8">
        <w:rPr>
          <w:b/>
          <w:bCs/>
          <w:caps/>
          <w:color w:val="0070C0"/>
          <w:sz w:val="26"/>
          <w:szCs w:val="26"/>
        </w:rPr>
        <w:t>January 1, 2027</w:t>
      </w:r>
    </w:p>
    <w:p w14:paraId="721E9BB3" w14:textId="2922E987" w:rsidR="00C16DCC" w:rsidRPr="00F62314" w:rsidRDefault="00C16DCC" w:rsidP="00F62314">
      <w:pPr>
        <w:rPr>
          <w:shd w:val="clear" w:color="auto" w:fill="FFFFFF"/>
        </w:rPr>
      </w:pPr>
      <w:r w:rsidRPr="00A2630C">
        <w:rPr>
          <w:shd w:val="clear" w:color="auto" w:fill="FFFFFF"/>
        </w:rPr>
        <w:t xml:space="preserve">New York has enacted the Responsible </w:t>
      </w:r>
      <w:r w:rsidRPr="00A2630C">
        <w:rPr>
          <w:b/>
          <w:bCs/>
          <w:shd w:val="clear" w:color="auto" w:fill="FFFFFF"/>
        </w:rPr>
        <w:t>AI Safety and Education (RAISE) Act</w:t>
      </w:r>
      <w:r w:rsidRPr="00A2630C">
        <w:rPr>
          <w:shd w:val="clear" w:color="auto" w:fill="FFFFFF"/>
        </w:rPr>
        <w:t xml:space="preserve"> (</w:t>
      </w:r>
      <w:hyperlink r:id="rId931" w:history="1">
        <w:r w:rsidRPr="00A0618A">
          <w:rPr>
            <w:rStyle w:val="Hyperlink"/>
            <w:shd w:val="clear" w:color="auto" w:fill="FFFFFF"/>
          </w:rPr>
          <w:t>A6453A</w:t>
        </w:r>
      </w:hyperlink>
      <w:r w:rsidRPr="00A2630C">
        <w:rPr>
          <w:shd w:val="clear" w:color="auto" w:fill="FFFFFF"/>
        </w:rPr>
        <w:t>) effective January 1, 2027. Among other things, the RAISE Act requires large AI developers to create and publish information about their safety protocols and report critical safety incidents to the state within 72 hours. Large developers must inform employees of their rights and obligations under the law within 90 days of the effective date or upon becoming a large developer (whichever is later), at the start of employment and by posting a conspicuous workplace notice. Covered employees are also protected from retaliation for disclosing or threatening to disclose information or concerns about unreasonable or substantial risk of critical harm. Further clarification, including standardized AI safety frameworks and critical incident reporting can be expected ahead of the 2027, effective date.</w:t>
      </w:r>
    </w:p>
    <w:p w14:paraId="6B13C846" w14:textId="23AC7B65" w:rsidR="0097746B" w:rsidRPr="00DD7BD1" w:rsidRDefault="0097746B" w:rsidP="0097746B">
      <w:pPr>
        <w:spacing w:after="0" w:line="240" w:lineRule="auto"/>
        <w:ind w:left="1080"/>
        <w:rPr>
          <w:rFonts w:ascii="Calibri" w:hAnsi="Calibri" w:cs="Calibri"/>
          <w:b/>
          <w:bCs/>
          <w:color w:val="C00000"/>
          <w:sz w:val="28"/>
          <w:szCs w:val="28"/>
          <w:u w:val="single"/>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&amp; Delays Trapped at Work Act – Now Eff </w:t>
      </w:r>
      <w:r w:rsidRPr="00DD7BD1">
        <w:rPr>
          <w:rFonts w:ascii="Calibri" w:hAnsi="Calibri" w:cs="Calibri"/>
          <w:b/>
          <w:bCs/>
          <w:color w:val="C00000"/>
          <w:sz w:val="28"/>
          <w:szCs w:val="28"/>
          <w:shd w:val="clear" w:color="auto" w:fill="FFFFFF"/>
          <w:lang w:val="en"/>
        </w:rPr>
        <w:t>Feb 13, 202</w:t>
      </w:r>
      <w:r w:rsidRPr="00DD7BD1">
        <w:rPr>
          <w:rFonts w:ascii="Calibri" w:hAnsi="Calibri" w:cs="Calibri"/>
          <w:b/>
          <w:bCs/>
          <w:color w:val="C00000"/>
          <w:sz w:val="28"/>
          <w:szCs w:val="28"/>
          <w:u w:val="single"/>
          <w:shd w:val="clear" w:color="auto" w:fill="FFFFFF"/>
          <w:lang w:val="en"/>
        </w:rPr>
        <w:t>7</w:t>
      </w:r>
    </w:p>
    <w:p w14:paraId="70F717C5"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rPr>
        <w:t xml:space="preserve">On Feb. 13, 2026, New York </w:t>
      </w:r>
      <w:hyperlink r:id="rId932" w:history="1">
        <w:r w:rsidRPr="00DD7BD1">
          <w:rPr>
            <w:rStyle w:val="Hyperlink"/>
            <w:rFonts w:ascii="Calibri" w:hAnsi="Calibri" w:cs="Calibri"/>
          </w:rPr>
          <w:t>amended</w:t>
        </w:r>
      </w:hyperlink>
      <w:r w:rsidRPr="00DD7BD1">
        <w:rPr>
          <w:rFonts w:ascii="Calibri" w:hAnsi="Calibri" w:cs="Calibri"/>
        </w:rPr>
        <w:t xml:space="preserve"> the Trapped at Work Act (Act). The Act, which bans “stay-or-pay” contracts, was originally signed into law on Dec. 19, 2025, and took effect immediately. The amendment clarifies the Act’s scope, expands exceptions to the Act and delays the effective date until </w:t>
      </w:r>
      <w:r w:rsidRPr="00DD7BD1">
        <w:rPr>
          <w:rFonts w:ascii="Calibri" w:hAnsi="Calibri" w:cs="Calibri"/>
          <w:b/>
          <w:bCs/>
        </w:rPr>
        <w:t>Feb. 13, 2027</w:t>
      </w:r>
      <w:r w:rsidRPr="00DD7BD1">
        <w:rPr>
          <w:rFonts w:ascii="Calibri" w:hAnsi="Calibri" w:cs="Calibri"/>
        </w:rPr>
        <w:t>.</w:t>
      </w:r>
      <w:r w:rsidRPr="00DD7BD1">
        <w:rPr>
          <w:rFonts w:ascii="Calibri" w:hAnsi="Calibri" w:cs="Calibri"/>
          <w:b/>
          <w:bCs/>
        </w:rPr>
        <w:t xml:space="preserve"> </w:t>
      </w:r>
    </w:p>
    <w:p w14:paraId="5257D887" w14:textId="77777777" w:rsidR="0097746B" w:rsidRPr="00DD7BD1" w:rsidRDefault="0097746B" w:rsidP="0097746B">
      <w:pPr>
        <w:spacing w:after="0" w:line="240" w:lineRule="auto"/>
        <w:ind w:left="90"/>
        <w:rPr>
          <w:rFonts w:ascii="Calibri" w:hAnsi="Calibri" w:cs="Calibri"/>
          <w:b/>
          <w:bCs/>
          <w:sz w:val="16"/>
          <w:szCs w:val="16"/>
        </w:rPr>
      </w:pPr>
    </w:p>
    <w:p w14:paraId="0F1A858B"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Recap</w:t>
      </w:r>
    </w:p>
    <w:p w14:paraId="0781D873"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Under the original Act, employers were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 subject to certain exceptions.</w:t>
      </w:r>
    </w:p>
    <w:p w14:paraId="1B597B09" w14:textId="77777777" w:rsidR="0097746B" w:rsidRPr="00DD7BD1" w:rsidRDefault="0097746B" w:rsidP="0097746B">
      <w:pPr>
        <w:spacing w:after="0" w:line="240" w:lineRule="auto"/>
        <w:ind w:left="90"/>
        <w:rPr>
          <w:rFonts w:ascii="Calibri" w:hAnsi="Calibri" w:cs="Calibri"/>
          <w:sz w:val="16"/>
          <w:szCs w:val="16"/>
        </w:rPr>
      </w:pPr>
    </w:p>
    <w:p w14:paraId="52D1D824"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Enacted Changes</w:t>
      </w:r>
    </w:p>
    <w:p w14:paraId="575DCF0B"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Clarifying Provisions</w:t>
      </w:r>
    </w:p>
    <w:p w14:paraId="44DCBD66" w14:textId="77777777" w:rsidR="0097746B" w:rsidRPr="00DD7BD1" w:rsidRDefault="0097746B">
      <w:pPr>
        <w:pStyle w:val="ListParagraph"/>
        <w:numPr>
          <w:ilvl w:val="0"/>
          <w:numId w:val="323"/>
        </w:numPr>
        <w:spacing w:after="0" w:line="240" w:lineRule="auto"/>
        <w:ind w:left="810"/>
        <w:rPr>
          <w:rFonts w:ascii="Calibri" w:hAnsi="Calibri" w:cs="Calibri"/>
        </w:rPr>
      </w:pPr>
      <w:r w:rsidRPr="00DD7BD1">
        <w:rPr>
          <w:rFonts w:ascii="Calibri" w:hAnsi="Calibri" w:cs="Calibri"/>
        </w:rPr>
        <w:t>The Act is limited to agreements with employees or prospective employees (rather than any worker)</w:t>
      </w:r>
    </w:p>
    <w:p w14:paraId="635ADB2D" w14:textId="77777777" w:rsidR="0097746B" w:rsidRPr="00DD7BD1" w:rsidRDefault="0097746B">
      <w:pPr>
        <w:pStyle w:val="ListParagraph"/>
        <w:numPr>
          <w:ilvl w:val="0"/>
          <w:numId w:val="323"/>
        </w:numPr>
        <w:spacing w:after="0" w:line="240" w:lineRule="auto"/>
        <w:ind w:left="810"/>
        <w:rPr>
          <w:rFonts w:ascii="Calibri" w:hAnsi="Calibri" w:cs="Calibri"/>
        </w:rPr>
      </w:pPr>
      <w:r w:rsidRPr="00DD7BD1">
        <w:rPr>
          <w:rFonts w:ascii="Calibri" w:hAnsi="Calibri" w:cs="Calibri"/>
        </w:rPr>
        <w:t>prohibited stay-or-pay agreements include those that require an employee to pay an employer if their employment terminates before a certain date (regardless of whether the employee or the employer terminates employment)</w:t>
      </w:r>
    </w:p>
    <w:p w14:paraId="2F97477B" w14:textId="77777777" w:rsidR="0097746B" w:rsidRPr="00DD7BD1" w:rsidRDefault="0097746B" w:rsidP="0097746B">
      <w:pPr>
        <w:spacing w:after="0" w:line="240" w:lineRule="auto"/>
        <w:rPr>
          <w:rFonts w:ascii="Calibri" w:hAnsi="Calibri" w:cs="Calibri"/>
          <w:sz w:val="16"/>
          <w:szCs w:val="16"/>
        </w:rPr>
      </w:pPr>
    </w:p>
    <w:p w14:paraId="599E165E"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Expanded Exceptions</w:t>
      </w:r>
    </w:p>
    <w:p w14:paraId="20CD0870"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Permissible agreements (under the amendments) include those that:</w:t>
      </w:r>
    </w:p>
    <w:p w14:paraId="74C986ED"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reimburse the employer for the cost of tuition, fees and required educational materials for a transferable credential if the agreement:</w:t>
      </w:r>
    </w:p>
    <w:p w14:paraId="724A34EB"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Is in a separate written contract;</w:t>
      </w:r>
    </w:p>
    <w:p w14:paraId="23DD2145"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 xml:space="preserve">Does not require the employee to obtain the credit as a condition of employment; </w:t>
      </w:r>
    </w:p>
    <w:p w14:paraId="75521E51"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Specifies the repayment amount before the employee agrees to the contract, and the repayment amount does not exceed the cost to the employee;</w:t>
      </w:r>
    </w:p>
    <w:p w14:paraId="6A6209DA"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Provides for a prorated repayment amount during any required employment period that is proportional to the repayment amount and employment period and does not require accelerated payment if the employee separates from employment; and</w:t>
      </w:r>
    </w:p>
    <w:p w14:paraId="4E20D6EC"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Does not require repayment if the employee is terminated (other than for misconduct);</w:t>
      </w:r>
    </w:p>
    <w:p w14:paraId="5CE1F6B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pay the employer for any property it has sold or leased to the employee, if such sale or lease was voluntary;</w:t>
      </w:r>
    </w:p>
    <w:p w14:paraId="63C1F82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repay a financial bonus, relocation assistance, or other non-educational incentive or other payment or benefit that is not tied to job performance, unless the employee was terminated for any reason other than misconduct or the job duties were misrepresented to the employee;</w:t>
      </w:r>
    </w:p>
    <w:p w14:paraId="235918A7"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2C139284"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 xml:space="preserve">Are entered into as part of a collective bargaining agreement. </w:t>
      </w:r>
    </w:p>
    <w:p w14:paraId="05E88F40" w14:textId="77777777" w:rsidR="0097746B" w:rsidRPr="00DD7BD1" w:rsidRDefault="0097746B" w:rsidP="0097746B">
      <w:pPr>
        <w:spacing w:after="0" w:line="240" w:lineRule="auto"/>
        <w:ind w:left="270"/>
        <w:rPr>
          <w:rFonts w:ascii="Calibri" w:hAnsi="Calibri" w:cs="Calibri"/>
          <w:color w:val="C00000"/>
          <w:sz w:val="16"/>
          <w:szCs w:val="16"/>
          <w:shd w:val="clear" w:color="auto" w:fill="FFFFFF"/>
          <w:lang w:val="en"/>
        </w:rPr>
      </w:pPr>
    </w:p>
    <w:p w14:paraId="45CC2DB1"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Enforcement Provisions</w:t>
      </w:r>
    </w:p>
    <w:p w14:paraId="02755A3F" w14:textId="38FCA430" w:rsidR="0097746B" w:rsidRPr="00DD7BD1" w:rsidRDefault="0097746B" w:rsidP="0097746B">
      <w:pPr>
        <w:spacing w:after="0" w:line="240" w:lineRule="auto"/>
        <w:ind w:left="90"/>
        <w:rPr>
          <w:rFonts w:ascii="Calibri" w:hAnsi="Calibri" w:cs="Calibri"/>
        </w:rPr>
      </w:pPr>
      <w:r w:rsidRPr="00DD7BD1">
        <w:rPr>
          <w:rFonts w:ascii="Calibri" w:hAnsi="Calibri" w:cs="Calibri"/>
        </w:rPr>
        <w:lastRenderedPageBreak/>
        <w:t>Though penalties remain the same (i.e., employers may be subject to fines ranging from $1,000 to $5,000 per violation and employers who sue employees to enforce unenforceable agreements may be required to pay attorney fees), the amendment clarifies that employees or applicants may file complaints directly with the New York State Department of Labor.</w:t>
      </w:r>
    </w:p>
    <w:p w14:paraId="5B75A328" w14:textId="77777777" w:rsidR="00BD18B0" w:rsidRPr="00DD7BD1" w:rsidRDefault="00BD18B0" w:rsidP="00BD18B0">
      <w:pPr>
        <w:rPr>
          <w:rFonts w:ascii="Calibri" w:hAnsi="Calibri" w:cs="Calibri"/>
          <w:sz w:val="16"/>
          <w:szCs w:val="16"/>
        </w:rPr>
      </w:pPr>
    </w:p>
    <w:p w14:paraId="4B010D59" w14:textId="77777777" w:rsidR="00BD18B0" w:rsidRPr="00DD7BD1" w:rsidRDefault="00BD18B0" w:rsidP="00BD18B0">
      <w:pPr>
        <w:spacing w:after="0" w:line="240" w:lineRule="auto"/>
        <w:ind w:left="86"/>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&amp; New Releases: </w:t>
      </w:r>
      <w:r w:rsidRPr="00DD7BD1">
        <w:rPr>
          <w:rFonts w:ascii="Calibri" w:hAnsi="Calibri" w:cs="Calibri"/>
          <w:b/>
          <w:bCs/>
          <w:sz w:val="28"/>
          <w:szCs w:val="28"/>
          <w:shd w:val="clear" w:color="auto" w:fill="FFFFFF"/>
          <w:lang w:val="en"/>
        </w:rPr>
        <w:t>NY</w:t>
      </w:r>
      <w:r w:rsidRPr="00DD7BD1">
        <w:rPr>
          <w:rFonts w:ascii="Calibri" w:hAnsi="Calibri" w:cs="Calibri"/>
          <w:b/>
          <w:bCs/>
          <w:sz w:val="28"/>
          <w:szCs w:val="28"/>
          <w:u w:val="single"/>
          <w:shd w:val="clear" w:color="auto" w:fill="FFFFFF"/>
          <w:lang w:val="en"/>
        </w:rPr>
        <w:t>C</w:t>
      </w:r>
      <w:r w:rsidRPr="00DD7BD1">
        <w:rPr>
          <w:rFonts w:ascii="Calibri" w:hAnsi="Calibri" w:cs="Calibri"/>
          <w:b/>
          <w:bCs/>
          <w:sz w:val="28"/>
          <w:szCs w:val="28"/>
          <w:shd w:val="clear" w:color="auto" w:fill="FFFFFF"/>
          <w:lang w:val="en"/>
        </w:rPr>
        <w:t xml:space="preserve"> Updated Safe &amp; Sick Time Amendments - Eff </w:t>
      </w:r>
      <w:r w:rsidRPr="00DD7BD1">
        <w:rPr>
          <w:rFonts w:ascii="Calibri" w:hAnsi="Calibri" w:cs="Calibri"/>
          <w:b/>
          <w:bCs/>
          <w:color w:val="C00000"/>
          <w:sz w:val="28"/>
          <w:szCs w:val="28"/>
          <w:shd w:val="clear" w:color="auto" w:fill="FFFFFF"/>
          <w:lang w:val="en"/>
        </w:rPr>
        <w:t>Feb 22, 2026</w:t>
      </w:r>
    </w:p>
    <w:p w14:paraId="10B3C412" w14:textId="43792F7F" w:rsidR="00BD18B0" w:rsidRPr="00DD7BD1" w:rsidRDefault="00BD18B0" w:rsidP="00BD18B0">
      <w:pPr>
        <w:spacing w:after="0" w:line="240" w:lineRule="auto"/>
        <w:ind w:left="86"/>
        <w:rPr>
          <w:rFonts w:ascii="Calibri" w:hAnsi="Calibri" w:cs="Calibri"/>
          <w:shd w:val="clear" w:color="auto" w:fill="FFFFFF"/>
        </w:rPr>
      </w:pPr>
      <w:r w:rsidRPr="00DD7BD1">
        <w:rPr>
          <w:rFonts w:ascii="Calibri" w:hAnsi="Calibri" w:cs="Calibri"/>
          <w:shd w:val="clear" w:color="auto" w:fill="FFFFFF"/>
        </w:rPr>
        <w:t>On February 19, 2026, the New York City Department of Consumer and Worker Protection (DCWP) issued an updated set of </w:t>
      </w:r>
      <w:hyperlink r:id="rId933"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as well as an updated</w:t>
      </w:r>
      <w:r w:rsidRPr="00DD7BD1">
        <w:rPr>
          <w:rFonts w:ascii="Calibri" w:hAnsi="Calibri" w:cs="Calibri"/>
          <w:color w:val="C00000"/>
          <w:shd w:val="clear" w:color="auto" w:fill="FFFFFF"/>
        </w:rPr>
        <w:t> </w:t>
      </w:r>
      <w:hyperlink r:id="rId934"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that must be distributed to employees regularly working in New York City. These updates address the new unpaid sick leave and new covered uses for sick leave that took effect on February 22, 2026, pursuant to</w:t>
      </w:r>
      <w:hyperlink r:id="rId935" w:tgtFrame="_blank" w:history="1">
        <w:r w:rsidRPr="00DD7BD1">
          <w:rPr>
            <w:rStyle w:val="Hyperlink"/>
            <w:rFonts w:ascii="Calibri" w:hAnsi="Calibri" w:cs="Calibri"/>
            <w:shd w:val="clear" w:color="auto" w:fill="FFFFFF"/>
          </w:rPr>
          <w:t> amendments to the New York City Earned Safe and Sick Time Act</w:t>
        </w:r>
      </w:hyperlink>
      <w:r w:rsidRPr="00DD7BD1">
        <w:rPr>
          <w:rFonts w:ascii="Calibri" w:hAnsi="Calibri" w:cs="Calibri"/>
          <w:shd w:val="clear" w:color="auto" w:fill="FFFFFF"/>
        </w:rPr>
        <w:t>.</w:t>
      </w:r>
    </w:p>
    <w:p w14:paraId="53403C76" w14:textId="77777777" w:rsidR="00BD18B0" w:rsidRPr="00DD7BD1" w:rsidRDefault="00BD18B0" w:rsidP="00BD18B0">
      <w:pPr>
        <w:spacing w:after="0" w:line="240" w:lineRule="auto"/>
        <w:ind w:left="86"/>
        <w:rPr>
          <w:rFonts w:ascii="Calibri" w:hAnsi="Calibri" w:cs="Calibri"/>
          <w:color w:val="C00000"/>
          <w:shd w:val="clear" w:color="auto" w:fill="FFFFFF"/>
          <w:lang w:val="en"/>
        </w:rPr>
      </w:pPr>
    </w:p>
    <w:p w14:paraId="197328AA" w14:textId="137173D4" w:rsidR="005C4C84" w:rsidRPr="00DD7BD1" w:rsidRDefault="005C4C84" w:rsidP="00E55EB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Restricts Use of Credit History in Employment Decisions Eff </w:t>
      </w:r>
      <w:r w:rsidRPr="00DD7BD1">
        <w:rPr>
          <w:rFonts w:ascii="Calibri" w:hAnsi="Calibri" w:cs="Calibri"/>
          <w:b/>
          <w:bCs/>
          <w:color w:val="C00000"/>
          <w:sz w:val="28"/>
          <w:szCs w:val="28"/>
          <w:shd w:val="clear" w:color="auto" w:fill="FFFFFF"/>
          <w:lang w:val="en"/>
        </w:rPr>
        <w:t>April 18, 2026</w:t>
      </w:r>
    </w:p>
    <w:p w14:paraId="71EBB8D4" w14:textId="77777777" w:rsidR="005C4C84" w:rsidRPr="00DD7BD1" w:rsidRDefault="005C4C84" w:rsidP="00E55EB5">
      <w:pPr>
        <w:spacing w:after="0" w:line="240" w:lineRule="auto"/>
        <w:rPr>
          <w:rFonts w:ascii="Calibri" w:hAnsi="Calibri" w:cs="Calibri"/>
        </w:rPr>
      </w:pPr>
      <w:r w:rsidRPr="00DD7BD1">
        <w:rPr>
          <w:rFonts w:ascii="Calibri" w:hAnsi="Calibri" w:cs="Calibri"/>
        </w:rPr>
        <w:t xml:space="preserve">On Dec. 19, 2025, New York passed a </w:t>
      </w:r>
      <w:hyperlink r:id="rId936" w:history="1">
        <w:r w:rsidRPr="00DD7BD1">
          <w:rPr>
            <w:rStyle w:val="Hyperlink"/>
            <w:rFonts w:ascii="Calibri" w:hAnsi="Calibri" w:cs="Calibri"/>
          </w:rPr>
          <w:t>law</w:t>
        </w:r>
      </w:hyperlink>
      <w:r w:rsidRPr="00DD7BD1">
        <w:rPr>
          <w:rFonts w:ascii="Calibri" w:hAnsi="Calibri" w:cs="Calibri"/>
        </w:rPr>
        <w:t xml:space="preserve"> restricting the use of an employee’s credit history in making employment decisions in most circumstances. The law is scheduled to take effect on April 18, 2026. </w:t>
      </w:r>
    </w:p>
    <w:p w14:paraId="7B1E8A42" w14:textId="77777777" w:rsidR="005C4C84" w:rsidRPr="00DD7BD1" w:rsidRDefault="005C4C84" w:rsidP="00E55EB5">
      <w:pPr>
        <w:spacing w:after="0" w:line="240" w:lineRule="auto"/>
        <w:rPr>
          <w:rFonts w:ascii="Calibri" w:hAnsi="Calibri" w:cs="Calibri"/>
          <w:sz w:val="16"/>
          <w:szCs w:val="16"/>
        </w:rPr>
      </w:pPr>
    </w:p>
    <w:p w14:paraId="04276F53" w14:textId="30D8DBE0" w:rsidR="005C4C84" w:rsidRPr="00DD7BD1" w:rsidRDefault="005C4C84" w:rsidP="00E55EB5">
      <w:pPr>
        <w:spacing w:after="0" w:line="240" w:lineRule="auto"/>
        <w:rPr>
          <w:rFonts w:ascii="Calibri" w:hAnsi="Calibri" w:cs="Calibri"/>
        </w:rPr>
      </w:pPr>
      <w:r w:rsidRPr="00DD7BD1">
        <w:rPr>
          <w:rFonts w:ascii="Calibri" w:hAnsi="Calibri" w:cs="Calibri"/>
        </w:rPr>
        <w:t>Employer Takeaway: Employers are encouraged to review current hiring and onboarding practices to ensure that they do not request or use an applicant’s or employee’s consumer credit history in making employment decisions for positions in New York or with respect to individuals located in New York, unless subject to one of the exceptions. New York City employers are likely already familiar with and in compliance with these requirements, as the new state law largely tracks a similar New York City law.</w:t>
      </w:r>
    </w:p>
    <w:p w14:paraId="50401BE3" w14:textId="77777777" w:rsidR="00E55EB5" w:rsidRPr="00DD7BD1" w:rsidRDefault="00E55EB5" w:rsidP="00E55EB5">
      <w:pPr>
        <w:spacing w:after="0" w:line="240" w:lineRule="auto"/>
        <w:rPr>
          <w:rFonts w:ascii="Calibri" w:hAnsi="Calibri" w:cs="Calibri"/>
          <w:b/>
          <w:bCs/>
          <w:sz w:val="16"/>
          <w:szCs w:val="16"/>
        </w:rPr>
      </w:pPr>
    </w:p>
    <w:p w14:paraId="77E67E0B" w14:textId="3EF4CBED" w:rsidR="005C4C84" w:rsidRPr="00DD7BD1" w:rsidRDefault="005C4C84" w:rsidP="00E55EB5">
      <w:pPr>
        <w:spacing w:after="0" w:line="240" w:lineRule="auto"/>
        <w:rPr>
          <w:rFonts w:ascii="Calibri" w:hAnsi="Calibri" w:cs="Calibri"/>
          <w:b/>
          <w:bCs/>
        </w:rPr>
      </w:pPr>
      <w:r w:rsidRPr="00DD7BD1">
        <w:rPr>
          <w:rFonts w:ascii="Calibri" w:hAnsi="Calibri" w:cs="Calibri"/>
          <w:b/>
          <w:bCs/>
        </w:rPr>
        <w:t>Overview of the New Law</w:t>
      </w:r>
    </w:p>
    <w:p w14:paraId="6BB68188" w14:textId="43147AAB" w:rsidR="005C4C84" w:rsidRPr="00DD7BD1" w:rsidRDefault="005C4C84" w:rsidP="00E55EB5">
      <w:pPr>
        <w:spacing w:after="0" w:line="240" w:lineRule="auto"/>
        <w:rPr>
          <w:rFonts w:ascii="Calibri" w:hAnsi="Calibri" w:cs="Calibri"/>
        </w:rPr>
      </w:pPr>
      <w:r w:rsidRPr="00DD7BD1">
        <w:rPr>
          <w:rFonts w:ascii="Calibri" w:hAnsi="Calibri" w:cs="Calibri"/>
        </w:rPr>
        <w:t xml:space="preserve">Under the new law, employers are prohibited from requesting or using the consumer credit history of an applicant or employee for employment </w:t>
      </w:r>
      <w:proofErr w:type="gramStart"/>
      <w:r w:rsidRPr="00DD7BD1">
        <w:rPr>
          <w:rFonts w:ascii="Calibri" w:hAnsi="Calibri" w:cs="Calibri"/>
        </w:rPr>
        <w:t>purposes, or</w:t>
      </w:r>
      <w:proofErr w:type="gramEnd"/>
      <w:r w:rsidRPr="00DD7BD1">
        <w:rPr>
          <w:rFonts w:ascii="Calibri" w:hAnsi="Calibri" w:cs="Calibri"/>
        </w:rPr>
        <w:t xml:space="preserve"> otherwise discriminating against an applicant or employee </w:t>
      </w:r>
      <w:proofErr w:type="gramStart"/>
      <w:r w:rsidRPr="00DD7BD1">
        <w:rPr>
          <w:rFonts w:ascii="Calibri" w:hAnsi="Calibri" w:cs="Calibri"/>
        </w:rPr>
        <w:t>in regard to</w:t>
      </w:r>
      <w:proofErr w:type="gramEnd"/>
      <w:r w:rsidRPr="00DD7BD1">
        <w:rPr>
          <w:rFonts w:ascii="Calibri" w:hAnsi="Calibri" w:cs="Calibri"/>
        </w:rPr>
        <w:t xml:space="preserve"> hiring, compensation, or the terms, conditions or privileges of employment based on their consumer credit history.</w:t>
      </w:r>
    </w:p>
    <w:p w14:paraId="784FA28F" w14:textId="0C3ED20B" w:rsidR="005C4C84" w:rsidRPr="00DD7BD1" w:rsidRDefault="005C4C84" w:rsidP="00E55EB5">
      <w:pPr>
        <w:spacing w:after="0" w:line="240" w:lineRule="auto"/>
        <w:ind w:left="630" w:right="990"/>
        <w:rPr>
          <w:rFonts w:ascii="Calibri" w:hAnsi="Calibri" w:cs="Calibri"/>
        </w:rPr>
      </w:pPr>
      <w:r w:rsidRPr="00DD7BD1">
        <w:rPr>
          <w:rFonts w:ascii="Calibri" w:hAnsi="Calibri" w:cs="Calibri"/>
          <w:b/>
          <w:bCs/>
        </w:rPr>
        <w:t xml:space="preserve">Consumer credit history </w:t>
      </w:r>
      <w:r w:rsidRPr="00DD7BD1">
        <w:rPr>
          <w:rFonts w:ascii="Calibri" w:hAnsi="Calibri" w:cs="Calibri"/>
        </w:rPr>
        <w:t>means an individual’s creditworthiness, credit standing, credit capacity or payment history, as indicated by a consumer credit report, credit score or information an employer obtains from an individual regarding credit account details, bankruptcies, judgments or liens.</w:t>
      </w:r>
    </w:p>
    <w:p w14:paraId="6CBEAAD7" w14:textId="77777777" w:rsidR="00E55EB5" w:rsidRPr="00DD7BD1" w:rsidRDefault="00E55EB5" w:rsidP="00E55EB5">
      <w:pPr>
        <w:spacing w:after="0" w:line="240" w:lineRule="auto"/>
        <w:rPr>
          <w:rFonts w:ascii="Calibri" w:hAnsi="Calibri" w:cs="Calibri"/>
          <w:b/>
          <w:bCs/>
          <w:sz w:val="16"/>
          <w:szCs w:val="16"/>
        </w:rPr>
      </w:pPr>
    </w:p>
    <w:p w14:paraId="221C33FF" w14:textId="467AB6AB" w:rsidR="005C4C84" w:rsidRPr="00DD7BD1" w:rsidRDefault="005C4C84" w:rsidP="00E55EB5">
      <w:pPr>
        <w:spacing w:after="0" w:line="240" w:lineRule="auto"/>
        <w:rPr>
          <w:rFonts w:ascii="Calibri" w:hAnsi="Calibri" w:cs="Calibri"/>
          <w:b/>
          <w:bCs/>
        </w:rPr>
      </w:pPr>
      <w:r w:rsidRPr="00DD7BD1">
        <w:rPr>
          <w:rFonts w:ascii="Calibri" w:hAnsi="Calibri" w:cs="Calibri"/>
          <w:b/>
          <w:bCs/>
        </w:rPr>
        <w:t>Exceptions</w:t>
      </w:r>
    </w:p>
    <w:p w14:paraId="2F0394C8" w14:textId="77777777" w:rsidR="005C4C84" w:rsidRPr="00DD7BD1" w:rsidRDefault="005C4C84" w:rsidP="00E55EB5">
      <w:pPr>
        <w:spacing w:after="0" w:line="240" w:lineRule="auto"/>
        <w:rPr>
          <w:rFonts w:ascii="Calibri" w:hAnsi="Calibri" w:cs="Calibri"/>
        </w:rPr>
      </w:pPr>
      <w:r w:rsidRPr="00DD7BD1">
        <w:rPr>
          <w:rFonts w:ascii="Calibri" w:hAnsi="Calibri" w:cs="Calibri"/>
        </w:rPr>
        <w:t>However, these requirements do not apply with respect to:</w:t>
      </w:r>
    </w:p>
    <w:p w14:paraId="376F79A6"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Employers, or agents thereof, that are legally required to use an individual’s consumer credit history for employment purposes;</w:t>
      </w:r>
    </w:p>
    <w:p w14:paraId="4A9AA9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Peace officers, police officers, law enforcement positions or positions with an investigative function in a law enforcement agency;</w:t>
      </w:r>
    </w:p>
    <w:p w14:paraId="2A6939A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Appointed positions that are subject to background investigations by a state agency and in which a high degree of public trust has been reposed;</w:t>
      </w:r>
    </w:p>
    <w:p w14:paraId="21D6C605"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required to be bonded under law;</w:t>
      </w:r>
    </w:p>
    <w:p w14:paraId="47776051"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a legally required security clearance;</w:t>
      </w:r>
    </w:p>
    <w:p w14:paraId="49B6ED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Nonclerical positions having regular access to trade secrets, intelligence information or national security information;</w:t>
      </w:r>
    </w:p>
    <w:p w14:paraId="09C5EF30"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signatory authority over third-party funds or assets valued at $10,000 or more or that involve a fiduciary responsibility to the employer with the authority to enter into financial agreements valued at $10,000 or more on behalf of the employer; or</w:t>
      </w:r>
    </w:p>
    <w:p w14:paraId="0975A76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 xml:space="preserve">Positions with regular duties that allow the employee to modify digital security systems established to prevent the unauthorized use of the employer’s or client’s networks or databases. </w:t>
      </w:r>
    </w:p>
    <w:p w14:paraId="01A4FA23" w14:textId="77777777" w:rsidR="005C4C84" w:rsidRPr="00DD7BD1" w:rsidRDefault="005C4C84" w:rsidP="00E55EB5">
      <w:pPr>
        <w:pStyle w:val="Bullet"/>
        <w:numPr>
          <w:ilvl w:val="0"/>
          <w:numId w:val="0"/>
        </w:numPr>
        <w:spacing w:line="240" w:lineRule="auto"/>
        <w:rPr>
          <w:rFonts w:cs="Calibri"/>
          <w:color w:val="auto"/>
          <w:szCs w:val="22"/>
        </w:rPr>
      </w:pPr>
      <w:r w:rsidRPr="00DD7BD1">
        <w:rPr>
          <w:rFonts w:cs="Calibri"/>
          <w:color w:val="auto"/>
          <w:szCs w:val="22"/>
        </w:rPr>
        <w:t>Employers may request or receive consumer credit history information pursuant to a lawful subpoena, court order or law enforcement investigation.</w:t>
      </w:r>
    </w:p>
    <w:p w14:paraId="72F8DFFA" w14:textId="77777777" w:rsidR="0054168A" w:rsidRPr="00DD7BD1" w:rsidRDefault="0054168A" w:rsidP="00E55EB5">
      <w:pPr>
        <w:pStyle w:val="Bullet"/>
        <w:numPr>
          <w:ilvl w:val="0"/>
          <w:numId w:val="0"/>
        </w:numPr>
        <w:spacing w:line="240" w:lineRule="auto"/>
        <w:rPr>
          <w:rFonts w:cs="Calibri"/>
          <w:color w:val="auto"/>
          <w:szCs w:val="22"/>
        </w:rPr>
      </w:pPr>
    </w:p>
    <w:p w14:paraId="246BA5B0" w14:textId="77777777" w:rsidR="0054168A" w:rsidRPr="00DD7BD1" w:rsidRDefault="0054168A" w:rsidP="0054168A">
      <w:pPr>
        <w:pStyle w:val="MainTitle"/>
        <w:spacing w:after="0" w:line="240" w:lineRule="auto"/>
        <w:jc w:val="center"/>
        <w:rPr>
          <w:rFonts w:ascii="Calibri" w:hAnsi="Calibri" w:cs="Calibri"/>
          <w:bCs/>
          <w:color w:val="C00000"/>
          <w:sz w:val="28"/>
          <w:szCs w:val="28"/>
          <w:shd w:val="clear" w:color="auto" w:fill="FFFFFF"/>
          <w:lang w:val="en"/>
        </w:rPr>
      </w:pPr>
      <w:r w:rsidRPr="00DD7BD1">
        <w:rPr>
          <w:rFonts w:ascii="Calibri" w:hAnsi="Calibri" w:cs="Calibri"/>
          <w:bCs/>
          <w:color w:val="auto"/>
          <w:sz w:val="28"/>
          <w:szCs w:val="28"/>
          <w:shd w:val="clear" w:color="auto" w:fill="FFFFFF"/>
          <w:lang w:val="en"/>
        </w:rPr>
        <w:t xml:space="preserve">State Expands Paid Family Leave for </w:t>
      </w:r>
      <w:r w:rsidRPr="00DD7BD1">
        <w:rPr>
          <w:rFonts w:ascii="Calibri" w:hAnsi="Calibri" w:cs="Calibri"/>
          <w:bCs/>
          <w:color w:val="auto"/>
          <w:sz w:val="28"/>
          <w:szCs w:val="28"/>
          <w:u w:val="single"/>
          <w:shd w:val="clear" w:color="auto" w:fill="FFFFFF"/>
          <w:lang w:val="en"/>
        </w:rPr>
        <w:t>Construction Workers</w:t>
      </w:r>
      <w:r w:rsidRPr="00DD7BD1">
        <w:rPr>
          <w:rFonts w:ascii="Calibri" w:hAnsi="Calibri" w:cs="Calibri"/>
          <w:bCs/>
          <w:color w:val="auto"/>
          <w:sz w:val="28"/>
          <w:szCs w:val="28"/>
          <w:shd w:val="clear" w:color="auto" w:fill="FFFFFF"/>
          <w:lang w:val="en"/>
        </w:rPr>
        <w:t xml:space="preserve"> Eff </w:t>
      </w:r>
      <w:r w:rsidRPr="00DD7BD1">
        <w:rPr>
          <w:rFonts w:ascii="Calibri" w:hAnsi="Calibri" w:cs="Calibri"/>
          <w:bCs/>
          <w:color w:val="C00000"/>
          <w:sz w:val="28"/>
          <w:szCs w:val="28"/>
          <w:shd w:val="clear" w:color="auto" w:fill="FFFFFF"/>
          <w:lang w:val="en"/>
        </w:rPr>
        <w:t>January 2027</w:t>
      </w:r>
    </w:p>
    <w:p w14:paraId="50C00563"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New York has enacted a</w:t>
      </w:r>
      <w:r w:rsidRPr="00DD7BD1">
        <w:rPr>
          <w:rFonts w:cs="Calibri"/>
          <w:szCs w:val="22"/>
        </w:rPr>
        <w:t xml:space="preserve"> </w:t>
      </w:r>
      <w:hyperlink r:id="rId937" w:history="1">
        <w:r w:rsidRPr="00DD7BD1">
          <w:rPr>
            <w:rStyle w:val="Hyperlink"/>
            <w:rFonts w:cs="Calibri"/>
            <w:szCs w:val="22"/>
          </w:rPr>
          <w:t>bill</w:t>
        </w:r>
      </w:hyperlink>
      <w:r w:rsidRPr="00DD7BD1">
        <w:rPr>
          <w:rFonts w:cs="Calibri"/>
          <w:szCs w:val="22"/>
        </w:rPr>
        <w:t xml:space="preserve"> </w:t>
      </w:r>
      <w:r w:rsidRPr="00DD7BD1">
        <w:rPr>
          <w:rFonts w:cs="Calibri"/>
          <w:color w:val="auto"/>
          <w:szCs w:val="22"/>
        </w:rPr>
        <w:t xml:space="preserve">amending the state’s </w:t>
      </w:r>
      <w:hyperlink r:id="rId938" w:history="1">
        <w:r w:rsidRPr="00DD7BD1">
          <w:rPr>
            <w:rStyle w:val="Hyperlink"/>
            <w:rFonts w:cs="Calibri"/>
            <w:szCs w:val="22"/>
          </w:rPr>
          <w:t>paid family leave (PFL) law</w:t>
        </w:r>
      </w:hyperlink>
      <w:r w:rsidRPr="00DD7BD1">
        <w:rPr>
          <w:rFonts w:cs="Calibri"/>
          <w:szCs w:val="22"/>
        </w:rPr>
        <w:t xml:space="preserve"> </w:t>
      </w:r>
      <w:r w:rsidRPr="00DD7BD1">
        <w:rPr>
          <w:rFonts w:cs="Calibri"/>
          <w:color w:val="auto"/>
          <w:szCs w:val="22"/>
        </w:rPr>
        <w:t xml:space="preserve">to provide coverage for certain collectively bargained workers in construction and related trades. The amendments do not take effect until </w:t>
      </w:r>
      <w:r w:rsidRPr="00DD7BD1">
        <w:rPr>
          <w:rFonts w:cs="Calibri"/>
          <w:b/>
          <w:bCs/>
          <w:color w:val="auto"/>
          <w:szCs w:val="22"/>
        </w:rPr>
        <w:t>January 2027</w:t>
      </w:r>
      <w:r w:rsidRPr="00DD7BD1">
        <w:rPr>
          <w:rFonts w:cs="Calibri"/>
          <w:color w:val="auto"/>
          <w:szCs w:val="22"/>
        </w:rPr>
        <w:t xml:space="preserve">.  </w:t>
      </w:r>
    </w:p>
    <w:p w14:paraId="719B867F" w14:textId="77777777" w:rsidR="0054168A" w:rsidRPr="00DD7BD1" w:rsidRDefault="0054168A" w:rsidP="0054168A">
      <w:pPr>
        <w:pStyle w:val="BodyText"/>
        <w:spacing w:after="0" w:line="240" w:lineRule="auto"/>
        <w:rPr>
          <w:rFonts w:cs="Calibri"/>
          <w:color w:val="auto"/>
          <w:sz w:val="16"/>
          <w:szCs w:val="16"/>
        </w:rPr>
      </w:pPr>
    </w:p>
    <w:p w14:paraId="7683A6AD" w14:textId="77777777" w:rsidR="0054168A" w:rsidRPr="00DD7BD1" w:rsidRDefault="0054168A" w:rsidP="0054168A">
      <w:pPr>
        <w:pStyle w:val="SubHeader"/>
        <w:spacing w:line="240" w:lineRule="auto"/>
        <w:rPr>
          <w:rFonts w:cs="Calibri"/>
          <w:color w:val="auto"/>
          <w:sz w:val="22"/>
          <w:szCs w:val="22"/>
        </w:rPr>
      </w:pPr>
      <w:r w:rsidRPr="00DD7BD1">
        <w:rPr>
          <w:rFonts w:cs="Calibri"/>
          <w:color w:val="auto"/>
          <w:sz w:val="22"/>
          <w:szCs w:val="22"/>
        </w:rPr>
        <w:lastRenderedPageBreak/>
        <w:t>Assembly Bill A4727</w:t>
      </w:r>
    </w:p>
    <w:p w14:paraId="339E3475"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Assembly Bill A4727, which amends the PFL law, establishes a new eligibility standard for construction employees who work for multiple employers pursuant to a collective bargaining agreement. These employees will become eligible for PFL if they have been in employment for at least 26 of the last 39 weeks with a covered employer that is signatory to a collective bargaining agreement. This means that construction employees may be eligible even if their weeks of work were with different employers and not fully consecutive.</w:t>
      </w:r>
    </w:p>
    <w:p w14:paraId="574F3ED9" w14:textId="77777777" w:rsidR="0054168A" w:rsidRPr="00DD7BD1" w:rsidRDefault="0054168A" w:rsidP="0054168A">
      <w:pPr>
        <w:pStyle w:val="BodyText"/>
        <w:spacing w:after="0" w:line="240" w:lineRule="auto"/>
        <w:rPr>
          <w:rFonts w:cs="Calibri"/>
          <w:color w:val="auto"/>
          <w:sz w:val="16"/>
          <w:szCs w:val="16"/>
        </w:rPr>
      </w:pPr>
    </w:p>
    <w:p w14:paraId="162AFC93" w14:textId="77777777" w:rsidR="0054168A" w:rsidRPr="00DD7BD1" w:rsidRDefault="0054168A" w:rsidP="0054168A">
      <w:pPr>
        <w:pStyle w:val="SubHeader"/>
        <w:spacing w:line="240" w:lineRule="auto"/>
        <w:ind w:left="630" w:right="1080"/>
        <w:rPr>
          <w:rFonts w:cs="Calibri"/>
          <w:color w:val="auto"/>
          <w:sz w:val="22"/>
          <w:szCs w:val="22"/>
        </w:rPr>
      </w:pPr>
      <w:r w:rsidRPr="00DD7BD1">
        <w:rPr>
          <w:rFonts w:cs="Calibri"/>
          <w:color w:val="auto"/>
          <w:sz w:val="22"/>
          <w:szCs w:val="22"/>
        </w:rPr>
        <w:t xml:space="preserve">“Construction Employees” </w:t>
      </w:r>
    </w:p>
    <w:p w14:paraId="0A2862E8" w14:textId="77777777" w:rsidR="0054168A" w:rsidRPr="00DD7BD1" w:rsidRDefault="0054168A" w:rsidP="0054168A">
      <w:pPr>
        <w:pStyle w:val="BodyText"/>
        <w:spacing w:after="0" w:line="240" w:lineRule="auto"/>
        <w:ind w:left="630" w:right="1080"/>
        <w:rPr>
          <w:rFonts w:cs="Calibri"/>
          <w:color w:val="auto"/>
          <w:szCs w:val="22"/>
        </w:rPr>
      </w:pPr>
      <w:r w:rsidRPr="00DD7BD1">
        <w:rPr>
          <w:rFonts w:cs="Calibri"/>
          <w:color w:val="auto"/>
          <w:szCs w:val="22"/>
        </w:rPr>
        <w:t>Construction employees are employees who perform construction, demolition, reconstruction, excavation, rehabilitation, repairs, renovations, alterations or improvements for multiple employers pursuant to a collective bargaining agreement.</w:t>
      </w:r>
    </w:p>
    <w:p w14:paraId="4A67070B" w14:textId="77777777" w:rsidR="0054168A" w:rsidRPr="00DD7BD1" w:rsidRDefault="0054168A" w:rsidP="0054168A">
      <w:pPr>
        <w:pStyle w:val="BodyText"/>
        <w:spacing w:after="0" w:line="240" w:lineRule="auto"/>
        <w:ind w:left="630" w:right="1080"/>
        <w:rPr>
          <w:rFonts w:cs="Calibri"/>
          <w:color w:val="auto"/>
          <w:sz w:val="16"/>
          <w:szCs w:val="16"/>
        </w:rPr>
      </w:pPr>
    </w:p>
    <w:p w14:paraId="373F7B8A" w14:textId="066542EA" w:rsidR="005C4C84" w:rsidRPr="00DD7BD1" w:rsidRDefault="0054168A" w:rsidP="0054168A">
      <w:pPr>
        <w:pStyle w:val="BodyText"/>
        <w:rPr>
          <w:rFonts w:cs="Calibri"/>
          <w:color w:val="auto"/>
          <w:szCs w:val="22"/>
        </w:rPr>
      </w:pPr>
      <w:r w:rsidRPr="00DD7BD1">
        <w:rPr>
          <w:rFonts w:cs="Calibri"/>
          <w:color w:val="auto"/>
          <w:szCs w:val="22"/>
        </w:rPr>
        <w:t>ETC does not typically track or report on industry specific enactments.  Applicable employers are encouraged to make note of this upcoming obligation, track updates and ensure compliance ahead of the effective date.</w:t>
      </w:r>
    </w:p>
    <w:p w14:paraId="07EDC0BB" w14:textId="77777777" w:rsidR="00CA67A5" w:rsidRPr="00DD7BD1" w:rsidRDefault="00CA67A5" w:rsidP="00CA67A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Covered Employers Required to Include Opioid Antagonist in First Aid Kits – Eff </w:t>
      </w:r>
      <w:r w:rsidRPr="00DD7BD1">
        <w:rPr>
          <w:rFonts w:ascii="Calibri" w:hAnsi="Calibri" w:cs="Calibri"/>
          <w:b/>
          <w:bCs/>
          <w:color w:val="C00000"/>
          <w:sz w:val="28"/>
          <w:szCs w:val="28"/>
          <w:shd w:val="clear" w:color="auto" w:fill="FFFFFF"/>
          <w:lang w:val="en"/>
        </w:rPr>
        <w:t>June 10, 2026</w:t>
      </w:r>
    </w:p>
    <w:p w14:paraId="470772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response to the growing number of opioid emergencies, Gov. Kathy Hochul (D) signed </w:t>
      </w:r>
      <w:hyperlink r:id="rId939" w:tgtFrame="_blank" w:history="1">
        <w:r w:rsidRPr="00DD7BD1">
          <w:rPr>
            <w:rStyle w:val="Hyperlink"/>
            <w:rFonts w:ascii="Calibri" w:hAnsi="Calibri" w:cs="Calibri"/>
            <w:shd w:val="clear" w:color="auto" w:fill="FFFFFF"/>
          </w:rPr>
          <w:t>Senate Bill S5922/A2725</w:t>
        </w:r>
      </w:hyperlink>
      <w:r w:rsidRPr="00DD7BD1">
        <w:rPr>
          <w:rFonts w:ascii="Calibri" w:hAnsi="Calibri" w:cs="Calibri"/>
          <w:color w:val="C00000"/>
          <w:shd w:val="clear" w:color="auto" w:fill="FFFFFF"/>
        </w:rPr>
        <w:t> </w:t>
      </w:r>
      <w:r w:rsidRPr="00DD7BD1">
        <w:rPr>
          <w:rFonts w:ascii="Calibri" w:hAnsi="Calibri" w:cs="Calibri"/>
          <w:shd w:val="clear" w:color="auto" w:fill="FFFFFF"/>
        </w:rPr>
        <w:t>into law, requiring private employers to include an opioid antagonist where first aid kits are required by federal law.</w:t>
      </w:r>
    </w:p>
    <w:p w14:paraId="03C3EE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addition, Gov. Hochul secured an agreement with the New York Legislature to </w:t>
      </w:r>
      <w:hyperlink r:id="rId940" w:tgtFrame="_blank" w:history="1">
        <w:r w:rsidRPr="00DD7BD1">
          <w:rPr>
            <w:rStyle w:val="Hyperlink"/>
            <w:rFonts w:ascii="Calibri" w:hAnsi="Calibri" w:cs="Calibri"/>
            <w:shd w:val="clear" w:color="auto" w:fill="FFFFFF"/>
          </w:rPr>
          <w:t>amend the Bill</w:t>
        </w:r>
      </w:hyperlink>
      <w:r w:rsidRPr="00DD7BD1">
        <w:rPr>
          <w:rFonts w:ascii="Calibri" w:hAnsi="Calibri" w:cs="Calibri"/>
          <w:color w:val="C00000"/>
          <w:shd w:val="clear" w:color="auto" w:fill="FFFFFF"/>
        </w:rPr>
        <w:t> </w:t>
      </w:r>
      <w:r w:rsidRPr="00DD7BD1">
        <w:rPr>
          <w:rFonts w:ascii="Calibri" w:hAnsi="Calibri" w:cs="Calibri"/>
          <w:shd w:val="clear" w:color="auto" w:fill="FFFFFF"/>
        </w:rPr>
        <w:t>to:</w:t>
      </w:r>
    </w:p>
    <w:p w14:paraId="0EA4C145"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Clarify that opioid antagonists must be kept in the workplace, but not in </w:t>
      </w:r>
      <w:r w:rsidRPr="00DD7BD1">
        <w:rPr>
          <w:rFonts w:ascii="Calibri" w:hAnsi="Calibri" w:cs="Calibri"/>
          <w:i/>
          <w:iCs/>
          <w:shd w:val="clear" w:color="auto" w:fill="FFFFFF"/>
        </w:rPr>
        <w:t>every</w:t>
      </w:r>
      <w:r w:rsidRPr="00DD7BD1">
        <w:rPr>
          <w:rFonts w:ascii="Calibri" w:hAnsi="Calibri" w:cs="Calibri"/>
          <w:shd w:val="clear" w:color="auto" w:fill="FFFFFF"/>
        </w:rPr>
        <w:t> individual first aid kit.</w:t>
      </w:r>
    </w:p>
    <w:p w14:paraId="61972033"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Ensure consistency between this law and other existing opioid overdose prevention programs.</w:t>
      </w:r>
    </w:p>
    <w:p w14:paraId="7DBB1DD7"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Require the New York State Department of Labor to issue rules addressing workplace training and quantities of the antagonists that must be maintained, and to give employers time to comply.</w:t>
      </w:r>
    </w:p>
    <w:p w14:paraId="0E74AEBB"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The law will go into effect on June 10.</w:t>
      </w:r>
    </w:p>
    <w:p w14:paraId="2D5FE585" w14:textId="77777777" w:rsidR="00CA67A5" w:rsidRPr="00DD7BD1" w:rsidRDefault="00CA67A5" w:rsidP="00CA67A5">
      <w:pPr>
        <w:spacing w:after="0" w:line="240" w:lineRule="auto"/>
        <w:rPr>
          <w:rFonts w:ascii="Calibri" w:hAnsi="Calibri" w:cs="Calibri"/>
          <w:sz w:val="16"/>
          <w:szCs w:val="16"/>
          <w:shd w:val="clear" w:color="auto" w:fill="FFFFFF"/>
        </w:rPr>
      </w:pPr>
    </w:p>
    <w:p w14:paraId="52F4F1E3"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b/>
          <w:bCs/>
          <w:shd w:val="clear" w:color="auto" w:fill="FFFFFF"/>
        </w:rPr>
        <w:t>Who is covered?</w:t>
      </w:r>
    </w:p>
    <w:p w14:paraId="19F071C0"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This law applies to</w:t>
      </w:r>
      <w:r w:rsidRPr="00DD7BD1">
        <w:rPr>
          <w:rFonts w:ascii="Calibri" w:hAnsi="Calibri" w:cs="Calibri"/>
          <w:b/>
          <w:bCs/>
          <w:shd w:val="clear" w:color="auto" w:fill="FFFFFF"/>
        </w:rPr>
        <w:t xml:space="preserve"> private employers</w:t>
      </w:r>
      <w:r w:rsidRPr="00DD7BD1">
        <w:rPr>
          <w:rFonts w:ascii="Calibri" w:hAnsi="Calibri" w:cs="Calibri"/>
          <w:shd w:val="clear" w:color="auto" w:fill="FFFFFF"/>
        </w:rPr>
        <w:t xml:space="preserve"> in the State of New York who are</w:t>
      </w:r>
      <w:r w:rsidRPr="00DD7BD1">
        <w:rPr>
          <w:rFonts w:ascii="Calibri" w:hAnsi="Calibri" w:cs="Calibri"/>
          <w:b/>
          <w:bCs/>
          <w:shd w:val="clear" w:color="auto" w:fill="FFFFFF"/>
        </w:rPr>
        <w:t xml:space="preserve"> mandated by the federal Occupational Safety and Health Administration to have first aid kits</w:t>
      </w:r>
      <w:r w:rsidRPr="00DD7BD1">
        <w:rPr>
          <w:rFonts w:ascii="Calibri" w:hAnsi="Calibri" w:cs="Calibri"/>
          <w:shd w:val="clear" w:color="auto" w:fill="FFFFFF"/>
        </w:rPr>
        <w:t>. “Employer” is defined as “any person, corporation, limited liability company, or association employing any individual in any occupation, industry, trade, business, or service.” </w:t>
      </w:r>
      <w:hyperlink r:id="rId941" w:tgtFrame="_blank" w:history="1">
        <w:r w:rsidRPr="00DD7BD1">
          <w:rPr>
            <w:rStyle w:val="Hyperlink"/>
            <w:rFonts w:ascii="Calibri" w:hAnsi="Calibri" w:cs="Calibri"/>
            <w:shd w:val="clear" w:color="auto" w:fill="FFFFFF"/>
          </w:rPr>
          <w:t>OSHA regulations</w:t>
        </w:r>
      </w:hyperlink>
      <w:r w:rsidRPr="00DD7BD1">
        <w:rPr>
          <w:rFonts w:ascii="Calibri" w:hAnsi="Calibri" w:cs="Calibri"/>
          <w:shd w:val="clear" w:color="auto" w:fill="FFFFFF"/>
        </w:rPr>
        <w:t> provide that, if an infirmary, clinic, or hospital is not close to the workplace, adequate first aid supplies must be readily available.</w:t>
      </w:r>
    </w:p>
    <w:p w14:paraId="384895E3" w14:textId="77777777" w:rsidR="00CA67A5" w:rsidRPr="00DD7BD1" w:rsidRDefault="00CA67A5" w:rsidP="00CA67A5">
      <w:pPr>
        <w:spacing w:after="0" w:line="240" w:lineRule="auto"/>
        <w:rPr>
          <w:rFonts w:ascii="Calibri" w:hAnsi="Calibri" w:cs="Calibri"/>
          <w:sz w:val="16"/>
          <w:szCs w:val="16"/>
          <w:shd w:val="clear" w:color="auto" w:fill="FFFFFF"/>
          <w:lang w:val="en"/>
        </w:rPr>
      </w:pPr>
    </w:p>
    <w:p w14:paraId="53AAF5B6" w14:textId="77777777" w:rsidR="00CA67A5" w:rsidRPr="00DD7BD1" w:rsidRDefault="00CA67A5" w:rsidP="00CA67A5">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protections</w:t>
      </w:r>
    </w:p>
    <w:p w14:paraId="60A1358F"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Addressing the concern about legal implications associated with administering opioid antagonists, New York law provides certain legal protections to employers:</w:t>
      </w:r>
    </w:p>
    <w:p w14:paraId="2390A51D" w14:textId="77777777" w:rsidR="00CA67A5" w:rsidRPr="00DD7BD1" w:rsidRDefault="00CA67A5" w:rsidP="00CA67A5">
      <w:pPr>
        <w:numPr>
          <w:ilvl w:val="0"/>
          <w:numId w:val="311"/>
        </w:numPr>
        <w:spacing w:after="0" w:line="240" w:lineRule="auto"/>
        <w:rPr>
          <w:rFonts w:ascii="Calibri" w:hAnsi="Calibri" w:cs="Calibri"/>
          <w:color w:val="C00000"/>
          <w:shd w:val="clear" w:color="auto" w:fill="FFFFFF"/>
        </w:rPr>
      </w:pPr>
      <w:hyperlink r:id="rId942" w:tgtFrame="_blank" w:history="1">
        <w:r w:rsidRPr="00DD7BD1">
          <w:rPr>
            <w:rStyle w:val="Hyperlink"/>
            <w:rFonts w:ascii="Calibri" w:hAnsi="Calibri" w:cs="Calibri"/>
            <w:shd w:val="clear" w:color="auto" w:fill="FFFFFF"/>
          </w:rPr>
          <w:t>Public Health Law § 3309(4)(b)</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civil, criminal, and professional liability protections for individuals and organizations who administer opioid antagonists reasonably and in good faith.</w:t>
      </w:r>
    </w:p>
    <w:p w14:paraId="198FD430" w14:textId="62FB5B2C" w:rsidR="00CA67A5" w:rsidRPr="00DD7BD1" w:rsidRDefault="00CA67A5" w:rsidP="0054168A">
      <w:pPr>
        <w:numPr>
          <w:ilvl w:val="0"/>
          <w:numId w:val="311"/>
        </w:numPr>
        <w:spacing w:after="0" w:line="240" w:lineRule="auto"/>
        <w:rPr>
          <w:rFonts w:ascii="Calibri" w:hAnsi="Calibri" w:cs="Calibri"/>
          <w:shd w:val="clear" w:color="auto" w:fill="FFFFFF"/>
        </w:rPr>
      </w:pPr>
      <w:hyperlink r:id="rId943" w:tgtFrame="_blank" w:history="1">
        <w:r w:rsidRPr="00DD7BD1">
          <w:rPr>
            <w:rStyle w:val="Hyperlink"/>
            <w:rFonts w:ascii="Calibri" w:hAnsi="Calibri" w:cs="Calibri"/>
            <w:shd w:val="clear" w:color="auto" w:fill="FFFFFF"/>
          </w:rPr>
          <w:t>The New York State 911 Good Samaritan Law</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protections against criminal liability for individuals who call for emergency assistance in the event of a drug or alcohol overdose that requires emergency medical care.</w:t>
      </w:r>
    </w:p>
    <w:p w14:paraId="0596ED48" w14:textId="77777777" w:rsidR="00EA52CC" w:rsidRPr="00DD7BD1" w:rsidRDefault="00EA52CC" w:rsidP="00EA52CC">
      <w:pPr>
        <w:spacing w:after="0" w:line="240" w:lineRule="auto"/>
        <w:ind w:left="720"/>
        <w:rPr>
          <w:rFonts w:ascii="Calibri" w:hAnsi="Calibri" w:cs="Calibri"/>
          <w:shd w:val="clear" w:color="auto" w:fill="FFFFFF"/>
        </w:rPr>
      </w:pPr>
    </w:p>
    <w:p w14:paraId="617E38A2" w14:textId="77777777" w:rsidR="00706B1C" w:rsidRPr="00DD7BD1" w:rsidRDefault="00706B1C" w:rsidP="0071000E">
      <w:pPr>
        <w:spacing w:after="0" w:line="240" w:lineRule="auto"/>
        <w:jc w:val="center"/>
        <w:rPr>
          <w:rFonts w:ascii="Calibri" w:hAnsi="Calibri" w:cs="Calibri"/>
          <w:b/>
          <w:bCs/>
          <w:sz w:val="28"/>
          <w:szCs w:val="28"/>
          <w:shd w:val="clear" w:color="auto" w:fill="FFFFFF"/>
          <w:lang w:val="en"/>
        </w:rPr>
      </w:pPr>
      <w:bookmarkStart w:id="122" w:name="_Hlk212644245"/>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State’s Ban on Stay-or-Pay Agreements Eff </w:t>
      </w:r>
      <w:r w:rsidRPr="00DD7BD1">
        <w:rPr>
          <w:rFonts w:ascii="Calibri" w:hAnsi="Calibri" w:cs="Calibri"/>
          <w:b/>
          <w:bCs/>
          <w:color w:val="C00000"/>
          <w:sz w:val="28"/>
          <w:szCs w:val="28"/>
          <w:shd w:val="clear" w:color="auto" w:fill="FFFFFF"/>
          <w:lang w:val="en"/>
        </w:rPr>
        <w:t>Dec 19, 2025</w:t>
      </w:r>
    </w:p>
    <w:p w14:paraId="424F7D69" w14:textId="77777777" w:rsidR="00706B1C" w:rsidRPr="00DD7BD1" w:rsidRDefault="00706B1C" w:rsidP="0071000E">
      <w:pPr>
        <w:spacing w:after="0" w:line="240" w:lineRule="auto"/>
        <w:rPr>
          <w:rFonts w:ascii="Calibri" w:hAnsi="Calibri" w:cs="Calibri"/>
        </w:rPr>
      </w:pPr>
      <w:r w:rsidRPr="00DD7BD1">
        <w:rPr>
          <w:rFonts w:ascii="Calibri" w:hAnsi="Calibri" w:cs="Calibri"/>
        </w:rPr>
        <w:t xml:space="preserve">As a reminder, on </w:t>
      </w:r>
      <w:r w:rsidRPr="00DD7BD1">
        <w:rPr>
          <w:rFonts w:ascii="Calibri" w:hAnsi="Calibri" w:cs="Calibri"/>
          <w:b/>
          <w:bCs/>
        </w:rPr>
        <w:t>Dec. 19, 2025</w:t>
      </w:r>
      <w:r w:rsidRPr="00DD7BD1">
        <w:rPr>
          <w:rFonts w:ascii="Calibri" w:hAnsi="Calibri" w:cs="Calibri"/>
        </w:rPr>
        <w:t xml:space="preserve">, New York passed the </w:t>
      </w:r>
      <w:hyperlink r:id="rId944" w:history="1">
        <w:r w:rsidRPr="00DD7BD1">
          <w:rPr>
            <w:rStyle w:val="Hyperlink"/>
            <w:rFonts w:ascii="Calibri" w:hAnsi="Calibri" w:cs="Calibri"/>
          </w:rPr>
          <w:t>Trapped at Work Act</w:t>
        </w:r>
      </w:hyperlink>
      <w:r w:rsidRPr="00DD7BD1">
        <w:rPr>
          <w:rFonts w:ascii="Calibri" w:hAnsi="Calibri" w:cs="Calibri"/>
        </w:rPr>
        <w:t xml:space="preserve"> (Act), which bans employers from entering into stay-or-pay agreements with workers. The law went into effect immediately. </w:t>
      </w:r>
    </w:p>
    <w:p w14:paraId="7E8B07D2" w14:textId="77777777" w:rsidR="00706B1C" w:rsidRPr="00DD7BD1" w:rsidRDefault="00706B1C" w:rsidP="0071000E">
      <w:pPr>
        <w:spacing w:after="0" w:line="240" w:lineRule="auto"/>
        <w:rPr>
          <w:rFonts w:ascii="Calibri" w:hAnsi="Calibri" w:cs="Calibri"/>
          <w:sz w:val="16"/>
          <w:szCs w:val="16"/>
        </w:rPr>
      </w:pPr>
    </w:p>
    <w:p w14:paraId="36B80BF6" w14:textId="77777777" w:rsidR="00706B1C" w:rsidRPr="00DD7BD1" w:rsidRDefault="00706B1C" w:rsidP="0071000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are encouraged to review and update existing employment contract templates to ensure they do not contain any unlawful stay-or-pay provisions. Employers may also consider revising any unlawful contracts or repayment programs to comply with one of the law’s enumerated exceptions.</w:t>
      </w:r>
    </w:p>
    <w:p w14:paraId="4DAF9BD5" w14:textId="77777777" w:rsidR="00706B1C" w:rsidRPr="00DD7BD1" w:rsidRDefault="00706B1C" w:rsidP="0071000E">
      <w:pPr>
        <w:spacing w:after="0" w:line="240" w:lineRule="auto"/>
        <w:rPr>
          <w:rFonts w:ascii="Calibri" w:hAnsi="Calibri" w:cs="Calibri"/>
          <w:sz w:val="16"/>
          <w:szCs w:val="16"/>
        </w:rPr>
      </w:pPr>
    </w:p>
    <w:p w14:paraId="64FA0E72"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the Act</w:t>
      </w:r>
    </w:p>
    <w:p w14:paraId="680923F9" w14:textId="77777777" w:rsidR="00706B1C" w:rsidRPr="00DD7BD1" w:rsidRDefault="00706B1C" w:rsidP="0071000E">
      <w:pPr>
        <w:spacing w:after="0" w:line="240" w:lineRule="auto"/>
        <w:rPr>
          <w:rFonts w:ascii="Calibri" w:hAnsi="Calibri" w:cs="Calibri"/>
        </w:rPr>
      </w:pPr>
      <w:r w:rsidRPr="00DD7BD1">
        <w:rPr>
          <w:rFonts w:ascii="Calibri" w:hAnsi="Calibri" w:cs="Calibri"/>
        </w:rPr>
        <w:t>As of Dec. 19, 2025, employers are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w:t>
      </w:r>
    </w:p>
    <w:p w14:paraId="41B5EB43" w14:textId="77777777" w:rsidR="00706B1C" w:rsidRPr="00DD7BD1" w:rsidRDefault="00706B1C" w:rsidP="0071000E">
      <w:pPr>
        <w:spacing w:after="0" w:line="240" w:lineRule="auto"/>
        <w:rPr>
          <w:rFonts w:ascii="Calibri" w:hAnsi="Calibri" w:cs="Calibri"/>
          <w:b/>
          <w:bCs/>
          <w:i/>
          <w:iCs/>
          <w:sz w:val="16"/>
          <w:szCs w:val="16"/>
        </w:rPr>
      </w:pPr>
    </w:p>
    <w:p w14:paraId="7B0F4114" w14:textId="77777777" w:rsidR="00706B1C" w:rsidRPr="00DD7BD1" w:rsidRDefault="00706B1C" w:rsidP="0071000E">
      <w:pPr>
        <w:spacing w:after="0" w:line="240" w:lineRule="auto"/>
        <w:rPr>
          <w:rFonts w:ascii="Calibri" w:hAnsi="Calibri" w:cs="Calibri"/>
          <w:b/>
          <w:bCs/>
          <w:i/>
          <w:iCs/>
        </w:rPr>
      </w:pPr>
      <w:r w:rsidRPr="00DD7BD1">
        <w:rPr>
          <w:rFonts w:ascii="Calibri" w:hAnsi="Calibri" w:cs="Calibri"/>
          <w:b/>
          <w:bCs/>
          <w:i/>
          <w:iCs/>
        </w:rPr>
        <w:t>Exceptions</w:t>
      </w:r>
    </w:p>
    <w:p w14:paraId="13409102" w14:textId="77777777" w:rsidR="00706B1C" w:rsidRPr="00DD7BD1" w:rsidRDefault="00706B1C" w:rsidP="0071000E">
      <w:pPr>
        <w:spacing w:after="0" w:line="240" w:lineRule="auto"/>
        <w:rPr>
          <w:rFonts w:ascii="Calibri" w:hAnsi="Calibri" w:cs="Calibri"/>
        </w:rPr>
      </w:pPr>
      <w:r w:rsidRPr="00DD7BD1">
        <w:rPr>
          <w:rFonts w:ascii="Calibri" w:hAnsi="Calibri" w:cs="Calibri"/>
        </w:rPr>
        <w:t>However, employers and workers may enter into agreements that:</w:t>
      </w:r>
    </w:p>
    <w:p w14:paraId="2F07AD3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 xml:space="preserve">Require the worker to repay to the employer any sums advanced by the employer, unless such sums </w:t>
      </w:r>
      <w:proofErr w:type="gramStart"/>
      <w:r w:rsidRPr="00DD7BD1">
        <w:rPr>
          <w:rFonts w:cs="Calibri"/>
          <w:color w:val="auto"/>
          <w:szCs w:val="22"/>
        </w:rPr>
        <w:t>were</w:t>
      </w:r>
      <w:proofErr w:type="gramEnd"/>
      <w:r w:rsidRPr="00DD7BD1">
        <w:rPr>
          <w:rFonts w:cs="Calibri"/>
          <w:color w:val="auto"/>
          <w:szCs w:val="22"/>
        </w:rPr>
        <w:t xml:space="preserve"> used to pay for training related to the worker’s employment with the employer;</w:t>
      </w:r>
    </w:p>
    <w:p w14:paraId="548C7590"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the worker to pay the employer for any property it has sold or leased to the worker;</w:t>
      </w:r>
    </w:p>
    <w:p w14:paraId="2B86EEB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72803D9D"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 xml:space="preserve">Are entered into as part of a collective bargaining agreement. </w:t>
      </w:r>
    </w:p>
    <w:p w14:paraId="3CC8A227" w14:textId="77777777" w:rsidR="00706B1C" w:rsidRPr="00DD7BD1" w:rsidRDefault="00706B1C" w:rsidP="0071000E">
      <w:pPr>
        <w:spacing w:after="0" w:line="240" w:lineRule="auto"/>
        <w:rPr>
          <w:rFonts w:ascii="Calibri" w:hAnsi="Calibri" w:cs="Calibri"/>
          <w:sz w:val="16"/>
          <w:szCs w:val="16"/>
        </w:rPr>
      </w:pPr>
    </w:p>
    <w:p w14:paraId="78017E38"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Penalties</w:t>
      </w:r>
    </w:p>
    <w:p w14:paraId="0AEDD7D8" w14:textId="3D3E83D8" w:rsidR="00706B1C" w:rsidRPr="00DD7BD1" w:rsidRDefault="00706B1C" w:rsidP="0071000E">
      <w:pPr>
        <w:spacing w:after="0" w:line="240" w:lineRule="auto"/>
        <w:rPr>
          <w:rFonts w:ascii="Calibri" w:hAnsi="Calibri" w:cs="Calibri"/>
        </w:rPr>
      </w:pPr>
      <w:r w:rsidRPr="00DD7BD1">
        <w:rPr>
          <w:rFonts w:ascii="Calibri" w:hAnsi="Calibri" w:cs="Calibri"/>
        </w:rPr>
        <w:t>Employers who violate the Act may be subject to fines ranging from $1,000 to $5,000 per violation. In addition, an employee who is sued by an employer to enforce an unenforceable stay-or-pay agreement may be able to recover attorney fees.</w:t>
      </w:r>
    </w:p>
    <w:p w14:paraId="28C790B6" w14:textId="77777777" w:rsidR="0071000E" w:rsidRPr="00DD7BD1" w:rsidRDefault="0071000E" w:rsidP="0071000E">
      <w:pPr>
        <w:spacing w:after="0" w:line="240" w:lineRule="auto"/>
        <w:rPr>
          <w:rFonts w:ascii="Calibri" w:hAnsi="Calibri" w:cs="Calibri"/>
        </w:rPr>
      </w:pPr>
    </w:p>
    <w:p w14:paraId="6F138327" w14:textId="72037D61" w:rsidR="00676358" w:rsidRPr="00DD7BD1" w:rsidRDefault="00676358" w:rsidP="0067635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“Trapped at Work Act” Prohibits Employers from Requiring Certain Repayments for Early Separations</w:t>
      </w:r>
    </w:p>
    <w:p w14:paraId="5A9B569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On Dec. 19, New York Gov. Kathy Hochul signed into law</w:t>
      </w:r>
      <w:r w:rsidRPr="00DD7BD1">
        <w:rPr>
          <w:rFonts w:ascii="Calibri" w:hAnsi="Calibri" w:cs="Calibri"/>
          <w:color w:val="C00000"/>
          <w:shd w:val="clear" w:color="auto" w:fill="FFFFFF"/>
        </w:rPr>
        <w:t> </w:t>
      </w:r>
      <w:hyperlink r:id="rId945" w:tgtFrame="_blank" w:history="1">
        <w:r w:rsidRPr="00DD7BD1">
          <w:rPr>
            <w:rStyle w:val="Hyperlink"/>
            <w:rFonts w:ascii="Calibri" w:hAnsi="Calibri" w:cs="Calibri"/>
            <w:shd w:val="clear" w:color="auto" w:fill="FFFFFF"/>
          </w:rPr>
          <w:t>Assembly Bill A584C</w:t>
        </w:r>
      </w:hyperlink>
      <w:r w:rsidRPr="00DD7BD1">
        <w:rPr>
          <w:rFonts w:ascii="Calibri" w:hAnsi="Calibri" w:cs="Calibri"/>
          <w:shd w:val="clear" w:color="auto" w:fill="FFFFFF"/>
        </w:rPr>
        <w:t>, known as the “</w:t>
      </w:r>
      <w:r w:rsidRPr="00DD7BD1">
        <w:rPr>
          <w:rFonts w:ascii="Calibri" w:hAnsi="Calibri" w:cs="Calibri"/>
          <w:b/>
          <w:bCs/>
          <w:shd w:val="clear" w:color="auto" w:fill="FFFFFF"/>
        </w:rPr>
        <w:t>Trapped at Work Act</w:t>
      </w:r>
      <w:r w:rsidRPr="00DD7BD1">
        <w:rPr>
          <w:rFonts w:ascii="Calibri" w:hAnsi="Calibri" w:cs="Calibri"/>
          <w:shd w:val="clear" w:color="auto" w:fill="FFFFFF"/>
        </w:rPr>
        <w:t>,” which took effect immediately and amends the New York Labor Law to prohibit the use of certain “stay-or-pay” agreements that require workers to pay their employer if they leave their job before a specified date.</w:t>
      </w:r>
    </w:p>
    <w:p w14:paraId="1454EBFE"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Prohibition of Employment Promissory Notes</w:t>
      </w:r>
    </w:p>
    <w:p w14:paraId="18EE37A8"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Trapped at Work Act (which adds Article 37, N.Y. Lab. Law §§ 1050–55) </w:t>
      </w:r>
      <w:r w:rsidRPr="00DD7BD1">
        <w:rPr>
          <w:rFonts w:ascii="Calibri" w:hAnsi="Calibri" w:cs="Calibri"/>
          <w:u w:val="single"/>
          <w:shd w:val="clear" w:color="auto" w:fill="FFFFFF"/>
        </w:rPr>
        <w:t>prohibits</w:t>
      </w:r>
      <w:r w:rsidRPr="00DD7BD1">
        <w:rPr>
          <w:rFonts w:ascii="Calibri" w:hAnsi="Calibri" w:cs="Calibri"/>
          <w:shd w:val="clear" w:color="auto" w:fill="FFFFFF"/>
        </w:rPr>
        <w:t xml:space="preserve"> employers from r</w:t>
      </w:r>
      <w:r w:rsidRPr="00DD7BD1">
        <w:rPr>
          <w:rFonts w:ascii="Calibri" w:hAnsi="Calibri" w:cs="Calibri"/>
          <w:u w:val="single"/>
          <w:shd w:val="clear" w:color="auto" w:fill="FFFFFF"/>
        </w:rPr>
        <w:t>equiring workers</w:t>
      </w:r>
      <w:r w:rsidRPr="00DD7BD1">
        <w:rPr>
          <w:rFonts w:ascii="Calibri" w:hAnsi="Calibri" w:cs="Calibri"/>
          <w:shd w:val="clear" w:color="auto" w:fill="FFFFFF"/>
        </w:rPr>
        <w:t xml:space="preserve"> or prospective workers to execute an </w:t>
      </w:r>
      <w:r w:rsidRPr="00DD7BD1">
        <w:rPr>
          <w:rFonts w:ascii="Calibri" w:hAnsi="Calibri" w:cs="Calibri"/>
          <w:u w:val="single"/>
          <w:shd w:val="clear" w:color="auto" w:fill="FFFFFF"/>
        </w:rPr>
        <w:t>employment promissory note as a condition of employment</w:t>
      </w:r>
      <w:r w:rsidRPr="00DD7BD1">
        <w:rPr>
          <w:rFonts w:ascii="Calibri" w:hAnsi="Calibri" w:cs="Calibri"/>
          <w:shd w:val="clear" w:color="auto" w:fill="FFFFFF"/>
        </w:rPr>
        <w:t xml:space="preserve">. </w:t>
      </w:r>
    </w:p>
    <w:p w14:paraId="05D9ED58" w14:textId="77777777" w:rsidR="00676358" w:rsidRPr="00DD7BD1" w:rsidRDefault="00676358" w:rsidP="00676358">
      <w:pPr>
        <w:spacing w:after="0" w:line="240" w:lineRule="auto"/>
        <w:rPr>
          <w:rFonts w:ascii="Calibri" w:hAnsi="Calibri" w:cs="Calibri"/>
          <w:sz w:val="16"/>
          <w:szCs w:val="16"/>
          <w:shd w:val="clear" w:color="auto" w:fill="FFFFFF"/>
        </w:rPr>
      </w:pPr>
    </w:p>
    <w:p w14:paraId="1472FD1F"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Employment promissory notes are defined to include any agreement that </w:t>
      </w:r>
      <w:r w:rsidRPr="00DD7BD1">
        <w:rPr>
          <w:rFonts w:ascii="Calibri" w:hAnsi="Calibri" w:cs="Calibri"/>
          <w:u w:val="single"/>
          <w:shd w:val="clear" w:color="auto" w:fill="FFFFFF"/>
        </w:rPr>
        <w:t>requires the worker to repay a sum to the employer if the worker leaves before a stated time.</w:t>
      </w:r>
      <w:r w:rsidRPr="00DD7BD1">
        <w:rPr>
          <w:rFonts w:ascii="Calibri" w:hAnsi="Calibri" w:cs="Calibri"/>
          <w:shd w:val="clear" w:color="auto" w:fill="FFFFFF"/>
        </w:rPr>
        <w:t xml:space="preserve"> The statutory definition explicitly identifies training reimbursement agreements as covered but is not limited to such arrangements. The law applies to employees, independent contractors, interns and volunteers. It characterizes employment promissory notes as “unconscionable, against public policy, and unenforceable,” because such repayment agreements may have the effect of “trapping” workers in undesirable work environments they would otherwise leave.</w:t>
      </w:r>
    </w:p>
    <w:p w14:paraId="1A6551ED" w14:textId="77777777" w:rsidR="00676358" w:rsidRPr="00DD7BD1" w:rsidRDefault="00676358" w:rsidP="00676358">
      <w:pPr>
        <w:spacing w:after="0" w:line="240" w:lineRule="auto"/>
        <w:rPr>
          <w:rFonts w:ascii="Calibri" w:hAnsi="Calibri" w:cs="Calibri"/>
          <w:b/>
          <w:bCs/>
          <w:sz w:val="16"/>
          <w:szCs w:val="16"/>
          <w:shd w:val="clear" w:color="auto" w:fill="FFFFFF"/>
        </w:rPr>
      </w:pPr>
    </w:p>
    <w:p w14:paraId="3C04A566"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Exceptions</w:t>
      </w:r>
    </w:p>
    <w:p w14:paraId="194A0BA7"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does </w:t>
      </w:r>
      <w:r w:rsidRPr="00DD7BD1">
        <w:rPr>
          <w:rFonts w:ascii="Calibri" w:hAnsi="Calibri" w:cs="Calibri"/>
          <w:b/>
          <w:bCs/>
          <w:shd w:val="clear" w:color="auto" w:fill="FFFFFF"/>
        </w:rPr>
        <w:t>not apply</w:t>
      </w:r>
      <w:r w:rsidRPr="00DD7BD1">
        <w:rPr>
          <w:rFonts w:ascii="Calibri" w:hAnsi="Calibri" w:cs="Calibri"/>
          <w:shd w:val="clear" w:color="auto" w:fill="FFFFFF"/>
        </w:rPr>
        <w:t xml:space="preserve"> to agreements that require the </w:t>
      </w:r>
      <w:r w:rsidRPr="00DD7BD1">
        <w:rPr>
          <w:rFonts w:ascii="Calibri" w:hAnsi="Calibri" w:cs="Calibri"/>
          <w:u w:val="single"/>
          <w:shd w:val="clear" w:color="auto" w:fill="FFFFFF"/>
        </w:rPr>
        <w:t>repayment of “any sums </w:t>
      </w:r>
      <w:r w:rsidRPr="00DD7BD1">
        <w:rPr>
          <w:rFonts w:ascii="Calibri" w:hAnsi="Calibri" w:cs="Calibri"/>
          <w:i/>
          <w:iCs/>
          <w:u w:val="single"/>
          <w:shd w:val="clear" w:color="auto" w:fill="FFFFFF"/>
        </w:rPr>
        <w:t>advanced</w:t>
      </w:r>
      <w:r w:rsidRPr="00DD7BD1">
        <w:rPr>
          <w:rFonts w:ascii="Calibri" w:hAnsi="Calibri" w:cs="Calibri"/>
          <w:u w:val="single"/>
          <w:shd w:val="clear" w:color="auto" w:fill="FFFFFF"/>
        </w:rPr>
        <w:t xml:space="preserve"> to such worker” </w:t>
      </w:r>
      <w:r w:rsidRPr="00DD7BD1">
        <w:rPr>
          <w:rFonts w:ascii="Calibri" w:hAnsi="Calibri" w:cs="Calibri"/>
          <w:shd w:val="clear" w:color="auto" w:fill="FFFFFF"/>
        </w:rPr>
        <w:t>(</w:t>
      </w:r>
      <w:proofErr w:type="gramStart"/>
      <w:r w:rsidRPr="00DD7BD1">
        <w:rPr>
          <w:rFonts w:ascii="Calibri" w:hAnsi="Calibri" w:cs="Calibri"/>
          <w:shd w:val="clear" w:color="auto" w:fill="FFFFFF"/>
        </w:rPr>
        <w:t>provided that</w:t>
      </w:r>
      <w:proofErr w:type="gramEnd"/>
      <w:r w:rsidRPr="00DD7BD1">
        <w:rPr>
          <w:rFonts w:ascii="Calibri" w:hAnsi="Calibri" w:cs="Calibri"/>
          <w:shd w:val="clear" w:color="auto" w:fill="FFFFFF"/>
        </w:rPr>
        <w:t xml:space="preserve"> sums are not advanced to pay for training), among other limited exceptions. </w:t>
      </w:r>
    </w:p>
    <w:p w14:paraId="48ADD817" w14:textId="77777777" w:rsidR="00676358" w:rsidRPr="00DD7BD1" w:rsidRDefault="00676358" w:rsidP="00676358">
      <w:pPr>
        <w:spacing w:after="0" w:line="240" w:lineRule="auto"/>
        <w:rPr>
          <w:rFonts w:ascii="Calibri" w:hAnsi="Calibri" w:cs="Calibri"/>
          <w:shd w:val="clear" w:color="auto" w:fill="FFFFFF"/>
        </w:rPr>
      </w:pPr>
    </w:p>
    <w:p w14:paraId="5047BCB3"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Although the exact meaning of this language is somewhat unclear, “any sums advanced to such worker by the employer” appears to be broader than traditional advances of salary or wages. Thus, the statute appears to permit repayment agreements related to any sum paid to the employee, including sign-on bonuses, unless the money is intended for training. Regulations to be promulgated by the New York Department of Labor may clarify this exception. The law also excludes agreements that require payment for any property sold or leased by the employer to the worker, agreements that require education personnel to comply with the terms and conditions of sabbatical leaves, and agreements entered into as part of a collective bargaining agreement.</w:t>
      </w:r>
    </w:p>
    <w:p w14:paraId="6B1F10C4" w14:textId="77777777" w:rsidR="00676358" w:rsidRPr="00DD7BD1" w:rsidRDefault="00676358" w:rsidP="00676358">
      <w:pPr>
        <w:spacing w:after="0" w:line="240" w:lineRule="auto"/>
        <w:rPr>
          <w:rFonts w:ascii="Calibri" w:hAnsi="Calibri" w:cs="Calibri"/>
          <w:sz w:val="16"/>
          <w:szCs w:val="16"/>
          <w:shd w:val="clear" w:color="auto" w:fill="FFFFFF"/>
        </w:rPr>
      </w:pPr>
    </w:p>
    <w:p w14:paraId="21D3251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Gov. Hochul’s approval memorandum explains that “[t]raining repayment agreement provisions (‘TRAPS’) and other forms of stay-or-pay contracts force employees to stay in jobs they do not want under threat of financial penalties.” She notes the law’s ambiguity, however, and says it is not intended to prohibit “certain voluntary tuition assistance programs that provide real benefits to their participants.” The memorandum adds that there is an agreement with the legislature to address these concerns in the upcoming legislative session.</w:t>
      </w:r>
    </w:p>
    <w:p w14:paraId="3C41CC60" w14:textId="77777777" w:rsidR="00676358" w:rsidRPr="00DD7BD1" w:rsidRDefault="00676358" w:rsidP="00676358">
      <w:pPr>
        <w:spacing w:after="0" w:line="240" w:lineRule="auto"/>
        <w:rPr>
          <w:rFonts w:ascii="Calibri" w:hAnsi="Calibri" w:cs="Calibri"/>
          <w:sz w:val="16"/>
          <w:szCs w:val="16"/>
          <w:shd w:val="clear" w:color="auto" w:fill="FFFFFF"/>
        </w:rPr>
      </w:pPr>
    </w:p>
    <w:p w14:paraId="68D98BE0" w14:textId="1980DEE6" w:rsidR="00441D0D" w:rsidRPr="00DD7BD1" w:rsidRDefault="00676358" w:rsidP="00125178">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 Away:</w:t>
      </w:r>
      <w:r w:rsidRPr="00DD7BD1">
        <w:rPr>
          <w:rFonts w:ascii="Calibri" w:hAnsi="Calibri" w:cs="Calibri"/>
          <w:shd w:val="clear" w:color="auto" w:fill="FFFFFF"/>
        </w:rPr>
        <w:t xml:space="preserve"> New York employers should be cautious when requiring workers to make any repayments because of early departure/separation from the organization as violations carry fines of up to $5,000 for each worker/prospective worker required to execute a prohibited agreement.</w:t>
      </w:r>
    </w:p>
    <w:p w14:paraId="4B7565BC" w14:textId="77777777" w:rsidR="00125178" w:rsidRPr="00DD7BD1" w:rsidRDefault="00125178" w:rsidP="00125178">
      <w:pPr>
        <w:spacing w:after="0" w:line="240" w:lineRule="auto"/>
        <w:rPr>
          <w:rFonts w:ascii="Calibri" w:hAnsi="Calibri" w:cs="Calibri"/>
          <w:shd w:val="clear" w:color="auto" w:fill="FFFFFF"/>
        </w:rPr>
      </w:pPr>
    </w:p>
    <w:p w14:paraId="39B81E79" w14:textId="5DDFAC15" w:rsidR="00441D0D" w:rsidRPr="00DD7BD1" w:rsidRDefault="00441D0D" w:rsidP="0012517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u w:val="single"/>
          <w:shd w:val="clear" w:color="auto" w:fill="FFFFFF"/>
          <w:lang w:val="en"/>
        </w:rPr>
        <w:t xml:space="preserve">NYC </w:t>
      </w:r>
      <w:r w:rsidRPr="00DD7BD1">
        <w:rPr>
          <w:rFonts w:ascii="Calibri" w:hAnsi="Calibri" w:cs="Calibri"/>
          <w:b/>
          <w:bCs/>
          <w:sz w:val="28"/>
          <w:szCs w:val="28"/>
          <w:shd w:val="clear" w:color="auto" w:fill="FFFFFF"/>
          <w:lang w:val="en"/>
        </w:rPr>
        <w:t>Enacts New Pay Data Reporting Requirements-Employer Obligations Years Away</w:t>
      </w:r>
    </w:p>
    <w:p w14:paraId="6775E398" w14:textId="77777777" w:rsidR="00441D0D" w:rsidRPr="00DD7BD1" w:rsidRDefault="00441D0D" w:rsidP="00125178">
      <w:pPr>
        <w:spacing w:after="0" w:line="240" w:lineRule="auto"/>
        <w:rPr>
          <w:rFonts w:ascii="Calibri" w:hAnsi="Calibri" w:cs="Calibri"/>
        </w:rPr>
      </w:pPr>
      <w:r w:rsidRPr="00DD7BD1">
        <w:rPr>
          <w:rFonts w:ascii="Calibri" w:hAnsi="Calibri" w:cs="Calibri"/>
        </w:rPr>
        <w:lastRenderedPageBreak/>
        <w:t xml:space="preserve">On Dec. 4, 2025, New York City enacted two pay data reporting laws, </w:t>
      </w:r>
      <w:hyperlink r:id="rId946" w:history="1">
        <w:r w:rsidRPr="00DD7BD1">
          <w:rPr>
            <w:rStyle w:val="Hyperlink"/>
            <w:rFonts w:ascii="Calibri" w:hAnsi="Calibri" w:cs="Calibri"/>
          </w:rPr>
          <w:t>one</w:t>
        </w:r>
      </w:hyperlink>
      <w:r w:rsidRPr="00DD7BD1">
        <w:rPr>
          <w:rFonts w:ascii="Calibri" w:hAnsi="Calibri" w:cs="Calibri"/>
        </w:rPr>
        <w:t xml:space="preserve"> that </w:t>
      </w:r>
      <w:r w:rsidRPr="00DD7BD1">
        <w:rPr>
          <w:rFonts w:ascii="Calibri" w:hAnsi="Calibri" w:cs="Calibri"/>
          <w:u w:val="single"/>
        </w:rPr>
        <w:t>req</w:t>
      </w:r>
      <w:r w:rsidRPr="00DD7BD1">
        <w:rPr>
          <w:rFonts w:ascii="Calibri" w:hAnsi="Calibri" w:cs="Calibri"/>
        </w:rPr>
        <w:t xml:space="preserve">uires covered employers to submit annual pay data reports and </w:t>
      </w:r>
      <w:hyperlink r:id="rId947" w:history="1">
        <w:r w:rsidRPr="00DD7BD1">
          <w:rPr>
            <w:rStyle w:val="Hyperlink"/>
            <w:rFonts w:ascii="Calibri" w:hAnsi="Calibri" w:cs="Calibri"/>
            <w:u w:val="none"/>
          </w:rPr>
          <w:t>another</w:t>
        </w:r>
      </w:hyperlink>
      <w:r w:rsidRPr="00DD7BD1">
        <w:rPr>
          <w:rFonts w:ascii="Calibri" w:hAnsi="Calibri" w:cs="Calibri"/>
        </w:rPr>
        <w:t xml:space="preserve"> that commissions a study of the data to determine pay disparities. The new laws went into effect immediately.</w:t>
      </w:r>
    </w:p>
    <w:p w14:paraId="30A91DAE" w14:textId="77777777" w:rsidR="00441D0D" w:rsidRPr="00DD7BD1" w:rsidRDefault="00441D0D" w:rsidP="00125178">
      <w:pPr>
        <w:pStyle w:val="Heading2"/>
        <w:spacing w:before="0" w:line="240" w:lineRule="auto"/>
        <w:rPr>
          <w:rFonts w:ascii="Calibri" w:hAnsi="Calibri" w:cs="Calibri"/>
          <w:b/>
          <w:bCs/>
          <w:color w:val="auto"/>
          <w:sz w:val="12"/>
          <w:szCs w:val="12"/>
        </w:rPr>
      </w:pPr>
    </w:p>
    <w:p w14:paraId="62E45F6B"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Pay Data Reporting Requirements</w:t>
      </w:r>
    </w:p>
    <w:p w14:paraId="6E2D8973" w14:textId="77777777" w:rsidR="00441D0D" w:rsidRPr="00DD7BD1" w:rsidRDefault="00441D0D" w:rsidP="00125178">
      <w:pPr>
        <w:spacing w:after="0" w:line="240" w:lineRule="auto"/>
        <w:rPr>
          <w:rFonts w:ascii="Calibri" w:hAnsi="Calibri" w:cs="Calibri"/>
        </w:rPr>
      </w:pPr>
      <w:r w:rsidRPr="00DD7BD1">
        <w:rPr>
          <w:rFonts w:ascii="Calibri" w:hAnsi="Calibri" w:cs="Calibri"/>
        </w:rPr>
        <w:t>By Dec. 4, 202</w:t>
      </w:r>
      <w:r w:rsidRPr="00DD7BD1">
        <w:rPr>
          <w:rFonts w:ascii="Calibri" w:hAnsi="Calibri" w:cs="Calibri"/>
          <w:u w:val="single"/>
        </w:rPr>
        <w:t>6</w:t>
      </w:r>
      <w:r w:rsidRPr="00DD7BD1">
        <w:rPr>
          <w:rFonts w:ascii="Calibri" w:hAnsi="Calibri" w:cs="Calibri"/>
        </w:rPr>
        <w:t xml:space="preserve">, New York City’s mayor must </w:t>
      </w:r>
      <w:r w:rsidRPr="00DD7BD1">
        <w:rPr>
          <w:rFonts w:ascii="Calibri" w:hAnsi="Calibri" w:cs="Calibri"/>
          <w:u w:val="single"/>
        </w:rPr>
        <w:t>designate an agency</w:t>
      </w:r>
      <w:r w:rsidRPr="00DD7BD1">
        <w:rPr>
          <w:rFonts w:ascii="Calibri" w:hAnsi="Calibri" w:cs="Calibri"/>
        </w:rPr>
        <w:t xml:space="preserve"> to collect pay data information and conduct a pay equity study. </w:t>
      </w:r>
      <w:r w:rsidRPr="00DD7BD1">
        <w:rPr>
          <w:rFonts w:ascii="Calibri" w:hAnsi="Calibri" w:cs="Calibri"/>
          <w:u w:val="single"/>
        </w:rPr>
        <w:t>Within one year after its designation</w:t>
      </w:r>
      <w:r w:rsidRPr="00DD7BD1">
        <w:rPr>
          <w:rFonts w:ascii="Calibri" w:hAnsi="Calibri" w:cs="Calibri"/>
        </w:rPr>
        <w:t>, the agency must develop a form for covered employers to submit pay reports.</w:t>
      </w:r>
    </w:p>
    <w:p w14:paraId="63FEEB19" w14:textId="77777777" w:rsidR="00441D0D" w:rsidRPr="00DD7BD1" w:rsidRDefault="00441D0D" w:rsidP="00125178">
      <w:pPr>
        <w:spacing w:after="0" w:line="240" w:lineRule="auto"/>
        <w:rPr>
          <w:rFonts w:ascii="Calibri" w:hAnsi="Calibri" w:cs="Calibri"/>
          <w:sz w:val="12"/>
          <w:szCs w:val="12"/>
        </w:rPr>
      </w:pPr>
    </w:p>
    <w:p w14:paraId="458E14B2" w14:textId="77777777" w:rsidR="00441D0D" w:rsidRPr="00DD7BD1" w:rsidRDefault="00441D0D" w:rsidP="00125178">
      <w:pPr>
        <w:spacing w:after="0" w:line="240" w:lineRule="auto"/>
        <w:rPr>
          <w:rFonts w:ascii="Calibri" w:hAnsi="Calibri" w:cs="Calibri"/>
        </w:rPr>
      </w:pPr>
      <w:r w:rsidRPr="00DD7BD1">
        <w:rPr>
          <w:rFonts w:ascii="Calibri" w:hAnsi="Calibri" w:cs="Calibri"/>
          <w:u w:val="single"/>
        </w:rPr>
        <w:t>Within one year of the form’s publication</w:t>
      </w:r>
      <w:r w:rsidRPr="00DD7BD1">
        <w:rPr>
          <w:rFonts w:ascii="Calibri" w:hAnsi="Calibri" w:cs="Calibri"/>
        </w:rPr>
        <w:t>, and annually thereafter, private employers with</w:t>
      </w:r>
      <w:r w:rsidRPr="00DD7BD1">
        <w:rPr>
          <w:rFonts w:ascii="Calibri" w:hAnsi="Calibri" w:cs="Calibri"/>
          <w:u w:val="single"/>
        </w:rPr>
        <w:t xml:space="preserve"> </w:t>
      </w:r>
      <w:r w:rsidRPr="00DD7BD1">
        <w:rPr>
          <w:rFonts w:ascii="Calibri" w:hAnsi="Calibri" w:cs="Calibri"/>
          <w:b/>
          <w:bCs/>
          <w:u w:val="single"/>
        </w:rPr>
        <w:t>200 or more employees</w:t>
      </w:r>
      <w:r w:rsidRPr="00DD7BD1">
        <w:rPr>
          <w:rFonts w:ascii="Calibri" w:hAnsi="Calibri" w:cs="Calibri"/>
          <w:u w:val="single"/>
        </w:rPr>
        <w:t xml:space="preserve"> </w:t>
      </w:r>
      <w:r w:rsidRPr="00DD7BD1">
        <w:rPr>
          <w:rFonts w:ascii="Calibri" w:hAnsi="Calibri" w:cs="Calibri"/>
        </w:rPr>
        <w:t>in New York City must submit a pay report to the designated agency. The pay report must include the information required by the federal EEO-1 Component 2 report for 2017 and 2018 (i.e., pay data by sex, race and ethnicity in 12 different pay bands). However, the agency may modify the form; for example, it may include options for different gender identities. Such information may be submitted anonymously, but employers must include a signed statement confirming the submission’s accuracy. Employers may also include explanatory remarks regarding the data. Employers are not required to include an employee’s personal information.</w:t>
      </w:r>
    </w:p>
    <w:p w14:paraId="76BCB8BE" w14:textId="77777777" w:rsidR="00441D0D" w:rsidRPr="00DD7BD1" w:rsidRDefault="00441D0D" w:rsidP="00125178">
      <w:pPr>
        <w:spacing w:after="0" w:line="240" w:lineRule="auto"/>
        <w:rPr>
          <w:rFonts w:ascii="Calibri" w:hAnsi="Calibri" w:cs="Calibri"/>
          <w:sz w:val="12"/>
          <w:szCs w:val="12"/>
        </w:rPr>
      </w:pPr>
    </w:p>
    <w:p w14:paraId="41084730" w14:textId="77777777" w:rsidR="00441D0D" w:rsidRPr="00DD7BD1" w:rsidRDefault="00441D0D" w:rsidP="00125178">
      <w:pPr>
        <w:spacing w:after="0" w:line="240" w:lineRule="auto"/>
        <w:rPr>
          <w:rFonts w:ascii="Calibri" w:hAnsi="Calibri" w:cs="Calibri"/>
        </w:rPr>
      </w:pPr>
      <w:r w:rsidRPr="00DD7BD1">
        <w:rPr>
          <w:rFonts w:ascii="Calibri" w:hAnsi="Calibri" w:cs="Calibri"/>
        </w:rPr>
        <w:t>Within one year of the submission of pay data and annually thereafter, the agency must conduct a pay equity study to determine any pay disparities based on gender, race or ethnicity and identify industries with prevalent disparities.</w:t>
      </w:r>
    </w:p>
    <w:p w14:paraId="759FC125" w14:textId="77777777" w:rsidR="00441D0D" w:rsidRPr="00DD7BD1" w:rsidRDefault="00441D0D" w:rsidP="00125178">
      <w:pPr>
        <w:pStyle w:val="Heading2"/>
        <w:spacing w:before="0" w:line="240" w:lineRule="auto"/>
        <w:rPr>
          <w:rFonts w:ascii="Calibri" w:hAnsi="Calibri" w:cs="Calibri"/>
          <w:sz w:val="12"/>
          <w:szCs w:val="12"/>
        </w:rPr>
      </w:pPr>
    </w:p>
    <w:p w14:paraId="0CC197F0"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Penalties </w:t>
      </w:r>
    </w:p>
    <w:p w14:paraId="79EE9073"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Employers who violate the law will be subject to a written warning for a first violation if cured within 30 days, a civil penalty of $1,000 for a first violation that is not timely cured, and a civil penalty of $5,000 for each subsequent offense. </w:t>
      </w:r>
    </w:p>
    <w:p w14:paraId="502889CE" w14:textId="77777777" w:rsidR="00441D0D" w:rsidRPr="00DD7BD1" w:rsidRDefault="00441D0D" w:rsidP="009848BE">
      <w:pPr>
        <w:spacing w:after="0" w:line="240" w:lineRule="auto"/>
        <w:rPr>
          <w:rFonts w:ascii="Calibri" w:hAnsi="Calibri" w:cs="Calibri"/>
          <w:sz w:val="12"/>
          <w:szCs w:val="12"/>
          <w:shd w:val="clear" w:color="auto" w:fill="FFFFFF"/>
          <w:lang w:val="en"/>
        </w:rPr>
      </w:pPr>
    </w:p>
    <w:p w14:paraId="3F5D0848" w14:textId="3BA4FDFC" w:rsidR="00676358" w:rsidRPr="00DD7BD1" w:rsidRDefault="00441D0D" w:rsidP="009848BE">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ETC will continue to monitor and provide updates.</w:t>
      </w:r>
    </w:p>
    <w:p w14:paraId="06031C33" w14:textId="77777777" w:rsidR="004E6904" w:rsidRPr="00DD7BD1" w:rsidRDefault="004E6904" w:rsidP="009848BE">
      <w:pPr>
        <w:spacing w:after="0" w:line="240" w:lineRule="auto"/>
        <w:rPr>
          <w:rFonts w:ascii="Calibri" w:hAnsi="Calibri" w:cs="Calibri"/>
          <w:shd w:val="clear" w:color="auto" w:fill="FFFFFF"/>
          <w:lang w:val="en"/>
        </w:rPr>
      </w:pPr>
    </w:p>
    <w:p w14:paraId="2B6486CA" w14:textId="77777777" w:rsidR="004E6904" w:rsidRPr="00DD7BD1" w:rsidRDefault="004E6904" w:rsidP="004E6904">
      <w:pPr>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to Institute Workplace Violence Prevention Program Requirements for </w:t>
      </w:r>
      <w:r w:rsidRPr="00DD7BD1">
        <w:rPr>
          <w:rFonts w:ascii="Calibri" w:hAnsi="Calibri" w:cs="Calibri"/>
          <w:b/>
          <w:bCs/>
          <w:sz w:val="28"/>
          <w:szCs w:val="28"/>
          <w:u w:val="single"/>
          <w:shd w:val="clear" w:color="auto" w:fill="FFFFFF"/>
          <w:lang w:val="en"/>
        </w:rPr>
        <w:t xml:space="preserve">Hospitals &amp; Nursing Homes </w:t>
      </w:r>
    </w:p>
    <w:p w14:paraId="62D33BA8" w14:textId="46429D53" w:rsidR="00A16FB7" w:rsidRPr="00DD7BD1" w:rsidRDefault="004E6904" w:rsidP="004E6904">
      <w:pPr>
        <w:rPr>
          <w:rFonts w:ascii="Calibri" w:hAnsi="Calibri" w:cs="Calibri"/>
          <w:color w:val="C00000"/>
          <w:shd w:val="clear" w:color="auto" w:fill="FFFFFF"/>
          <w:lang w:val="en"/>
        </w:rPr>
      </w:pPr>
      <w:r w:rsidRPr="00DD7BD1">
        <w:rPr>
          <w:rFonts w:ascii="Calibri" w:hAnsi="Calibri" w:cs="Calibri"/>
          <w:color w:val="000000" w:themeColor="text1"/>
          <w:shd w:val="clear" w:color="auto" w:fill="FFFFFF"/>
        </w:rPr>
        <w:t>New York State has mandated new workplace violence compliance standards with Governor Hochul’s December 12</w:t>
      </w:r>
      <w:r w:rsidRPr="00DD7BD1">
        <w:rPr>
          <w:rFonts w:ascii="Calibri" w:hAnsi="Calibri" w:cs="Calibri"/>
          <w:color w:val="000000" w:themeColor="text1"/>
          <w:shd w:val="clear" w:color="auto" w:fill="FFFFFF"/>
          <w:vertAlign w:val="superscript"/>
        </w:rPr>
        <w:t>th</w:t>
      </w:r>
      <w:r w:rsidRPr="00DD7BD1">
        <w:rPr>
          <w:rFonts w:ascii="Calibri" w:hAnsi="Calibri" w:cs="Calibri"/>
          <w:color w:val="000000" w:themeColor="text1"/>
          <w:shd w:val="clear" w:color="auto" w:fill="FFFFFF"/>
        </w:rPr>
        <w:t xml:space="preserve"> signing of</w:t>
      </w:r>
      <w:r w:rsidRPr="00DD7BD1">
        <w:rPr>
          <w:rFonts w:ascii="Calibri" w:hAnsi="Calibri" w:cs="Calibri"/>
          <w:color w:val="C00000"/>
          <w:shd w:val="clear" w:color="auto" w:fill="FFFFFF"/>
        </w:rPr>
        <w:t> </w:t>
      </w:r>
      <w:hyperlink r:id="rId948" w:history="1">
        <w:r w:rsidRPr="00DD7BD1">
          <w:rPr>
            <w:rStyle w:val="Hyperlink"/>
            <w:rFonts w:ascii="Calibri" w:hAnsi="Calibri" w:cs="Calibri"/>
            <w:shd w:val="clear" w:color="auto" w:fill="FFFFFF"/>
          </w:rPr>
          <w:t>Senate Bill S5294A </w:t>
        </w:r>
      </w:hyperlink>
      <w:r w:rsidRPr="00DD7BD1">
        <w:rPr>
          <w:rFonts w:ascii="Calibri" w:hAnsi="Calibri" w:cs="Calibri"/>
          <w:color w:val="000000" w:themeColor="text1"/>
          <w:shd w:val="clear" w:color="auto" w:fill="FFFFFF"/>
        </w:rPr>
        <w:t>into law which will require hospitals and nursing homes to implement comprehensive workplace violence prevention plans (WPVPP).  The new law applies to general hospitals and nursing homes regulated under New York’s Public Health Law and includes employee training to identify, prevent, and mitigate workplace violence. The law takes effect 280 days after enactment, giving facilities less than a year to establish programs.</w:t>
      </w:r>
    </w:p>
    <w:p w14:paraId="781E76D2" w14:textId="77777777" w:rsidR="009848BE" w:rsidRPr="00DD7BD1" w:rsidRDefault="009848BE" w:rsidP="009848BE">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Reminder: </w:t>
      </w: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Eff Jan 1, 2026</w:t>
      </w:r>
    </w:p>
    <w:p w14:paraId="43C13C91"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The following changes to the minimum wage and salary thresholds apply as of January 1, 2026.</w:t>
      </w:r>
    </w:p>
    <w:p w14:paraId="38563D81" w14:textId="36EDDBBC"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New York City and Suffolk, Nassau, and Westchester Counties</w:t>
      </w:r>
      <w:r w:rsidRPr="00DD7BD1">
        <w:rPr>
          <w:rFonts w:ascii="Calibri" w:hAnsi="Calibri" w:cs="Calibri"/>
          <w:shd w:val="clear" w:color="auto" w:fill="FFFFFF"/>
        </w:rPr>
        <w:br/>
        <w:t>The minimum wage will increase to $17.00 per hour.</w:t>
      </w:r>
    </w:p>
    <w:p w14:paraId="5F825FCB"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Industry-specific</w:t>
      </w:r>
      <w:r w:rsidRPr="00DD7BD1">
        <w:rPr>
          <w:rFonts w:ascii="Calibri" w:hAnsi="Calibri" w:cs="Calibri"/>
          <w:shd w:val="clear" w:color="auto" w:fill="FFFFFF"/>
        </w:rPr>
        <w:t xml:space="preserve"> hourly minimum wages will increase as follows:</w:t>
      </w:r>
    </w:p>
    <w:p w14:paraId="27A1D819"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$14.15</w:t>
      </w:r>
    </w:p>
    <w:p w14:paraId="06EBF966"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$11.35</w:t>
      </w:r>
    </w:p>
    <w:p w14:paraId="25CB6804"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$19.65</w:t>
      </w:r>
    </w:p>
    <w:p w14:paraId="07623082" w14:textId="77777777" w:rsidR="009848BE" w:rsidRPr="00DD7BD1" w:rsidRDefault="009848BE" w:rsidP="009848BE">
      <w:pPr>
        <w:spacing w:after="0" w:line="240" w:lineRule="auto"/>
        <w:rPr>
          <w:rFonts w:ascii="Calibri" w:hAnsi="Calibri" w:cs="Calibri"/>
          <w:sz w:val="16"/>
          <w:szCs w:val="16"/>
          <w:shd w:val="clear" w:color="auto" w:fill="FFFFFF"/>
        </w:rPr>
      </w:pPr>
    </w:p>
    <w:p w14:paraId="5414E981" w14:textId="53DD7A11"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$1,275 per week (</w:t>
      </w:r>
      <w:r w:rsidRPr="00DD7BD1">
        <w:rPr>
          <w:rFonts w:ascii="Calibri" w:hAnsi="Calibri" w:cs="Calibri"/>
          <w:b/>
          <w:bCs/>
          <w:shd w:val="clear" w:color="auto" w:fill="FFFFFF"/>
        </w:rPr>
        <w:t>$66,300 annually</w:t>
      </w:r>
      <w:r w:rsidRPr="00DD7BD1">
        <w:rPr>
          <w:rFonts w:ascii="Calibri" w:hAnsi="Calibri" w:cs="Calibri"/>
          <w:shd w:val="clear" w:color="auto" w:fill="FFFFFF"/>
        </w:rPr>
        <w:t>).</w:t>
      </w:r>
    </w:p>
    <w:p w14:paraId="414EDEDE"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The Rest of New York State</w:t>
      </w:r>
      <w:r w:rsidRPr="00DD7BD1">
        <w:rPr>
          <w:rFonts w:ascii="Calibri" w:hAnsi="Calibri" w:cs="Calibri"/>
          <w:shd w:val="clear" w:color="auto" w:fill="FFFFFF"/>
        </w:rPr>
        <w:br/>
        <w:t>The minimum wage in the remainder of New York State (all areas outside of New York City, and Suffolk, Nassau, and Westchester counties) will increase to $16.00 per hour.</w:t>
      </w:r>
    </w:p>
    <w:p w14:paraId="09C8BECC"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Industry-specific hourly minimum wages will increase as follows:</w:t>
      </w:r>
    </w:p>
    <w:p w14:paraId="754C4AE8"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$13.30</w:t>
      </w:r>
    </w:p>
    <w:p w14:paraId="0AE2AC5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$10.70</w:t>
      </w:r>
    </w:p>
    <w:p w14:paraId="34F9EAB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$18.65</w:t>
      </w:r>
    </w:p>
    <w:p w14:paraId="72ADF393" w14:textId="77777777" w:rsidR="009848BE" w:rsidRPr="00DD7BD1" w:rsidRDefault="009848BE" w:rsidP="009848BE">
      <w:pPr>
        <w:spacing w:after="0" w:line="240" w:lineRule="auto"/>
        <w:rPr>
          <w:rFonts w:ascii="Calibri" w:hAnsi="Calibri" w:cs="Calibri"/>
          <w:sz w:val="16"/>
          <w:szCs w:val="16"/>
          <w:shd w:val="clear" w:color="auto" w:fill="FFFFFF"/>
        </w:rPr>
      </w:pPr>
    </w:p>
    <w:p w14:paraId="5A207B3A" w14:textId="471663A3"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$1,199.10 per week (</w:t>
      </w:r>
      <w:r w:rsidRPr="00DD7BD1">
        <w:rPr>
          <w:rFonts w:ascii="Calibri" w:hAnsi="Calibri" w:cs="Calibri"/>
          <w:b/>
          <w:bCs/>
          <w:shd w:val="clear" w:color="auto" w:fill="FFFFFF"/>
        </w:rPr>
        <w:t>$62,353.20 annually</w:t>
      </w:r>
      <w:r w:rsidRPr="00DD7BD1">
        <w:rPr>
          <w:rFonts w:ascii="Calibri" w:hAnsi="Calibri" w:cs="Calibri"/>
          <w:shd w:val="clear" w:color="auto" w:fill="FFFFFF"/>
        </w:rPr>
        <w:t>).</w:t>
      </w:r>
    </w:p>
    <w:p w14:paraId="6AAECDD6" w14:textId="77777777" w:rsidR="009848BE" w:rsidRPr="00DD7BD1" w:rsidRDefault="009848BE" w:rsidP="009848BE">
      <w:pPr>
        <w:spacing w:after="0" w:line="240" w:lineRule="auto"/>
        <w:rPr>
          <w:rFonts w:ascii="Calibri" w:hAnsi="Calibri" w:cs="Calibri"/>
          <w:shd w:val="clear" w:color="auto" w:fill="FFFFFF"/>
        </w:rPr>
      </w:pPr>
    </w:p>
    <w:p w14:paraId="543C66CC" w14:textId="6B2734C6"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3F0682CC" w14:textId="40657EB0"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minimum wage rate in New York will increase to $17.00 per hour for downstate employees and to $16.00 per hour for upstate employees.</w:t>
      </w:r>
    </w:p>
    <w:p w14:paraId="32DB395E" w14:textId="3F721222"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1F348A51"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67254CE2"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DAAFD9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D09F7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81945B"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17216F83"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D0374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89A7DF8"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9DF50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$17.00</w:t>
            </w:r>
          </w:p>
        </w:tc>
      </w:tr>
      <w:tr w:rsidR="00082F92" w:rsidRPr="00DD7BD1" w14:paraId="5F4324A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8BFC2F6"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FA757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D18E0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$25.50</w:t>
            </w:r>
          </w:p>
        </w:tc>
      </w:tr>
      <w:tr w:rsidR="00082F92" w:rsidRPr="00DD7BD1" w14:paraId="7879CBFA"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DE2AAD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BBFAD4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366593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$11.35</w:t>
            </w:r>
          </w:p>
        </w:tc>
      </w:tr>
      <w:tr w:rsidR="00082F92" w:rsidRPr="00DD7BD1" w14:paraId="6B6DF2B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9321B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E8158E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3C4D4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$19.85</w:t>
            </w:r>
          </w:p>
        </w:tc>
      </w:tr>
      <w:tr w:rsidR="00082F92" w:rsidRPr="00DD7BD1" w14:paraId="06B41BF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5206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3BA26F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775366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$5.65</w:t>
            </w:r>
          </w:p>
        </w:tc>
      </w:tr>
    </w:tbl>
    <w:p w14:paraId="46A21F82" w14:textId="77777777" w:rsidR="00082F92" w:rsidRPr="00DD7BD1" w:rsidRDefault="00082F92" w:rsidP="00082F92">
      <w:pPr>
        <w:jc w:val="both"/>
        <w:rPr>
          <w:rFonts w:ascii="Calibri" w:hAnsi="Calibri" w:cs="Calibri"/>
          <w:color w:val="2E74B5" w:themeColor="accent5" w:themeShade="BF"/>
          <w:shd w:val="clear" w:color="auto" w:fill="FFFFFF"/>
          <w:lang w:val="en"/>
        </w:rPr>
      </w:pPr>
    </w:p>
    <w:p w14:paraId="549FA853"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2DC4DAA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0959C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C6417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CB77EF"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6265490F"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4EF7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293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CBE7A4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$16.00</w:t>
            </w:r>
          </w:p>
        </w:tc>
      </w:tr>
      <w:tr w:rsidR="00082F92" w:rsidRPr="00DD7BD1" w14:paraId="64225D71"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B0B3D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FF1294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1CA977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$24.00</w:t>
            </w:r>
          </w:p>
        </w:tc>
      </w:tr>
      <w:tr w:rsidR="00082F92" w:rsidRPr="00DD7BD1" w14:paraId="63E88954"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567996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2741C9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B78C9F4"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$10.70</w:t>
            </w:r>
          </w:p>
        </w:tc>
      </w:tr>
      <w:tr w:rsidR="00082F92" w:rsidRPr="00DD7BD1" w14:paraId="5999CD29"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AE946B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lastRenderedPageBreak/>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4B97B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908971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$18.70</w:t>
            </w:r>
          </w:p>
        </w:tc>
      </w:tr>
      <w:tr w:rsidR="00082F92" w:rsidRPr="00DD7BD1" w14:paraId="74A83EFD"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07C8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C9630B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D6D4A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$5.30</w:t>
            </w:r>
          </w:p>
        </w:tc>
      </w:tr>
    </w:tbl>
    <w:p w14:paraId="75855E94" w14:textId="77777777" w:rsidR="00082F92" w:rsidRPr="00DD7BD1" w:rsidRDefault="00082F92" w:rsidP="00082F92">
      <w:pPr>
        <w:jc w:val="both"/>
        <w:rPr>
          <w:rFonts w:ascii="Calibri" w:hAnsi="Calibri" w:cs="Calibri"/>
          <w:shd w:val="clear" w:color="auto" w:fill="FFFFFF"/>
        </w:rPr>
      </w:pPr>
    </w:p>
    <w:p w14:paraId="09A8122D" w14:textId="2A1CCA5F"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0FCE0E7C" w14:textId="2D8C604D"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New York PFL Contribution and Benefit Rates to Increase in 2026 – </w:t>
      </w:r>
      <w:r w:rsidRPr="00DD7BD1">
        <w:rPr>
          <w:rFonts w:ascii="Calibri" w:hAnsi="Calibri" w:cs="Calibri"/>
          <w:b/>
          <w:bCs/>
          <w:color w:val="C00000"/>
          <w:sz w:val="28"/>
          <w:szCs w:val="28"/>
          <w:shd w:val="clear" w:color="auto" w:fill="FFFFFF"/>
        </w:rPr>
        <w:t>Jan 1, 2026</w:t>
      </w:r>
    </w:p>
    <w:p w14:paraId="6F0E5F1F" w14:textId="77777777" w:rsidR="00082F92" w:rsidRPr="00DD7BD1" w:rsidRDefault="00082F92" w:rsidP="00082F92">
      <w:pPr>
        <w:pStyle w:val="BodyText"/>
        <w:rPr>
          <w:rFonts w:cs="Calibri"/>
          <w:szCs w:val="22"/>
        </w:rPr>
      </w:pPr>
      <w:r w:rsidRPr="00DD7BD1">
        <w:rPr>
          <w:rFonts w:cs="Calibri"/>
          <w:color w:val="auto"/>
          <w:szCs w:val="22"/>
        </w:rPr>
        <w:t xml:space="preserve">As in line with past years, New York state has published paid family leave (PFL) updates for 2026 on its </w:t>
      </w:r>
      <w:hyperlink r:id="rId949"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 xml:space="preserve">for the program. Both the employee contribution rate and the maximum weekly benefit for the program will see increases over the rates for 2025. New York PFL is fully funded by employees through payroll deductions. Employers are not required to contribute. </w:t>
      </w:r>
    </w:p>
    <w:p w14:paraId="3A13015C" w14:textId="3F6F5445" w:rsidR="00082F92" w:rsidRPr="00DD7BD1" w:rsidRDefault="00082F92" w:rsidP="00082F92">
      <w:pPr>
        <w:jc w:val="both"/>
        <w:rPr>
          <w:rFonts w:ascii="Calibri" w:hAnsi="Calibri" w:cs="Calibri"/>
        </w:rPr>
      </w:pPr>
      <w:r w:rsidRPr="00DD7BD1">
        <w:rPr>
          <w:rFonts w:ascii="Calibri" w:hAnsi="Calibri" w:cs="Calibri"/>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DD7BD1">
        <w:rPr>
          <w:rFonts w:ascii="Calibri" w:hAnsi="Calibri" w:cs="Calibri"/>
          <w:b/>
          <w:bCs/>
        </w:rPr>
        <w:t>$1,228.53</w:t>
      </w:r>
      <w:r w:rsidRPr="00DD7BD1">
        <w:rPr>
          <w:rFonts w:ascii="Calibri" w:hAnsi="Calibri" w:cs="Calibri"/>
        </w:rPr>
        <w:t xml:space="preserve">, up from $1,177.32 in 2025. The total possible maximum benefit to an employee is </w:t>
      </w:r>
      <w:r w:rsidRPr="00DD7BD1">
        <w:rPr>
          <w:rFonts w:ascii="Calibri" w:hAnsi="Calibri" w:cs="Calibri"/>
          <w:b/>
          <w:bCs/>
        </w:rPr>
        <w:t xml:space="preserve">$14,742.36 </w:t>
      </w:r>
      <w:r w:rsidRPr="00DD7BD1">
        <w:rPr>
          <w:rFonts w:ascii="Calibri" w:hAnsi="Calibri" w:cs="Calibri"/>
        </w:rPr>
        <w:t>in 2026.</w:t>
      </w:r>
    </w:p>
    <w:p w14:paraId="06280596" w14:textId="77777777" w:rsidR="00082F92" w:rsidRPr="00DD7BD1" w:rsidRDefault="00082F92" w:rsidP="00082F92">
      <w:pPr>
        <w:jc w:val="both"/>
        <w:rPr>
          <w:rFonts w:ascii="Calibri" w:hAnsi="Calibri" w:cs="Calibri"/>
          <w:b/>
          <w:bCs/>
        </w:rPr>
      </w:pPr>
      <w:r w:rsidRPr="00DD7BD1">
        <w:rPr>
          <w:rFonts w:ascii="Calibri" w:hAnsi="Calibri" w:cs="Calibri"/>
          <w:b/>
          <w:bCs/>
        </w:rPr>
        <w:t>Reminder</w:t>
      </w:r>
    </w:p>
    <w:p w14:paraId="486AF2D4" w14:textId="77777777" w:rsidR="00082F92" w:rsidRPr="00DD7BD1" w:rsidRDefault="00082F92" w:rsidP="00082F92">
      <w:pPr>
        <w:pStyle w:val="SubHeader"/>
        <w:rPr>
          <w:rFonts w:cs="Calibri"/>
          <w:color w:val="auto"/>
          <w:sz w:val="22"/>
          <w:szCs w:val="22"/>
        </w:rPr>
      </w:pPr>
      <w:r w:rsidRPr="00DD7BD1">
        <w:rPr>
          <w:rFonts w:cs="Calibri"/>
          <w:color w:val="auto"/>
          <w:sz w:val="22"/>
          <w:szCs w:val="22"/>
        </w:rPr>
        <w:t>Paid Family and Medical Leave</w:t>
      </w:r>
    </w:p>
    <w:p w14:paraId="49F296B7" w14:textId="77777777" w:rsidR="00082F92" w:rsidRPr="00DD7BD1" w:rsidRDefault="00082F92" w:rsidP="00082F92">
      <w:pPr>
        <w:pStyle w:val="BodyText"/>
        <w:rPr>
          <w:rFonts w:cs="Calibri"/>
          <w:color w:val="auto"/>
          <w:szCs w:val="22"/>
        </w:rPr>
      </w:pPr>
      <w:r w:rsidRPr="00DD7BD1">
        <w:rPr>
          <w:rFonts w:cs="Calibri"/>
          <w:noProof/>
          <w:color w:val="auto"/>
          <w:szCs w:val="22"/>
        </w:rPr>
        <w:t xml:space="preserve">New York’s </w:t>
      </w:r>
      <w:hyperlink r:id="rId950" w:history="1">
        <w:r w:rsidRPr="00DD7BD1">
          <w:rPr>
            <w:rStyle w:val="Hyperlink"/>
            <w:rFonts w:cs="Calibri"/>
            <w:noProof/>
            <w:color w:val="auto"/>
            <w:szCs w:val="22"/>
          </w:rPr>
          <w:t>PFL law</w:t>
        </w:r>
      </w:hyperlink>
      <w:r w:rsidRPr="00DD7BD1">
        <w:rPr>
          <w:rFonts w:cs="Calibri"/>
          <w:noProof/>
          <w:color w:val="auto"/>
          <w:szCs w:val="22"/>
        </w:rPr>
        <w:t xml:space="preserve"> </w:t>
      </w:r>
      <w:r w:rsidRPr="00DD7BD1">
        <w:rPr>
          <w:rFonts w:cs="Calibri"/>
          <w:color w:val="auto"/>
          <w:szCs w:val="22"/>
        </w:rPr>
        <w:t>provides eligible employees with up to 12 weeks of PFL. PFL coverage is typically added as a rider on an employer’s existing disability insurance policy. Leave may be used for:</w:t>
      </w:r>
    </w:p>
    <w:p w14:paraId="7A8CD34D" w14:textId="77777777" w:rsidR="00082F92" w:rsidRPr="00DD7BD1" w:rsidRDefault="00082F92" w:rsidP="00082F92">
      <w:pPr>
        <w:pStyle w:val="Bullet"/>
        <w:rPr>
          <w:rFonts w:cs="Calibri"/>
          <w:color w:val="auto"/>
          <w:szCs w:val="22"/>
        </w:rPr>
      </w:pPr>
      <w:r w:rsidRPr="00DD7BD1">
        <w:rPr>
          <w:rFonts w:cs="Calibri"/>
          <w:color w:val="auto"/>
          <w:szCs w:val="22"/>
        </w:rPr>
        <w:t>Caring for a family member with a serious health condition;</w:t>
      </w:r>
    </w:p>
    <w:p w14:paraId="07933599" w14:textId="77777777" w:rsidR="00082F92" w:rsidRPr="00DD7BD1" w:rsidRDefault="00082F92" w:rsidP="00082F92">
      <w:pPr>
        <w:pStyle w:val="Bullet"/>
        <w:rPr>
          <w:rFonts w:cs="Calibri"/>
          <w:color w:val="auto"/>
          <w:szCs w:val="22"/>
        </w:rPr>
      </w:pPr>
      <w:r w:rsidRPr="00DD7BD1">
        <w:rPr>
          <w:rFonts w:cs="Calibri"/>
          <w:color w:val="auto"/>
          <w:szCs w:val="22"/>
        </w:rPr>
        <w:t>Birth, adoption or fostering of a child; or</w:t>
      </w:r>
    </w:p>
    <w:p w14:paraId="1DC61C67" w14:textId="57EADEE6" w:rsidR="00082F92" w:rsidRPr="00DD7BD1" w:rsidRDefault="00082F92" w:rsidP="00B40E3B">
      <w:pPr>
        <w:pStyle w:val="Bullet"/>
        <w:rPr>
          <w:rFonts w:cs="Calibri"/>
          <w:color w:val="auto"/>
          <w:szCs w:val="22"/>
        </w:rPr>
      </w:pPr>
      <w:r w:rsidRPr="00DD7BD1">
        <w:rPr>
          <w:rFonts w:cs="Calibri"/>
          <w:color w:val="auto"/>
          <w:szCs w:val="22"/>
        </w:rPr>
        <w:t>A spouse’s, domestic partner’s, child’s or parent’s active military duty or impending active military duty.</w:t>
      </w:r>
    </w:p>
    <w:p w14:paraId="1155C738" w14:textId="77777777" w:rsidR="00B40E3B" w:rsidRPr="00DD7BD1" w:rsidRDefault="00B40E3B" w:rsidP="00B40E3B">
      <w:pPr>
        <w:pStyle w:val="Bullet"/>
        <w:numPr>
          <w:ilvl w:val="0"/>
          <w:numId w:val="0"/>
        </w:numPr>
        <w:ind w:left="360"/>
        <w:rPr>
          <w:rFonts w:cs="Calibri"/>
          <w:color w:val="auto"/>
          <w:szCs w:val="22"/>
        </w:rPr>
      </w:pPr>
    </w:p>
    <w:p w14:paraId="5FA2C565" w14:textId="2D00B8BA" w:rsidR="00C4571D" w:rsidRPr="00DD7BD1" w:rsidRDefault="00C4571D" w:rsidP="00C4571D">
      <w:pPr>
        <w:jc w:val="center"/>
        <w:rPr>
          <w:rFonts w:ascii="Calibri" w:hAnsi="Calibri" w:cs="Calibri"/>
          <w:b/>
          <w:bCs/>
          <w:color w:val="C00000"/>
          <w:sz w:val="28"/>
          <w:szCs w:val="28"/>
          <w:u w:val="single"/>
          <w:shd w:val="clear" w:color="auto" w:fill="FFFFFF"/>
        </w:rPr>
      </w:pPr>
      <w:r w:rsidRPr="00DD7BD1">
        <w:rPr>
          <w:rFonts w:ascii="Calibri" w:hAnsi="Calibri" w:cs="Calibri"/>
          <w:b/>
          <w:bCs/>
          <w:sz w:val="28"/>
          <w:szCs w:val="28"/>
          <w:u w:val="single"/>
          <w:shd w:val="clear" w:color="auto" w:fill="FFFFFF"/>
          <w:lang w:val="en"/>
        </w:rPr>
        <w:t>NYC</w:t>
      </w:r>
      <w:r w:rsidRPr="00DD7BD1">
        <w:rPr>
          <w:rFonts w:ascii="Calibri" w:hAnsi="Calibri" w:cs="Calibri"/>
          <w:b/>
          <w:bCs/>
          <w:sz w:val="28"/>
          <w:szCs w:val="28"/>
          <w:shd w:val="clear" w:color="auto" w:fill="FFFFFF"/>
          <w:lang w:val="en"/>
        </w:rPr>
        <w:t xml:space="preserve"> </w:t>
      </w:r>
      <w:bookmarkStart w:id="123" w:name="_Hlk213075109"/>
      <w:r w:rsidRPr="00DD7BD1">
        <w:rPr>
          <w:rFonts w:ascii="Calibri" w:hAnsi="Calibri" w:cs="Calibri"/>
          <w:b/>
          <w:bCs/>
          <w:sz w:val="28"/>
          <w:szCs w:val="28"/>
          <w:shd w:val="clear" w:color="auto" w:fill="FFFFFF"/>
        </w:rPr>
        <w:t>Expands Scheduling &amp; Workplace Protections for Service and Delivery Workers</w:t>
      </w:r>
      <w:bookmarkEnd w:id="123"/>
    </w:p>
    <w:p w14:paraId="5C4A058A" w14:textId="01305D9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Fair Workweek Requirements</w:t>
      </w:r>
    </w:p>
    <w:p w14:paraId="4CD1BEFC" w14:textId="3782656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Retail Employers</w:t>
      </w:r>
    </w:p>
    <w:p w14:paraId="6F3636CD" w14:textId="77777777"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Retail employers must:</w:t>
      </w:r>
    </w:p>
    <w:p w14:paraId="0DE152EF"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Provide work schedules at least 72 hours in advance, both posted at the workplace and distributed to employees via personal message or push notification on a scheduling app.</w:t>
      </w:r>
    </w:p>
    <w:p w14:paraId="18374310"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Obtain written employee consent to add or cancel shifts within 72 hours of a shift start.</w:t>
      </w:r>
    </w:p>
    <w:p w14:paraId="1B14850C"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Avoid on call scheduling, which is prohibited under the law.</w:t>
      </w:r>
    </w:p>
    <w:p w14:paraId="7D40D4BA"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Pay fines of up to $300 per affected employee, with higher penalties for repeat violations.</w:t>
      </w:r>
      <w:r w:rsidRPr="00DD7BD1">
        <w:rPr>
          <w:rFonts w:ascii="Calibri" w:hAnsi="Calibri" w:cs="Calibri"/>
          <w:shd w:val="clear" w:color="auto" w:fill="FFFFFF"/>
        </w:rPr>
        <w:br/>
        <w:t> </w:t>
      </w:r>
    </w:p>
    <w:p w14:paraId="6BDE055C" w14:textId="2078350D" w:rsidR="00C4571D" w:rsidRPr="00DD7BD1" w:rsidRDefault="00C4571D" w:rsidP="00C4571D">
      <w:pPr>
        <w:rPr>
          <w:rFonts w:ascii="Calibri" w:hAnsi="Calibri" w:cs="Calibri"/>
        </w:rPr>
      </w:pPr>
      <w:r w:rsidRPr="00DD7BD1">
        <w:rPr>
          <w:rFonts w:ascii="Calibri" w:hAnsi="Calibri" w:cs="Calibri"/>
          <w:shd w:val="clear" w:color="auto" w:fill="FFFFFF"/>
        </w:rPr>
        <w:t>To read more, including delivery driver implications, access the October 28</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article from Bond Schoeneck &amp; Kind Attorneys </w:t>
      </w:r>
      <w:hyperlink r:id="rId951" w:history="1">
        <w:r w:rsidRPr="00DD7BD1">
          <w:rPr>
            <w:rStyle w:val="Hyperlink"/>
            <w:rFonts w:ascii="Calibri" w:hAnsi="Calibri" w:cs="Calibri"/>
            <w:shd w:val="clear" w:color="auto" w:fill="FFFFFF"/>
          </w:rPr>
          <w:t>HERE</w:t>
        </w:r>
      </w:hyperlink>
    </w:p>
    <w:p w14:paraId="3F808A11" w14:textId="3AC0F1D0" w:rsidR="00C4571D" w:rsidRPr="00DD7BD1" w:rsidRDefault="00C4571D" w:rsidP="00C4571D">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rPr>
        <w:t>NYC</w:t>
      </w:r>
      <w:r w:rsidRPr="00DD7BD1">
        <w:rPr>
          <w:rFonts w:ascii="Calibri" w:hAnsi="Calibri" w:cs="Calibri"/>
          <w:b/>
          <w:bCs/>
          <w:sz w:val="28"/>
          <w:szCs w:val="28"/>
          <w:shd w:val="clear" w:color="auto" w:fill="FFFFFF"/>
        </w:rPr>
        <w:t xml:space="preserve"> </w:t>
      </w:r>
      <w:bookmarkStart w:id="124" w:name="_Hlk213075168"/>
      <w:r w:rsidRPr="00DD7BD1">
        <w:rPr>
          <w:rFonts w:ascii="Calibri" w:hAnsi="Calibri" w:cs="Calibri"/>
          <w:b/>
          <w:bCs/>
          <w:sz w:val="28"/>
          <w:szCs w:val="28"/>
          <w:shd w:val="clear" w:color="auto" w:fill="FFFFFF"/>
        </w:rPr>
        <w:t xml:space="preserve">Updates 2026 Earned Safe and Sick Time Act (ETTS) – </w:t>
      </w:r>
      <w:r w:rsidRPr="00DD7BD1">
        <w:rPr>
          <w:rFonts w:ascii="Calibri" w:hAnsi="Calibri" w:cs="Calibri"/>
          <w:b/>
          <w:bCs/>
          <w:color w:val="C00000"/>
          <w:sz w:val="28"/>
          <w:szCs w:val="28"/>
          <w:shd w:val="clear" w:color="auto" w:fill="FFFFFF"/>
        </w:rPr>
        <w:t>Feb 22, 2026</w:t>
      </w:r>
      <w:bookmarkEnd w:id="124"/>
    </w:p>
    <w:p w14:paraId="6E926A67" w14:textId="1AA34423"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On September 25, 2025, the New York City Council passed significant amendments to the New York City Earned Safe and Sick Time Act (ESSTA or the Act).</w:t>
      </w:r>
    </w:p>
    <w:p w14:paraId="28479F42" w14:textId="0479B52E"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 xml:space="preserve">The amendments make significant changes to the existing ESSTA, as well as the New York City Temporary Schedule Change Act (TSCA). </w:t>
      </w:r>
      <w:proofErr w:type="gramStart"/>
      <w:r w:rsidRPr="00DD7BD1">
        <w:rPr>
          <w:rFonts w:ascii="Calibri" w:hAnsi="Calibri" w:cs="Calibri"/>
          <w:shd w:val="clear" w:color="auto" w:fill="FFFFFF"/>
        </w:rPr>
        <w:t>A brief summary</w:t>
      </w:r>
      <w:proofErr w:type="gramEnd"/>
      <w:r w:rsidRPr="00DD7BD1">
        <w:rPr>
          <w:rFonts w:ascii="Calibri" w:hAnsi="Calibri" w:cs="Calibri"/>
          <w:shd w:val="clear" w:color="auto" w:fill="FFFFFF"/>
        </w:rPr>
        <w:t xml:space="preserve"> of some of the key changes </w:t>
      </w:r>
      <w:proofErr w:type="gramStart"/>
      <w:r w:rsidRPr="00DD7BD1">
        <w:rPr>
          <w:rFonts w:ascii="Calibri" w:hAnsi="Calibri" w:cs="Calibri"/>
          <w:shd w:val="clear" w:color="auto" w:fill="FFFFFF"/>
        </w:rPr>
        <w:t>include:</w:t>
      </w:r>
      <w:proofErr w:type="gramEnd"/>
      <w:r w:rsidRPr="00DD7BD1">
        <w:rPr>
          <w:rFonts w:ascii="Calibri" w:hAnsi="Calibri" w:cs="Calibri"/>
          <w:shd w:val="clear" w:color="auto" w:fill="FFFFFF"/>
        </w:rPr>
        <w:t xml:space="preserve"> recognition of additional, new qualifying reasons for use of ESSTA sick/safe leave related to </w:t>
      </w:r>
      <w:proofErr w:type="gramStart"/>
      <w:r w:rsidRPr="00DD7BD1">
        <w:rPr>
          <w:rFonts w:ascii="Calibri" w:hAnsi="Calibri" w:cs="Calibri"/>
          <w:shd w:val="clear" w:color="auto" w:fill="FFFFFF"/>
        </w:rPr>
        <w:t>child care</w:t>
      </w:r>
      <w:proofErr w:type="gramEnd"/>
      <w:r w:rsidRPr="00DD7BD1">
        <w:rPr>
          <w:rFonts w:ascii="Calibri" w:hAnsi="Calibri" w:cs="Calibri"/>
          <w:shd w:val="clear" w:color="auto" w:fill="FFFFFF"/>
        </w:rPr>
        <w:t>, caregiving, workplace violence, subsistence benefits or housing and public disasters, as well as  a new obligation for employers to provide additional unpaid sick time and changes related to the alignment of the TSCA with the ESSTA. </w:t>
      </w:r>
    </w:p>
    <w:p w14:paraId="704D4670" w14:textId="4C285D9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 xml:space="preserve">The ESSTA requires covered employers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w:t>
      </w:r>
      <w:proofErr w:type="spellStart"/>
      <w:proofErr w:type="gramStart"/>
      <w:r w:rsidRPr="00DD7BD1">
        <w:rPr>
          <w:rFonts w:ascii="Calibri" w:hAnsi="Calibri" w:cs="Calibri"/>
          <w:shd w:val="clear" w:color="auto" w:fill="FFFFFF"/>
        </w:rPr>
        <w:t>an</w:t>
      </w:r>
      <w:proofErr w:type="spellEnd"/>
      <w:proofErr w:type="gramEnd"/>
      <w:r w:rsidRPr="00DD7BD1">
        <w:rPr>
          <w:rFonts w:ascii="Calibri" w:hAnsi="Calibri" w:cs="Calibri"/>
          <w:shd w:val="clear" w:color="auto" w:fill="FFFFFF"/>
        </w:rPr>
        <w:t xml:space="preserve"> a net income of $1 million or more must provide up to 40 hours of paid sick/safe leave each year; and employers with four or fewer employees and a net income of less than $1 million must provide up to 40 hours of unpaid sick/safe leave each year. Employers with one to 99 domestic </w:t>
      </w:r>
      <w:proofErr w:type="gramStart"/>
      <w:r w:rsidRPr="00DD7BD1">
        <w:rPr>
          <w:rFonts w:ascii="Calibri" w:hAnsi="Calibri" w:cs="Calibri"/>
          <w:shd w:val="clear" w:color="auto" w:fill="FFFFFF"/>
        </w:rPr>
        <w:t>worker(s)</w:t>
      </w:r>
      <w:proofErr w:type="gramEnd"/>
      <w:r w:rsidRPr="00DD7BD1">
        <w:rPr>
          <w:rFonts w:ascii="Calibri" w:hAnsi="Calibri" w:cs="Calibri"/>
          <w:shd w:val="clear" w:color="auto" w:fill="FFFFFF"/>
        </w:rPr>
        <w:t xml:space="preserve">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Expanded uses</w:t>
      </w:r>
      <w:r w:rsidRPr="00DD7BD1">
        <w:rPr>
          <w:rFonts w:ascii="Calibri" w:hAnsi="Calibri" w:cs="Calibri"/>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Workplace Violence – Employees may use ESSTA leave for certain reasons, including but not limited to seeking legal or social services, meeting with a district attorney or filing a complaint with law enforcement, related to when the </w:t>
      </w:r>
      <w:r w:rsidRPr="00DD7BD1">
        <w:rPr>
          <w:rFonts w:ascii="Calibri" w:hAnsi="Calibri" w:cs="Calibri"/>
          <w:shd w:val="clear" w:color="auto" w:fill="FFFFFF"/>
        </w:rPr>
        <w:lastRenderedPageBreak/>
        <w:t>employee or the employee’s family member has been the victim of workplace violence. This change specifically adds workplace violence to the “safe leave” provisions of the ESSTA. </w:t>
      </w:r>
      <w:r w:rsidRPr="00DD7BD1">
        <w:rPr>
          <w:rFonts w:ascii="Calibri" w:hAnsi="Calibri" w:cs="Calibri"/>
          <w:shd w:val="clear" w:color="auto" w:fill="FFFFFF"/>
        </w:rPr>
        <w:br/>
        <w:t> </w:t>
      </w:r>
    </w:p>
    <w:p w14:paraId="5655C76D" w14:textId="77777777"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Style w:val="Strong"/>
          <w:rFonts w:ascii="Calibri" w:hAnsi="Calibri" w:cs="Calibri"/>
          <w:color w:val="292929"/>
          <w:spacing w:val="3"/>
          <w:sz w:val="22"/>
          <w:szCs w:val="22"/>
        </w:rPr>
        <w:t>New Additional Unpaid Sick Time</w:t>
      </w:r>
      <w:r w:rsidRPr="00DD7BD1">
        <w:rPr>
          <w:rFonts w:ascii="Calibri" w:hAnsi="Calibri" w:cs="Calibri"/>
          <w:color w:val="292929"/>
          <w:spacing w:val="3"/>
          <w:sz w:val="22"/>
          <w:szCs w:val="22"/>
        </w:rPr>
        <w:t>: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used for any qualifying ESSTA purpose. This unpaid ESSTA time does not need to be carried over to the following benefit year. </w:t>
      </w:r>
    </w:p>
    <w:p w14:paraId="33D0732B" w14:textId="77777777" w:rsidR="00C4571D" w:rsidRPr="00DD7BD1" w:rsidRDefault="00C4571D" w:rsidP="00C4571D">
      <w:pPr>
        <w:pStyle w:val="NormalWeb"/>
        <w:shd w:val="clear" w:color="auto" w:fill="FFFFFF"/>
        <w:spacing w:before="0" w:beforeAutospacing="0" w:after="0" w:afterAutospacing="0"/>
        <w:ind w:left="720"/>
        <w:rPr>
          <w:rStyle w:val="Strong"/>
          <w:rFonts w:ascii="Calibri" w:hAnsi="Calibri" w:cs="Calibri"/>
          <w:color w:val="292929"/>
          <w:spacing w:val="3"/>
          <w:sz w:val="22"/>
          <w:szCs w:val="22"/>
        </w:rPr>
      </w:pPr>
    </w:p>
    <w:p w14:paraId="5EDF18E7"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Style w:val="Strong"/>
          <w:rFonts w:ascii="Calibri" w:hAnsi="Calibri" w:cs="Calibri"/>
          <w:color w:val="292929"/>
          <w:spacing w:val="3"/>
          <w:sz w:val="22"/>
          <w:szCs w:val="22"/>
        </w:rPr>
        <w:t>TSCA</w:t>
      </w:r>
      <w:r w:rsidRPr="00DD7BD1">
        <w:rPr>
          <w:rFonts w:ascii="Calibri" w:hAnsi="Calibri" w:cs="Calibri"/>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p>
    <w:p w14:paraId="234CBC1F"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Fonts w:ascii="Calibri" w:hAnsi="Calibri" w:cs="Calibri"/>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DD7BD1" w:rsidRDefault="00C4571D" w:rsidP="00C4571D">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Pr="00DD7BD1" w:rsidRDefault="00C4571D" w:rsidP="00C4571D">
      <w:pPr>
        <w:spacing w:after="0" w:line="240" w:lineRule="auto"/>
        <w:ind w:right="-187"/>
        <w:rPr>
          <w:rFonts w:ascii="Calibri" w:hAnsi="Calibri" w:cs="Calibri"/>
          <w:b/>
          <w:spacing w:val="-4"/>
          <w:sz w:val="28"/>
        </w:rPr>
      </w:pPr>
      <w:r w:rsidRPr="00DD7BD1">
        <w:rPr>
          <w:rFonts w:ascii="Calibri" w:hAnsi="Calibri" w:cs="Calibri"/>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Pr="00DD7BD1" w:rsidRDefault="00C4571D" w:rsidP="00B22B5D">
      <w:pPr>
        <w:spacing w:after="0" w:line="240" w:lineRule="auto"/>
        <w:ind w:right="-187"/>
        <w:jc w:val="center"/>
        <w:rPr>
          <w:rFonts w:ascii="Calibri" w:hAnsi="Calibri" w:cs="Calibri"/>
          <w:b/>
          <w:spacing w:val="-4"/>
        </w:rPr>
      </w:pPr>
    </w:p>
    <w:p w14:paraId="60BC7554" w14:textId="10CE34EE"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Passes</w:t>
      </w:r>
      <w:r w:rsidRPr="00DD7BD1">
        <w:rPr>
          <w:rFonts w:ascii="Calibri" w:hAnsi="Calibri" w:cs="Calibri"/>
          <w:b/>
          <w:spacing w:val="-13"/>
          <w:sz w:val="28"/>
        </w:rPr>
        <w:t xml:space="preserve"> </w:t>
      </w:r>
      <w:r w:rsidRPr="00DD7BD1">
        <w:rPr>
          <w:rFonts w:ascii="Calibri" w:hAnsi="Calibri" w:cs="Calibri"/>
          <w:b/>
          <w:spacing w:val="-4"/>
          <w:sz w:val="28"/>
        </w:rPr>
        <w:t>Regulations</w:t>
      </w:r>
      <w:r w:rsidRPr="00DD7BD1">
        <w:rPr>
          <w:rFonts w:ascii="Calibri" w:hAnsi="Calibri" w:cs="Calibri"/>
          <w:b/>
          <w:spacing w:val="-14"/>
          <w:sz w:val="28"/>
        </w:rPr>
        <w:t xml:space="preserve"> </w:t>
      </w:r>
      <w:r w:rsidRPr="00DD7BD1">
        <w:rPr>
          <w:rFonts w:ascii="Calibri" w:hAnsi="Calibri" w:cs="Calibri"/>
          <w:b/>
          <w:spacing w:val="-4"/>
          <w:sz w:val="28"/>
        </w:rPr>
        <w:t>Resulting</w:t>
      </w:r>
      <w:r w:rsidRPr="00DD7BD1">
        <w:rPr>
          <w:rFonts w:ascii="Calibri" w:hAnsi="Calibri" w:cs="Calibri"/>
          <w:b/>
          <w:spacing w:val="-11"/>
          <w:sz w:val="28"/>
        </w:rPr>
        <w:t xml:space="preserve"> </w:t>
      </w:r>
      <w:r w:rsidRPr="00DD7BD1">
        <w:rPr>
          <w:rFonts w:ascii="Calibri" w:hAnsi="Calibri" w:cs="Calibri"/>
          <w:b/>
          <w:spacing w:val="-4"/>
          <w:sz w:val="28"/>
        </w:rPr>
        <w:t>in</w:t>
      </w:r>
      <w:r w:rsidRPr="00DD7BD1">
        <w:rPr>
          <w:rFonts w:ascii="Calibri" w:hAnsi="Calibri" w:cs="Calibri"/>
          <w:b/>
          <w:spacing w:val="-11"/>
          <w:sz w:val="28"/>
        </w:rPr>
        <w:t xml:space="preserve"> </w:t>
      </w:r>
      <w:r w:rsidRPr="00DD7BD1">
        <w:rPr>
          <w:rFonts w:ascii="Calibri" w:hAnsi="Calibri" w:cs="Calibri"/>
          <w:b/>
          <w:spacing w:val="-4"/>
          <w:sz w:val="28"/>
        </w:rPr>
        <w:t>Mini</w:t>
      </w:r>
      <w:r w:rsidRPr="00DD7BD1">
        <w:rPr>
          <w:rFonts w:ascii="Calibri" w:hAnsi="Calibri" w:cs="Calibri"/>
          <w:b/>
          <w:spacing w:val="-13"/>
          <w:sz w:val="28"/>
        </w:rPr>
        <w:t xml:space="preserve"> </w:t>
      </w: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Labor</w:t>
      </w:r>
      <w:r w:rsidRPr="00DD7BD1">
        <w:rPr>
          <w:rFonts w:ascii="Calibri" w:hAnsi="Calibri" w:cs="Calibri"/>
          <w:b/>
          <w:spacing w:val="-7"/>
          <w:sz w:val="28"/>
        </w:rPr>
        <w:t xml:space="preserve"> </w:t>
      </w:r>
      <w:r w:rsidRPr="00DD7BD1">
        <w:rPr>
          <w:rFonts w:ascii="Calibri" w:hAnsi="Calibri" w:cs="Calibri"/>
          <w:b/>
          <w:spacing w:val="-4"/>
          <w:sz w:val="28"/>
        </w:rPr>
        <w:t>Relations</w:t>
      </w:r>
      <w:r w:rsidRPr="00DD7BD1">
        <w:rPr>
          <w:rFonts w:ascii="Calibri" w:hAnsi="Calibri" w:cs="Calibri"/>
          <w:b/>
          <w:spacing w:val="-13"/>
          <w:sz w:val="28"/>
        </w:rPr>
        <w:t xml:space="preserve"> </w:t>
      </w:r>
      <w:r w:rsidRPr="00DD7BD1">
        <w:rPr>
          <w:rFonts w:ascii="Calibri" w:hAnsi="Calibri" w:cs="Calibri"/>
          <w:b/>
          <w:spacing w:val="-4"/>
          <w:sz w:val="28"/>
        </w:rPr>
        <w:t>Boards</w:t>
      </w:r>
      <w:bookmarkEnd w:id="122"/>
    </w:p>
    <w:p w14:paraId="38EDFB19"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In a significant development, New York enacted</w:t>
      </w:r>
      <w:r w:rsidRPr="00DD7BD1">
        <w:rPr>
          <w:rFonts w:cs="Calibri"/>
          <w:color w:val="auto"/>
          <w:spacing w:val="-7"/>
          <w:w w:val="110"/>
          <w:szCs w:val="22"/>
        </w:rPr>
        <w:t xml:space="preserve"> </w:t>
      </w:r>
      <w:hyperlink r:id="rId952">
        <w:r w:rsidRPr="00DD7BD1">
          <w:rPr>
            <w:rFonts w:cs="Calibri"/>
            <w:color w:val="0000FF"/>
            <w:w w:val="110"/>
            <w:szCs w:val="22"/>
            <w:u w:val="single" w:color="0000FF"/>
          </w:rPr>
          <w:t>S.8034A</w:t>
        </w:r>
        <w:r w:rsidRPr="00DD7BD1">
          <w:rPr>
            <w:rFonts w:cs="Calibri"/>
            <w:color w:val="2D74B5"/>
            <w:w w:val="110"/>
            <w:szCs w:val="22"/>
          </w:rPr>
          <w:t>,</w:t>
        </w:r>
      </w:hyperlink>
      <w:r w:rsidRPr="00DD7BD1">
        <w:rPr>
          <w:rFonts w:cs="Calibri"/>
          <w:color w:val="2D74B5"/>
          <w:w w:val="110"/>
          <w:szCs w:val="22"/>
        </w:rPr>
        <w:t xml:space="preserve"> </w:t>
      </w:r>
      <w:r w:rsidRPr="00DD7BD1">
        <w:rPr>
          <w:rFonts w:cs="Calibri"/>
          <w:color w:val="auto"/>
          <w:w w:val="110"/>
          <w:szCs w:val="22"/>
        </w:rPr>
        <w:t>a law that would transform its Public Employment Relations</w:t>
      </w:r>
      <w:r w:rsidRPr="00DD7BD1">
        <w:rPr>
          <w:rFonts w:cs="Calibri"/>
          <w:color w:val="auto"/>
          <w:spacing w:val="-7"/>
          <w:w w:val="110"/>
          <w:szCs w:val="22"/>
        </w:rPr>
        <w:t xml:space="preserve"> </w:t>
      </w:r>
      <w:r w:rsidRPr="00DD7BD1">
        <w:rPr>
          <w:rFonts w:cs="Calibri"/>
          <w:color w:val="auto"/>
          <w:w w:val="110"/>
          <w:szCs w:val="22"/>
        </w:rPr>
        <w:t>Board</w:t>
      </w:r>
      <w:r w:rsidRPr="00DD7BD1">
        <w:rPr>
          <w:rFonts w:cs="Calibri"/>
          <w:color w:val="auto"/>
          <w:spacing w:val="-10"/>
          <w:w w:val="110"/>
          <w:szCs w:val="22"/>
        </w:rPr>
        <w:t xml:space="preserve"> </w:t>
      </w:r>
      <w:r w:rsidRPr="00DD7BD1">
        <w:rPr>
          <w:rFonts w:cs="Calibri"/>
          <w:color w:val="auto"/>
          <w:w w:val="110"/>
          <w:szCs w:val="22"/>
        </w:rPr>
        <w:t>(PERB)</w:t>
      </w:r>
      <w:r w:rsidRPr="00DD7BD1">
        <w:rPr>
          <w:rFonts w:cs="Calibri"/>
          <w:color w:val="auto"/>
          <w:spacing w:val="-8"/>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mini-National</w:t>
      </w:r>
      <w:r w:rsidRPr="00DD7BD1">
        <w:rPr>
          <w:rFonts w:cs="Calibri"/>
          <w:color w:val="auto"/>
          <w:spacing w:val="-10"/>
          <w:w w:val="110"/>
          <w:szCs w:val="22"/>
        </w:rPr>
        <w:t xml:space="preserve"> </w:t>
      </w:r>
      <w:r w:rsidRPr="00DD7BD1">
        <w:rPr>
          <w:rFonts w:cs="Calibri"/>
          <w:color w:val="auto"/>
          <w:w w:val="110"/>
          <w:szCs w:val="22"/>
        </w:rPr>
        <w:t>Labor</w:t>
      </w:r>
      <w:r w:rsidRPr="00DD7BD1">
        <w:rPr>
          <w:rFonts w:cs="Calibri"/>
          <w:color w:val="auto"/>
          <w:spacing w:val="-9"/>
          <w:w w:val="110"/>
          <w:szCs w:val="22"/>
        </w:rPr>
        <w:t xml:space="preserve"> </w:t>
      </w:r>
      <w:r w:rsidRPr="00DD7BD1">
        <w:rPr>
          <w:rFonts w:cs="Calibri"/>
          <w:color w:val="auto"/>
          <w:w w:val="110"/>
          <w:szCs w:val="22"/>
        </w:rPr>
        <w:t>Relations</w:t>
      </w:r>
      <w:r w:rsidRPr="00DD7BD1">
        <w:rPr>
          <w:rFonts w:cs="Calibri"/>
          <w:color w:val="auto"/>
          <w:spacing w:val="-9"/>
          <w:w w:val="110"/>
          <w:szCs w:val="22"/>
        </w:rPr>
        <w:t xml:space="preserve"> </w:t>
      </w:r>
      <w:r w:rsidRPr="00DD7BD1">
        <w:rPr>
          <w:rFonts w:cs="Calibri"/>
          <w:color w:val="auto"/>
          <w:w w:val="110"/>
          <w:szCs w:val="22"/>
        </w:rPr>
        <w:t>Board</w:t>
      </w:r>
      <w:r w:rsidRPr="00DD7BD1">
        <w:rPr>
          <w:rFonts w:cs="Calibri"/>
          <w:color w:val="auto"/>
          <w:spacing w:val="-8"/>
          <w:w w:val="110"/>
          <w:szCs w:val="22"/>
        </w:rPr>
        <w:t xml:space="preserve"> </w:t>
      </w:r>
      <w:r w:rsidRPr="00DD7BD1">
        <w:rPr>
          <w:rFonts w:cs="Calibri"/>
          <w:color w:val="auto"/>
          <w:w w:val="110"/>
          <w:szCs w:val="22"/>
        </w:rPr>
        <w:t>(NLRB).</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new</w:t>
      </w:r>
      <w:r w:rsidRPr="00DD7BD1">
        <w:rPr>
          <w:rFonts w:cs="Calibri"/>
          <w:color w:val="auto"/>
          <w:spacing w:val="-8"/>
          <w:w w:val="110"/>
          <w:szCs w:val="22"/>
        </w:rPr>
        <w:t xml:space="preserve"> </w:t>
      </w:r>
      <w:r w:rsidRPr="00DD7BD1">
        <w:rPr>
          <w:rFonts w:cs="Calibri"/>
          <w:color w:val="auto"/>
          <w:w w:val="110"/>
          <w:szCs w:val="22"/>
        </w:rPr>
        <w:t>law,</w:t>
      </w:r>
      <w:r w:rsidRPr="00DD7BD1">
        <w:rPr>
          <w:rFonts w:cs="Calibri"/>
          <w:color w:val="auto"/>
          <w:spacing w:val="-9"/>
          <w:w w:val="110"/>
          <w:szCs w:val="22"/>
        </w:rPr>
        <w:t xml:space="preserve"> </w:t>
      </w:r>
      <w:r w:rsidRPr="00DD7BD1">
        <w:rPr>
          <w:rFonts w:cs="Calibri"/>
          <w:color w:val="auto"/>
          <w:w w:val="110"/>
          <w:szCs w:val="22"/>
        </w:rPr>
        <w:t>PERB</w:t>
      </w:r>
      <w:r w:rsidRPr="00DD7BD1">
        <w:rPr>
          <w:rFonts w:cs="Calibri"/>
          <w:color w:val="auto"/>
          <w:spacing w:val="-9"/>
          <w:w w:val="110"/>
          <w:szCs w:val="22"/>
        </w:rPr>
        <w:t xml:space="preserve"> </w:t>
      </w:r>
      <w:r w:rsidRPr="00DD7BD1">
        <w:rPr>
          <w:rFonts w:cs="Calibri"/>
          <w:color w:val="auto"/>
          <w:w w:val="110"/>
          <w:szCs w:val="22"/>
        </w:rPr>
        <w:t>would</w:t>
      </w:r>
      <w:r w:rsidRPr="00DD7BD1">
        <w:rPr>
          <w:rFonts w:cs="Calibri"/>
          <w:color w:val="auto"/>
          <w:spacing w:val="-10"/>
          <w:w w:val="110"/>
          <w:szCs w:val="22"/>
        </w:rPr>
        <w:t xml:space="preserve"> </w:t>
      </w:r>
      <w:r w:rsidRPr="00DD7BD1">
        <w:rPr>
          <w:rFonts w:cs="Calibri"/>
          <w:color w:val="auto"/>
          <w:w w:val="110"/>
          <w:szCs w:val="22"/>
        </w:rPr>
        <w:t>have new</w:t>
      </w:r>
      <w:r w:rsidRPr="00DD7BD1">
        <w:rPr>
          <w:rFonts w:cs="Calibri"/>
          <w:color w:val="auto"/>
          <w:spacing w:val="-11"/>
          <w:w w:val="110"/>
          <w:szCs w:val="22"/>
        </w:rPr>
        <w:t xml:space="preserve"> </w:t>
      </w:r>
      <w:r w:rsidRPr="00DD7BD1">
        <w:rPr>
          <w:rFonts w:cs="Calibri"/>
          <w:color w:val="auto"/>
          <w:w w:val="110"/>
          <w:szCs w:val="22"/>
        </w:rPr>
        <w:t>authority</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resolve</w:t>
      </w:r>
      <w:r w:rsidRPr="00DD7BD1">
        <w:rPr>
          <w:rFonts w:cs="Calibri"/>
          <w:color w:val="auto"/>
          <w:spacing w:val="-15"/>
          <w:w w:val="110"/>
          <w:szCs w:val="22"/>
        </w:rPr>
        <w:t xml:space="preserve"> </w:t>
      </w:r>
      <w:r w:rsidRPr="00DD7BD1">
        <w:rPr>
          <w:rFonts w:cs="Calibri"/>
          <w:color w:val="auto"/>
          <w:w w:val="110"/>
          <w:szCs w:val="22"/>
        </w:rPr>
        <w:t>unfair</w:t>
      </w:r>
      <w:r w:rsidRPr="00DD7BD1">
        <w:rPr>
          <w:rFonts w:cs="Calibri"/>
          <w:color w:val="auto"/>
          <w:spacing w:val="-12"/>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practices</w:t>
      </w:r>
      <w:r w:rsidRPr="00DD7BD1">
        <w:rPr>
          <w:rFonts w:cs="Calibri"/>
          <w:color w:val="auto"/>
          <w:spacing w:val="-12"/>
          <w:w w:val="110"/>
          <w:szCs w:val="22"/>
        </w:rPr>
        <w:t xml:space="preserve"> </w:t>
      </w:r>
      <w:r w:rsidRPr="00DD7BD1">
        <w:rPr>
          <w:rFonts w:cs="Calibri"/>
          <w:color w:val="auto"/>
          <w:w w:val="110"/>
          <w:szCs w:val="22"/>
        </w:rPr>
        <w:t>(ULPs),</w:t>
      </w:r>
      <w:r w:rsidRPr="00DD7BD1">
        <w:rPr>
          <w:rFonts w:cs="Calibri"/>
          <w:color w:val="auto"/>
          <w:spacing w:val="-11"/>
          <w:w w:val="110"/>
          <w:szCs w:val="22"/>
        </w:rPr>
        <w:t xml:space="preserve"> </w:t>
      </w:r>
      <w:r w:rsidRPr="00DD7BD1">
        <w:rPr>
          <w:rFonts w:cs="Calibri"/>
          <w:color w:val="auto"/>
          <w:w w:val="110"/>
          <w:szCs w:val="22"/>
        </w:rPr>
        <w:t>enforce</w:t>
      </w:r>
      <w:r w:rsidRPr="00DD7BD1">
        <w:rPr>
          <w:rFonts w:cs="Calibri"/>
          <w:color w:val="auto"/>
          <w:spacing w:val="-10"/>
          <w:w w:val="110"/>
          <w:szCs w:val="22"/>
        </w:rPr>
        <w:t xml:space="preserve"> </w:t>
      </w:r>
      <w:r w:rsidRPr="00DD7BD1">
        <w:rPr>
          <w:rFonts w:cs="Calibri"/>
          <w:color w:val="auto"/>
          <w:w w:val="110"/>
          <w:szCs w:val="22"/>
        </w:rPr>
        <w:t>collective</w:t>
      </w:r>
      <w:r w:rsidRPr="00DD7BD1">
        <w:rPr>
          <w:rFonts w:cs="Calibri"/>
          <w:color w:val="auto"/>
          <w:spacing w:val="-12"/>
          <w:w w:val="110"/>
          <w:szCs w:val="22"/>
        </w:rPr>
        <w:t xml:space="preserve"> </w:t>
      </w:r>
      <w:r w:rsidRPr="00DD7BD1">
        <w:rPr>
          <w:rFonts w:cs="Calibri"/>
          <w:color w:val="auto"/>
          <w:w w:val="110"/>
          <w:szCs w:val="22"/>
        </w:rPr>
        <w:t>bargaining</w:t>
      </w:r>
      <w:r w:rsidRPr="00DD7BD1">
        <w:rPr>
          <w:rFonts w:cs="Calibri"/>
          <w:color w:val="auto"/>
          <w:spacing w:val="-12"/>
          <w:w w:val="110"/>
          <w:szCs w:val="22"/>
        </w:rPr>
        <w:t xml:space="preserve"> </w:t>
      </w:r>
      <w:r w:rsidRPr="00DD7BD1">
        <w:rPr>
          <w:rFonts w:cs="Calibri"/>
          <w:color w:val="auto"/>
          <w:w w:val="110"/>
          <w:szCs w:val="22"/>
        </w:rPr>
        <w:t>agreements,</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certify</w:t>
      </w:r>
      <w:r w:rsidRPr="00DD7BD1">
        <w:rPr>
          <w:rFonts w:cs="Calibri"/>
          <w:color w:val="auto"/>
          <w:spacing w:val="-12"/>
          <w:w w:val="110"/>
          <w:szCs w:val="22"/>
        </w:rPr>
        <w:t xml:space="preserve"> </w:t>
      </w:r>
      <w:r w:rsidRPr="00DD7BD1">
        <w:rPr>
          <w:rFonts w:cs="Calibri"/>
          <w:color w:val="auto"/>
          <w:w w:val="110"/>
          <w:szCs w:val="22"/>
        </w:rPr>
        <w:t>unions operating</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private</w:t>
      </w:r>
      <w:r w:rsidRPr="00DD7BD1">
        <w:rPr>
          <w:rFonts w:cs="Calibri"/>
          <w:color w:val="auto"/>
          <w:spacing w:val="-17"/>
          <w:w w:val="110"/>
          <w:szCs w:val="22"/>
        </w:rPr>
        <w:t xml:space="preserve"> </w:t>
      </w:r>
      <w:r w:rsidRPr="00DD7BD1">
        <w:rPr>
          <w:rFonts w:cs="Calibri"/>
          <w:color w:val="auto"/>
          <w:w w:val="110"/>
          <w:szCs w:val="22"/>
        </w:rPr>
        <w:t>sector.</w:t>
      </w:r>
      <w:r w:rsidRPr="00DD7BD1">
        <w:rPr>
          <w:rFonts w:cs="Calibri"/>
          <w:color w:val="auto"/>
          <w:spacing w:val="2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enacting</w:t>
      </w:r>
      <w:r w:rsidRPr="00DD7BD1">
        <w:rPr>
          <w:rFonts w:cs="Calibri"/>
          <w:color w:val="auto"/>
          <w:spacing w:val="-17"/>
          <w:w w:val="110"/>
          <w:szCs w:val="22"/>
        </w:rPr>
        <w:t xml:space="preserve"> </w:t>
      </w:r>
      <w:r w:rsidRPr="00DD7BD1">
        <w:rPr>
          <w:rFonts w:cs="Calibri"/>
          <w:color w:val="auto"/>
          <w:w w:val="110"/>
          <w:szCs w:val="22"/>
        </w:rPr>
        <w:t>S.8034A,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York</w:t>
      </w:r>
      <w:r w:rsidRPr="00DD7BD1">
        <w:rPr>
          <w:rFonts w:cs="Calibri"/>
          <w:color w:val="auto"/>
          <w:spacing w:val="-17"/>
          <w:w w:val="110"/>
          <w:szCs w:val="22"/>
        </w:rPr>
        <w:t xml:space="preserve"> </w:t>
      </w:r>
      <w:r w:rsidRPr="00DD7BD1">
        <w:rPr>
          <w:rFonts w:cs="Calibri"/>
          <w:color w:val="auto"/>
          <w:w w:val="110"/>
          <w:szCs w:val="22"/>
        </w:rPr>
        <w:t>signals</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state's</w:t>
      </w:r>
      <w:r w:rsidRPr="00DD7BD1">
        <w:rPr>
          <w:rFonts w:cs="Calibri"/>
          <w:color w:val="auto"/>
          <w:spacing w:val="-17"/>
          <w:w w:val="110"/>
          <w:szCs w:val="22"/>
        </w:rPr>
        <w:t xml:space="preserve"> </w:t>
      </w:r>
      <w:r w:rsidRPr="00DD7BD1">
        <w:rPr>
          <w:rFonts w:cs="Calibri"/>
          <w:color w:val="auto"/>
          <w:w w:val="110"/>
          <w:szCs w:val="22"/>
        </w:rPr>
        <w:t>intent</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increase</w:t>
      </w:r>
      <w:r w:rsidRPr="00DD7BD1">
        <w:rPr>
          <w:rFonts w:cs="Calibri"/>
          <w:color w:val="auto"/>
          <w:spacing w:val="-17"/>
          <w:w w:val="110"/>
          <w:szCs w:val="22"/>
        </w:rPr>
        <w:t xml:space="preserve"> </w:t>
      </w:r>
      <w:r w:rsidRPr="00DD7BD1">
        <w:rPr>
          <w:rFonts w:cs="Calibri"/>
          <w:color w:val="auto"/>
          <w:w w:val="110"/>
          <w:szCs w:val="22"/>
        </w:rPr>
        <w:t>protections</w:t>
      </w:r>
      <w:r w:rsidRPr="00DD7BD1">
        <w:rPr>
          <w:rFonts w:cs="Calibri"/>
          <w:color w:val="auto"/>
          <w:spacing w:val="-17"/>
          <w:w w:val="110"/>
          <w:szCs w:val="22"/>
        </w:rPr>
        <w:t xml:space="preserve"> </w:t>
      </w:r>
      <w:r w:rsidRPr="00DD7BD1">
        <w:rPr>
          <w:rFonts w:cs="Calibri"/>
          <w:color w:val="auto"/>
          <w:w w:val="110"/>
          <w:szCs w:val="22"/>
        </w:rPr>
        <w:t>for workers</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NLRB</w:t>
      </w:r>
      <w:r w:rsidRPr="00DD7BD1">
        <w:rPr>
          <w:rFonts w:cs="Calibri"/>
          <w:color w:val="auto"/>
          <w:spacing w:val="-17"/>
          <w:w w:val="110"/>
          <w:szCs w:val="22"/>
        </w:rPr>
        <w:t xml:space="preserve"> </w:t>
      </w:r>
      <w:r w:rsidRPr="00DD7BD1">
        <w:rPr>
          <w:rFonts w:cs="Calibri"/>
          <w:color w:val="auto"/>
          <w:w w:val="110"/>
          <w:szCs w:val="22"/>
        </w:rPr>
        <w:t>continues</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operate</w:t>
      </w:r>
      <w:r w:rsidRPr="00DD7BD1">
        <w:rPr>
          <w:rFonts w:cs="Calibri"/>
          <w:color w:val="auto"/>
          <w:spacing w:val="-14"/>
          <w:w w:val="110"/>
          <w:szCs w:val="22"/>
        </w:rPr>
        <w:t xml:space="preserve"> </w:t>
      </w:r>
      <w:r w:rsidRPr="00DD7BD1">
        <w:rPr>
          <w:rFonts w:cs="Calibri"/>
          <w:color w:val="auto"/>
          <w:w w:val="110"/>
          <w:szCs w:val="22"/>
        </w:rPr>
        <w:t>without</w:t>
      </w:r>
      <w:r w:rsidRPr="00DD7BD1">
        <w:rPr>
          <w:rFonts w:cs="Calibri"/>
          <w:color w:val="auto"/>
          <w:spacing w:val="-15"/>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quorum.</w:t>
      </w:r>
    </w:p>
    <w:p w14:paraId="1CC6B0EC" w14:textId="77777777" w:rsidR="00B22B5D" w:rsidRPr="00DD7BD1" w:rsidRDefault="00B22B5D" w:rsidP="00B22B5D">
      <w:pPr>
        <w:pStyle w:val="BodyText"/>
        <w:spacing w:after="0" w:line="240" w:lineRule="auto"/>
        <w:ind w:right="-187"/>
        <w:jc w:val="left"/>
        <w:rPr>
          <w:rFonts w:cs="Calibri"/>
          <w:color w:val="auto"/>
          <w:sz w:val="16"/>
          <w:szCs w:val="16"/>
        </w:rPr>
      </w:pPr>
    </w:p>
    <w:p w14:paraId="0D7E021D"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spacing w:val="-2"/>
          <w:w w:val="110"/>
          <w:szCs w:val="22"/>
        </w:rPr>
        <w:t>Under</w:t>
      </w:r>
      <w:r w:rsidRPr="00DD7BD1">
        <w:rPr>
          <w:rFonts w:cs="Calibri"/>
          <w:color w:val="auto"/>
          <w:spacing w:val="-6"/>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National</w:t>
      </w:r>
      <w:r w:rsidRPr="00DD7BD1">
        <w:rPr>
          <w:rFonts w:cs="Calibri"/>
          <w:color w:val="auto"/>
          <w:spacing w:val="-7"/>
          <w:w w:val="110"/>
          <w:szCs w:val="22"/>
        </w:rPr>
        <w:t xml:space="preserve"> </w:t>
      </w:r>
      <w:r w:rsidRPr="00DD7BD1">
        <w:rPr>
          <w:rFonts w:cs="Calibri"/>
          <w:color w:val="auto"/>
          <w:spacing w:val="-2"/>
          <w:w w:val="110"/>
          <w:szCs w:val="22"/>
        </w:rPr>
        <w:t>Labor</w:t>
      </w:r>
      <w:r w:rsidRPr="00DD7BD1">
        <w:rPr>
          <w:rFonts w:cs="Calibri"/>
          <w:color w:val="auto"/>
          <w:spacing w:val="-7"/>
          <w:w w:val="110"/>
          <w:szCs w:val="22"/>
        </w:rPr>
        <w:t xml:space="preserve"> </w:t>
      </w:r>
      <w:r w:rsidRPr="00DD7BD1">
        <w:rPr>
          <w:rFonts w:cs="Calibri"/>
          <w:color w:val="auto"/>
          <w:spacing w:val="-2"/>
          <w:w w:val="110"/>
          <w:szCs w:val="22"/>
        </w:rPr>
        <w:t>Relations</w:t>
      </w:r>
      <w:r w:rsidRPr="00DD7BD1">
        <w:rPr>
          <w:rFonts w:cs="Calibri"/>
          <w:color w:val="auto"/>
          <w:spacing w:val="-7"/>
          <w:w w:val="110"/>
          <w:szCs w:val="22"/>
        </w:rPr>
        <w:t xml:space="preserve"> </w:t>
      </w:r>
      <w:r w:rsidRPr="00DD7BD1">
        <w:rPr>
          <w:rFonts w:cs="Calibri"/>
          <w:color w:val="auto"/>
          <w:spacing w:val="-2"/>
          <w:w w:val="110"/>
          <w:szCs w:val="22"/>
        </w:rPr>
        <w:t>Act</w:t>
      </w:r>
      <w:r w:rsidRPr="00DD7BD1">
        <w:rPr>
          <w:rFonts w:cs="Calibri"/>
          <w:color w:val="auto"/>
          <w:spacing w:val="-9"/>
          <w:w w:val="110"/>
          <w:szCs w:val="22"/>
        </w:rPr>
        <w:t xml:space="preserve"> </w:t>
      </w:r>
      <w:r w:rsidRPr="00DD7BD1">
        <w:rPr>
          <w:rFonts w:cs="Calibri"/>
          <w:color w:val="auto"/>
          <w:spacing w:val="-2"/>
          <w:w w:val="110"/>
          <w:szCs w:val="22"/>
        </w:rPr>
        <w:t>("NLRA")</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NLRB</w:t>
      </w:r>
      <w:r w:rsidRPr="00DD7BD1">
        <w:rPr>
          <w:rFonts w:cs="Calibri"/>
          <w:color w:val="auto"/>
          <w:spacing w:val="-9"/>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exclusive</w:t>
      </w:r>
      <w:r w:rsidRPr="00DD7BD1">
        <w:rPr>
          <w:rFonts w:cs="Calibri"/>
          <w:color w:val="auto"/>
          <w:spacing w:val="-6"/>
          <w:w w:val="110"/>
          <w:szCs w:val="22"/>
        </w:rPr>
        <w:t xml:space="preserve"> </w:t>
      </w:r>
      <w:r w:rsidRPr="00DD7BD1">
        <w:rPr>
          <w:rFonts w:cs="Calibri"/>
          <w:color w:val="auto"/>
          <w:spacing w:val="-2"/>
          <w:w w:val="110"/>
          <w:szCs w:val="22"/>
        </w:rPr>
        <w:t>jurisdiction</w:t>
      </w:r>
      <w:r w:rsidRPr="00DD7BD1">
        <w:rPr>
          <w:rFonts w:cs="Calibri"/>
          <w:color w:val="auto"/>
          <w:spacing w:val="-8"/>
          <w:w w:val="110"/>
          <w:szCs w:val="22"/>
        </w:rPr>
        <w:t xml:space="preserve"> </w:t>
      </w:r>
      <w:r w:rsidRPr="00DD7BD1">
        <w:rPr>
          <w:rFonts w:cs="Calibri"/>
          <w:color w:val="auto"/>
          <w:spacing w:val="-2"/>
          <w:w w:val="110"/>
          <w:szCs w:val="22"/>
        </w:rPr>
        <w:t>over</w:t>
      </w:r>
      <w:r w:rsidRPr="00DD7BD1">
        <w:rPr>
          <w:rFonts w:cs="Calibri"/>
          <w:color w:val="auto"/>
          <w:spacing w:val="-6"/>
          <w:w w:val="110"/>
          <w:szCs w:val="22"/>
        </w:rPr>
        <w:t xml:space="preserve"> </w:t>
      </w:r>
      <w:r w:rsidRPr="00DD7BD1">
        <w:rPr>
          <w:rFonts w:cs="Calibri"/>
          <w:color w:val="auto"/>
          <w:spacing w:val="-2"/>
          <w:w w:val="110"/>
          <w:szCs w:val="22"/>
        </w:rPr>
        <w:t>virtually</w:t>
      </w:r>
      <w:r w:rsidRPr="00DD7BD1">
        <w:rPr>
          <w:rFonts w:cs="Calibri"/>
          <w:color w:val="auto"/>
          <w:spacing w:val="-7"/>
          <w:w w:val="110"/>
          <w:szCs w:val="22"/>
        </w:rPr>
        <w:t xml:space="preserve"> </w:t>
      </w:r>
      <w:r w:rsidRPr="00DD7BD1">
        <w:rPr>
          <w:rFonts w:cs="Calibri"/>
          <w:color w:val="auto"/>
          <w:spacing w:val="-2"/>
          <w:w w:val="110"/>
          <w:szCs w:val="22"/>
        </w:rPr>
        <w:t>all</w:t>
      </w:r>
      <w:r w:rsidRPr="00DD7BD1">
        <w:rPr>
          <w:rFonts w:cs="Calibri"/>
          <w:color w:val="auto"/>
          <w:spacing w:val="-7"/>
          <w:w w:val="110"/>
          <w:szCs w:val="22"/>
        </w:rPr>
        <w:t xml:space="preserve"> </w:t>
      </w:r>
      <w:r w:rsidRPr="00DD7BD1">
        <w:rPr>
          <w:rFonts w:cs="Calibri"/>
          <w:color w:val="auto"/>
          <w:spacing w:val="-2"/>
          <w:w w:val="110"/>
          <w:szCs w:val="22"/>
        </w:rPr>
        <w:t>private</w:t>
      </w:r>
      <w:r w:rsidRPr="00DD7BD1">
        <w:rPr>
          <w:rFonts w:cs="Calibri"/>
          <w:color w:val="auto"/>
          <w:spacing w:val="-6"/>
          <w:w w:val="110"/>
          <w:szCs w:val="22"/>
        </w:rPr>
        <w:t xml:space="preserve"> </w:t>
      </w:r>
      <w:r w:rsidRPr="00DD7BD1">
        <w:rPr>
          <w:rFonts w:cs="Calibri"/>
          <w:color w:val="auto"/>
          <w:spacing w:val="-2"/>
          <w:w w:val="110"/>
          <w:szCs w:val="22"/>
        </w:rPr>
        <w:t xml:space="preserve">labor </w:t>
      </w:r>
      <w:r w:rsidRPr="00DD7BD1">
        <w:rPr>
          <w:rFonts w:cs="Calibri"/>
          <w:color w:val="auto"/>
          <w:w w:val="110"/>
          <w:szCs w:val="22"/>
        </w:rPr>
        <w:t>relations</w:t>
      </w:r>
      <w:r w:rsidRPr="00DD7BD1">
        <w:rPr>
          <w:rFonts w:cs="Calibri"/>
          <w:color w:val="auto"/>
          <w:spacing w:val="-3"/>
          <w:w w:val="110"/>
          <w:szCs w:val="22"/>
        </w:rPr>
        <w:t xml:space="preserve"> </w:t>
      </w:r>
      <w:r w:rsidRPr="00DD7BD1">
        <w:rPr>
          <w:rFonts w:cs="Calibri"/>
          <w:color w:val="auto"/>
          <w:w w:val="110"/>
          <w:szCs w:val="22"/>
        </w:rPr>
        <w:t>matters,</w:t>
      </w:r>
      <w:r w:rsidRPr="00DD7BD1">
        <w:rPr>
          <w:rFonts w:cs="Calibri"/>
          <w:color w:val="auto"/>
          <w:spacing w:val="-4"/>
          <w:w w:val="110"/>
          <w:szCs w:val="22"/>
        </w:rPr>
        <w:t xml:space="preserve"> </w:t>
      </w:r>
      <w:r w:rsidRPr="00DD7BD1">
        <w:rPr>
          <w:rFonts w:cs="Calibri"/>
          <w:color w:val="auto"/>
          <w:w w:val="110"/>
          <w:szCs w:val="22"/>
        </w:rPr>
        <w:t>which</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necessary</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ensure</w:t>
      </w:r>
      <w:r w:rsidRPr="00DD7BD1">
        <w:rPr>
          <w:rFonts w:cs="Calibri"/>
          <w:color w:val="auto"/>
          <w:spacing w:val="-3"/>
          <w:w w:val="110"/>
          <w:szCs w:val="22"/>
        </w:rPr>
        <w:t xml:space="preserve"> </w:t>
      </w:r>
      <w:r w:rsidRPr="00DD7BD1">
        <w:rPr>
          <w:rFonts w:cs="Calibri"/>
          <w:color w:val="auto"/>
          <w:w w:val="110"/>
          <w:szCs w:val="22"/>
        </w:rPr>
        <w:t>there</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single</w:t>
      </w:r>
      <w:r w:rsidRPr="00DD7BD1">
        <w:rPr>
          <w:rFonts w:cs="Calibri"/>
          <w:color w:val="auto"/>
          <w:spacing w:val="-3"/>
          <w:w w:val="110"/>
          <w:szCs w:val="22"/>
        </w:rPr>
        <w:t xml:space="preserve"> </w:t>
      </w:r>
      <w:r w:rsidRPr="00DD7BD1">
        <w:rPr>
          <w:rFonts w:cs="Calibri"/>
          <w:color w:val="auto"/>
          <w:w w:val="110"/>
          <w:szCs w:val="22"/>
        </w:rPr>
        <w:t>set</w:t>
      </w:r>
      <w:r w:rsidRPr="00DD7BD1">
        <w:rPr>
          <w:rFonts w:cs="Calibri"/>
          <w:color w:val="auto"/>
          <w:spacing w:val="-3"/>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4"/>
          <w:w w:val="110"/>
          <w:szCs w:val="22"/>
        </w:rPr>
        <w:t xml:space="preserve"> </w:t>
      </w:r>
      <w:r w:rsidRPr="00DD7BD1">
        <w:rPr>
          <w:rFonts w:cs="Calibri"/>
          <w:color w:val="auto"/>
          <w:w w:val="110"/>
          <w:szCs w:val="22"/>
        </w:rPr>
        <w:t>standards</w:t>
      </w:r>
      <w:r w:rsidRPr="00DD7BD1">
        <w:rPr>
          <w:rFonts w:cs="Calibri"/>
          <w:color w:val="auto"/>
          <w:spacing w:val="-5"/>
          <w:w w:val="110"/>
          <w:szCs w:val="22"/>
        </w:rPr>
        <w:t xml:space="preserve"> </w:t>
      </w:r>
      <w:r w:rsidRPr="00DD7BD1">
        <w:rPr>
          <w:rFonts w:cs="Calibri"/>
          <w:color w:val="auto"/>
          <w:w w:val="110"/>
          <w:szCs w:val="22"/>
        </w:rPr>
        <w:t>governing</w:t>
      </w:r>
      <w:r w:rsidRPr="00DD7BD1">
        <w:rPr>
          <w:rFonts w:cs="Calibri"/>
          <w:color w:val="auto"/>
          <w:spacing w:val="-3"/>
          <w:w w:val="110"/>
          <w:szCs w:val="22"/>
        </w:rPr>
        <w:t xml:space="preserve"> </w:t>
      </w:r>
      <w:r w:rsidRPr="00DD7BD1">
        <w:rPr>
          <w:rFonts w:cs="Calibri"/>
          <w:color w:val="auto"/>
          <w:w w:val="110"/>
          <w:szCs w:val="22"/>
        </w:rPr>
        <w:t>labor</w:t>
      </w:r>
      <w:r w:rsidRPr="00DD7BD1">
        <w:rPr>
          <w:rFonts w:cs="Calibri"/>
          <w:color w:val="auto"/>
          <w:spacing w:val="-4"/>
          <w:w w:val="110"/>
          <w:szCs w:val="22"/>
        </w:rPr>
        <w:t xml:space="preserve"> </w:t>
      </w:r>
      <w:r w:rsidRPr="00DD7BD1">
        <w:rPr>
          <w:rFonts w:cs="Calibri"/>
          <w:color w:val="auto"/>
          <w:w w:val="110"/>
          <w:szCs w:val="22"/>
        </w:rPr>
        <w:t>relations for</w:t>
      </w:r>
      <w:r w:rsidRPr="00DD7BD1">
        <w:rPr>
          <w:rFonts w:cs="Calibri"/>
          <w:color w:val="auto"/>
          <w:spacing w:val="-4"/>
          <w:w w:val="110"/>
          <w:szCs w:val="22"/>
        </w:rPr>
        <w:t xml:space="preserve"> </w:t>
      </w:r>
      <w:r w:rsidRPr="00DD7BD1">
        <w:rPr>
          <w:rFonts w:cs="Calibri"/>
          <w:color w:val="auto"/>
          <w:w w:val="110"/>
          <w:szCs w:val="22"/>
        </w:rPr>
        <w:t>all</w:t>
      </w:r>
      <w:r w:rsidRPr="00DD7BD1">
        <w:rPr>
          <w:rFonts w:cs="Calibri"/>
          <w:color w:val="auto"/>
          <w:spacing w:val="-6"/>
          <w:w w:val="110"/>
          <w:szCs w:val="22"/>
        </w:rPr>
        <w:t xml:space="preserve"> </w:t>
      </w:r>
      <w:r w:rsidRPr="00DD7BD1">
        <w:rPr>
          <w:rFonts w:cs="Calibri"/>
          <w:color w:val="auto"/>
          <w:w w:val="110"/>
          <w:szCs w:val="22"/>
        </w:rPr>
        <w:t>50</w:t>
      </w:r>
      <w:r w:rsidRPr="00DD7BD1">
        <w:rPr>
          <w:rFonts w:cs="Calibri"/>
          <w:color w:val="auto"/>
          <w:spacing w:val="-5"/>
          <w:w w:val="110"/>
          <w:szCs w:val="22"/>
        </w:rPr>
        <w:t xml:space="preserve"> </w:t>
      </w:r>
      <w:r w:rsidRPr="00DD7BD1">
        <w:rPr>
          <w:rFonts w:cs="Calibri"/>
          <w:color w:val="auto"/>
          <w:w w:val="110"/>
          <w:szCs w:val="22"/>
        </w:rPr>
        <w:t>states.</w:t>
      </w:r>
      <w:r w:rsidRPr="00DD7BD1">
        <w:rPr>
          <w:rFonts w:cs="Calibri"/>
          <w:color w:val="auto"/>
          <w:spacing w:val="-6"/>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York's</w:t>
      </w:r>
      <w:r w:rsidRPr="00DD7BD1">
        <w:rPr>
          <w:rFonts w:cs="Calibri"/>
          <w:color w:val="auto"/>
          <w:spacing w:val="-4"/>
          <w:w w:val="110"/>
          <w:szCs w:val="22"/>
        </w:rPr>
        <w:t xml:space="preserve"> </w:t>
      </w:r>
      <w:r w:rsidRPr="00DD7BD1">
        <w:rPr>
          <w:rFonts w:cs="Calibri"/>
          <w:color w:val="auto"/>
          <w:w w:val="110"/>
          <w:szCs w:val="22"/>
        </w:rPr>
        <w:t>intrusion</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2"/>
          <w:w w:val="110"/>
          <w:szCs w:val="22"/>
        </w:rPr>
        <w:t xml:space="preserve"> </w:t>
      </w:r>
      <w:r w:rsidRPr="00DD7BD1">
        <w:rPr>
          <w:rFonts w:cs="Calibri"/>
          <w:color w:val="auto"/>
          <w:w w:val="110"/>
          <w:szCs w:val="22"/>
        </w:rPr>
        <w:t>federal</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policy</w:t>
      </w:r>
      <w:r w:rsidRPr="00DD7BD1">
        <w:rPr>
          <w:rFonts w:cs="Calibri"/>
          <w:color w:val="auto"/>
          <w:spacing w:val="-3"/>
          <w:w w:val="110"/>
          <w:szCs w:val="22"/>
        </w:rPr>
        <w:t xml:space="preserve"> </w:t>
      </w:r>
      <w:r w:rsidRPr="00DD7BD1">
        <w:rPr>
          <w:rFonts w:cs="Calibri"/>
          <w:color w:val="auto"/>
          <w:w w:val="110"/>
          <w:szCs w:val="22"/>
        </w:rPr>
        <w:t>risks</w:t>
      </w:r>
      <w:r w:rsidRPr="00DD7BD1">
        <w:rPr>
          <w:rFonts w:cs="Calibri"/>
          <w:color w:val="auto"/>
          <w:spacing w:val="-4"/>
          <w:w w:val="110"/>
          <w:szCs w:val="22"/>
        </w:rPr>
        <w:t xml:space="preserve"> </w:t>
      </w:r>
      <w:r w:rsidRPr="00DD7BD1">
        <w:rPr>
          <w:rFonts w:cs="Calibri"/>
          <w:color w:val="auto"/>
          <w:w w:val="110"/>
          <w:szCs w:val="22"/>
        </w:rPr>
        <w:t>undermining</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3"/>
          <w:w w:val="110"/>
          <w:szCs w:val="22"/>
        </w:rPr>
        <w:t xml:space="preserve"> </w:t>
      </w:r>
      <w:r w:rsidRPr="00DD7BD1">
        <w:rPr>
          <w:rFonts w:cs="Calibri"/>
          <w:color w:val="auto"/>
          <w:w w:val="110"/>
          <w:szCs w:val="22"/>
        </w:rPr>
        <w:t>uniform</w:t>
      </w:r>
      <w:r w:rsidRPr="00DD7BD1">
        <w:rPr>
          <w:rFonts w:cs="Calibri"/>
          <w:color w:val="auto"/>
          <w:spacing w:val="-3"/>
          <w:w w:val="110"/>
          <w:szCs w:val="22"/>
        </w:rPr>
        <w:t xml:space="preserve"> </w:t>
      </w:r>
      <w:r w:rsidRPr="00DD7BD1">
        <w:rPr>
          <w:rFonts w:cs="Calibri"/>
          <w:color w:val="auto"/>
          <w:w w:val="110"/>
          <w:szCs w:val="22"/>
        </w:rPr>
        <w:t>federal</w:t>
      </w:r>
      <w:r w:rsidRPr="00DD7BD1">
        <w:rPr>
          <w:rFonts w:cs="Calibri"/>
          <w:color w:val="auto"/>
          <w:spacing w:val="-7"/>
          <w:w w:val="110"/>
          <w:szCs w:val="22"/>
        </w:rPr>
        <w:t xml:space="preserve"> </w:t>
      </w:r>
      <w:r w:rsidRPr="00DD7BD1">
        <w:rPr>
          <w:rFonts w:cs="Calibri"/>
          <w:color w:val="auto"/>
          <w:w w:val="110"/>
          <w:szCs w:val="22"/>
        </w:rPr>
        <w:t>standards, creating considerable compliance challenges</w:t>
      </w:r>
    </w:p>
    <w:p w14:paraId="3623C4BD" w14:textId="77777777" w:rsidR="00B22B5D" w:rsidRPr="00DD7BD1" w:rsidRDefault="00B22B5D" w:rsidP="00B22B5D">
      <w:pPr>
        <w:pStyle w:val="BodyText"/>
        <w:spacing w:after="0" w:line="240" w:lineRule="auto"/>
        <w:ind w:right="-187"/>
        <w:jc w:val="left"/>
        <w:rPr>
          <w:rFonts w:cs="Calibri"/>
          <w:color w:val="auto"/>
          <w:w w:val="110"/>
          <w:sz w:val="16"/>
          <w:szCs w:val="16"/>
        </w:rPr>
      </w:pPr>
    </w:p>
    <w:p w14:paraId="4E4FA6BD" w14:textId="2B074AB2" w:rsidR="00B22B5D" w:rsidRPr="00DD7BD1" w:rsidRDefault="00B22B5D" w:rsidP="00B22B5D">
      <w:pPr>
        <w:pStyle w:val="BodyText"/>
        <w:spacing w:after="0" w:line="240" w:lineRule="auto"/>
        <w:ind w:right="-187"/>
        <w:rPr>
          <w:rFonts w:cs="Calibri"/>
          <w:color w:val="auto"/>
          <w:w w:val="110"/>
          <w:szCs w:val="22"/>
        </w:rPr>
      </w:pPr>
      <w:r w:rsidRPr="00DD7BD1">
        <w:rPr>
          <w:rFonts w:cs="Calibri"/>
          <w:color w:val="auto"/>
          <w:w w:val="110"/>
          <w:szCs w:val="22"/>
        </w:rPr>
        <w:t>New York's expansion of state labor authority introduces uncharted complexities for employers, potentially altering the playing field for labor relations in New York.</w:t>
      </w:r>
    </w:p>
    <w:p w14:paraId="32D85B48" w14:textId="77777777" w:rsidR="00B22B5D" w:rsidRPr="00DD7BD1" w:rsidRDefault="00B22B5D" w:rsidP="00B22B5D">
      <w:pPr>
        <w:pStyle w:val="BodyText"/>
        <w:spacing w:after="0" w:line="240" w:lineRule="auto"/>
        <w:ind w:right="-187"/>
        <w:rPr>
          <w:rFonts w:cs="Calibri"/>
          <w:color w:val="auto"/>
          <w:w w:val="110"/>
          <w:szCs w:val="22"/>
        </w:rPr>
      </w:pPr>
    </w:p>
    <w:p w14:paraId="36FC5E62" w14:textId="60844B75" w:rsidR="0001411D" w:rsidRPr="00DD7BD1" w:rsidRDefault="00B22B5D" w:rsidP="0001411D">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w:t>
      </w:r>
      <w:r w:rsidR="0001411D" w:rsidRPr="00DD7BD1">
        <w:rPr>
          <w:rFonts w:ascii="Calibri" w:hAnsi="Calibri" w:cs="Calibri"/>
          <w:b/>
          <w:bCs/>
          <w:sz w:val="28"/>
          <w:szCs w:val="28"/>
          <w:shd w:val="clear" w:color="auto" w:fill="FFFFFF"/>
          <w:lang w:val="en"/>
        </w:rPr>
        <w:t xml:space="preserve"> Sunsets Covid-19 Sick Leave – </w:t>
      </w:r>
      <w:r w:rsidR="0001411D" w:rsidRPr="00DD7BD1">
        <w:rPr>
          <w:rFonts w:ascii="Calibri" w:hAnsi="Calibri" w:cs="Calibri"/>
          <w:b/>
          <w:bCs/>
          <w:color w:val="C00000"/>
          <w:sz w:val="28"/>
          <w:szCs w:val="28"/>
          <w:shd w:val="clear" w:color="auto" w:fill="FFFFFF"/>
          <w:lang w:val="en"/>
        </w:rPr>
        <w:t>July 31, 2025</w:t>
      </w:r>
    </w:p>
    <w:p w14:paraId="5401EB9C" w14:textId="658E8482" w:rsidR="0001411D" w:rsidRPr="00DD7BD1" w:rsidRDefault="0001411D" w:rsidP="0001411D">
      <w:pPr>
        <w:jc w:val="both"/>
        <w:rPr>
          <w:rFonts w:ascii="Calibri" w:hAnsi="Calibri" w:cs="Calibri"/>
        </w:rPr>
      </w:pPr>
      <w:r w:rsidRPr="00DD7BD1">
        <w:rPr>
          <w:rFonts w:ascii="Calibri" w:hAnsi="Calibri" w:cs="Calibri"/>
        </w:rPr>
        <w:t>After July 31, 2025, New York employers no longer need to provide COVID-19 sick leave and can do away with any applicable policies.</w:t>
      </w:r>
    </w:p>
    <w:p w14:paraId="712FFB47" w14:textId="20ED8B33"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Jury Duty Pay </w:t>
      </w:r>
      <w:r w:rsidRPr="00DD7BD1">
        <w:rPr>
          <w:rFonts w:ascii="Calibri" w:hAnsi="Calibri" w:cs="Calibri"/>
          <w:b/>
          <w:bCs/>
          <w:color w:val="C00000"/>
          <w:sz w:val="28"/>
          <w:szCs w:val="28"/>
          <w:shd w:val="clear" w:color="auto" w:fill="FFFFFF"/>
          <w:lang w:val="en"/>
        </w:rPr>
        <w:t>– Eff June 8, 2025</w:t>
      </w:r>
    </w:p>
    <w:p w14:paraId="01AEF827" w14:textId="6F14E5D8" w:rsidR="00AD4A8E" w:rsidRPr="00DD7BD1" w:rsidRDefault="00AD4A8E" w:rsidP="00F45F26">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lastRenderedPageBreak/>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953" w:tgtFrame="_blank" w:history="1">
        <w:r w:rsidRPr="00DD7BD1">
          <w:rPr>
            <w:rStyle w:val="Hyperlink"/>
            <w:rFonts w:ascii="Calibri" w:hAnsi="Calibri" w:cs="Calibri"/>
            <w:shd w:val="clear" w:color="auto" w:fill="FFFFFF"/>
          </w:rPr>
          <w:t>New York’s Jury Duty Information for Employers</w:t>
        </w:r>
      </w:hyperlink>
      <w:r w:rsidRPr="00DD7BD1">
        <w:rPr>
          <w:rFonts w:ascii="Calibri" w:hAnsi="Calibri" w:cs="Calibri"/>
          <w:color w:val="C00000"/>
          <w:shd w:val="clear" w:color="auto" w:fill="FFFFFF"/>
        </w:rPr>
        <w:t> </w:t>
      </w:r>
      <w:r w:rsidRPr="00DD7BD1">
        <w:rPr>
          <w:rFonts w:ascii="Calibri" w:hAnsi="Calibri" w:cs="Calibri"/>
          <w:shd w:val="clear" w:color="auto" w:fill="FFFFFF"/>
        </w:rPr>
        <w:t>and this </w:t>
      </w:r>
      <w:hyperlink r:id="rId954" w:tgtFrame="_blank" w:history="1">
        <w:r w:rsidRPr="00DD7BD1">
          <w:rPr>
            <w:rStyle w:val="Hyperlink"/>
            <w:rFonts w:ascii="Calibri" w:hAnsi="Calibri" w:cs="Calibri"/>
            <w:shd w:val="clear" w:color="auto" w:fill="FFFFFF"/>
          </w:rPr>
          <w:t>flowchart</w:t>
        </w:r>
      </w:hyperlink>
      <w:r w:rsidRPr="00DD7BD1">
        <w:rPr>
          <w:rFonts w:ascii="Calibri" w:hAnsi="Calibri" w:cs="Calibri"/>
          <w:color w:val="C00000"/>
          <w:shd w:val="clear" w:color="auto" w:fill="FFFFFF"/>
        </w:rPr>
        <w:t>.</w:t>
      </w:r>
    </w:p>
    <w:p w14:paraId="5B1C6549" w14:textId="77777777" w:rsidR="00F45F26" w:rsidRPr="00DD7BD1" w:rsidRDefault="00F45F26" w:rsidP="00F45F26">
      <w:pPr>
        <w:spacing w:after="0" w:line="240" w:lineRule="auto"/>
        <w:rPr>
          <w:rFonts w:ascii="Calibri" w:hAnsi="Calibri" w:cs="Calibri"/>
          <w:color w:val="C00000"/>
          <w:shd w:val="clear" w:color="auto" w:fill="FFFFFF"/>
        </w:rPr>
      </w:pPr>
    </w:p>
    <w:p w14:paraId="36538144" w14:textId="515BA8C2"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Exempt employees should be paid their full salary unless they’re gone for an entire </w:t>
      </w:r>
      <w:proofErr w:type="gramStart"/>
      <w:r w:rsidRPr="00DD7BD1">
        <w:rPr>
          <w:rFonts w:ascii="Calibri" w:hAnsi="Calibri" w:cs="Calibri"/>
          <w:shd w:val="clear" w:color="auto" w:fill="FFFFFF"/>
        </w:rPr>
        <w:t>workweek</w:t>
      </w:r>
      <w:proofErr w:type="gramEnd"/>
      <w:r w:rsidRPr="00DD7BD1">
        <w:rPr>
          <w:rFonts w:ascii="Calibri" w:hAnsi="Calibri" w:cs="Calibri"/>
          <w:shd w:val="clear" w:color="auto" w:fill="FFFFFF"/>
        </w:rPr>
        <w:t xml:space="preserve"> and do no work at all during that time, though employers can offset the amount the employee receives from the state.</w:t>
      </w:r>
    </w:p>
    <w:p w14:paraId="27D35350" w14:textId="0242A25E"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With the May HR WIRE, ETC will release an updated New York State Handbook Addendum reflective of the daily payment increase.</w:t>
      </w:r>
    </w:p>
    <w:p w14:paraId="2A0694EF" w14:textId="77777777" w:rsidR="00F45F26" w:rsidRPr="00DD7BD1" w:rsidRDefault="00F45F26" w:rsidP="00F45F26">
      <w:pPr>
        <w:spacing w:after="0" w:line="240" w:lineRule="auto"/>
        <w:jc w:val="center"/>
        <w:rPr>
          <w:rFonts w:ascii="Calibri" w:hAnsi="Calibri" w:cs="Calibri"/>
          <w:b/>
          <w:bCs/>
          <w:sz w:val="28"/>
          <w:szCs w:val="28"/>
          <w:u w:val="single"/>
          <w:shd w:val="clear" w:color="auto" w:fill="FFFFFF"/>
          <w:lang w:val="en"/>
        </w:rPr>
      </w:pPr>
    </w:p>
    <w:p w14:paraId="1C513605" w14:textId="30FA7822" w:rsidR="00F45F26" w:rsidRPr="00DD7BD1" w:rsidRDefault="00F45F26" w:rsidP="00F45F2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New York City</w:t>
      </w:r>
      <w:r w:rsidRPr="00DD7BD1">
        <w:rPr>
          <w:rFonts w:ascii="Calibri" w:hAnsi="Calibri" w:cs="Calibri"/>
          <w:b/>
          <w:bCs/>
          <w:sz w:val="28"/>
          <w:szCs w:val="28"/>
          <w:shd w:val="clear" w:color="auto" w:fill="FFFFFF"/>
          <w:lang w:val="en"/>
        </w:rPr>
        <w:t xml:space="preserve"> Amends Paid Sick Leave Rule for Prenatal Leave – </w:t>
      </w:r>
      <w:r w:rsidRPr="00DD7BD1">
        <w:rPr>
          <w:rFonts w:ascii="Calibri" w:hAnsi="Calibri" w:cs="Calibri"/>
          <w:b/>
          <w:bCs/>
          <w:color w:val="C00000"/>
          <w:sz w:val="28"/>
          <w:szCs w:val="28"/>
          <w:shd w:val="clear" w:color="auto" w:fill="FFFFFF"/>
          <w:lang w:val="en"/>
        </w:rPr>
        <w:t>Eff July 2, 2025</w:t>
      </w:r>
    </w:p>
    <w:p w14:paraId="72921855"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 City has </w:t>
      </w:r>
      <w:hyperlink r:id="rId955"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rules for the city’s Earned Safe and Sick Time Act (ESSTA) to incorporate the</w:t>
      </w:r>
      <w:r w:rsidRPr="00DD7BD1">
        <w:rPr>
          <w:rFonts w:ascii="Calibri" w:hAnsi="Calibri" w:cs="Calibri"/>
          <w:b/>
          <w:bCs/>
          <w:shd w:val="clear" w:color="auto" w:fill="FFFFFF"/>
        </w:rPr>
        <w:t xml:space="preserve"> state law </w:t>
      </w:r>
      <w:hyperlink r:id="rId956" w:history="1">
        <w:r w:rsidRPr="00DD7BD1">
          <w:rPr>
            <w:rStyle w:val="Hyperlink"/>
            <w:rFonts w:ascii="Calibri" w:hAnsi="Calibri" w:cs="Calibri"/>
            <w:shd w:val="clear" w:color="auto" w:fill="FFFFFF"/>
          </w:rPr>
          <w:t>paid prenatal leave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requirement that took effect Jan. 1, 2025. The city also issued an updated paid safe and sick time </w:t>
      </w:r>
      <w:hyperlink r:id="rId957" w:history="1">
        <w:r w:rsidRPr="00DD7BD1">
          <w:rPr>
            <w:rStyle w:val="Hyperlink"/>
            <w:rFonts w:ascii="Calibri" w:hAnsi="Calibri" w:cs="Calibri"/>
            <w:shd w:val="clear" w:color="auto" w:fill="FFFFFF"/>
          </w:rPr>
          <w:t>notice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for employer use.  Additionally, the city has released updated </w:t>
      </w:r>
      <w:hyperlink r:id="rId958" w:tgtFrame="_blank" w:history="1">
        <w:r w:rsidRPr="00DD7BD1">
          <w:rPr>
            <w:rStyle w:val="Hyperlink"/>
            <w:rFonts w:ascii="Calibri" w:hAnsi="Calibri" w:cs="Calibri"/>
            <w:shd w:val="clear" w:color="auto" w:fill="FFFFFF"/>
          </w:rPr>
          <w:t>FAQs</w:t>
        </w:r>
      </w:hyperlink>
    </w:p>
    <w:p w14:paraId="69BC6FC2"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ESSTA rules take effect July 2, 2025.</w:t>
      </w:r>
    </w:p>
    <w:p w14:paraId="7D18617B" w14:textId="77777777" w:rsidR="00F45F26" w:rsidRPr="00DD7BD1" w:rsidRDefault="00F45F26" w:rsidP="00F45F26">
      <w:pPr>
        <w:spacing w:after="0" w:line="240" w:lineRule="auto"/>
        <w:rPr>
          <w:rFonts w:ascii="Calibri" w:hAnsi="Calibri" w:cs="Calibri"/>
          <w:shd w:val="clear" w:color="auto" w:fill="FFFFFF"/>
        </w:rPr>
      </w:pPr>
    </w:p>
    <w:p w14:paraId="2B609D20"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New York </w:t>
      </w:r>
      <w:r w:rsidRPr="00DD7BD1">
        <w:rPr>
          <w:rFonts w:ascii="Calibri" w:hAnsi="Calibri" w:cs="Calibri"/>
          <w:b/>
          <w:u w:val="single"/>
          <w:shd w:val="clear" w:color="auto" w:fill="FFFFFF"/>
        </w:rPr>
        <w:t xml:space="preserve">State </w:t>
      </w:r>
      <w:r w:rsidRPr="00DD7BD1">
        <w:rPr>
          <w:rFonts w:ascii="Calibri" w:hAnsi="Calibri" w:cs="Calibri"/>
          <w:b/>
          <w:shd w:val="clear" w:color="auto" w:fill="FFFFFF"/>
        </w:rPr>
        <w:t>Prenatal Leave Requirement</w:t>
      </w:r>
    </w:p>
    <w:p w14:paraId="3478AEC4"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Pr="00DD7BD1" w:rsidRDefault="00F45F26" w:rsidP="00F45F26">
      <w:pPr>
        <w:spacing w:after="0" w:line="240" w:lineRule="auto"/>
        <w:rPr>
          <w:rFonts w:ascii="Calibri" w:hAnsi="Calibri" w:cs="Calibri"/>
          <w:b/>
          <w:shd w:val="clear" w:color="auto" w:fill="FFFFFF"/>
        </w:rPr>
      </w:pPr>
    </w:p>
    <w:p w14:paraId="58460ADE"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New York City ESSTA</w:t>
      </w:r>
    </w:p>
    <w:p w14:paraId="121BDCBD"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DD7BD1" w:rsidRDefault="00F45F26" w:rsidP="00F45F26">
      <w:pPr>
        <w:spacing w:after="0" w:line="240" w:lineRule="auto"/>
        <w:rPr>
          <w:rFonts w:ascii="Calibri" w:hAnsi="Calibri" w:cs="Calibri"/>
          <w:sz w:val="16"/>
          <w:szCs w:val="16"/>
          <w:shd w:val="clear" w:color="auto" w:fill="FFFFFF"/>
        </w:rPr>
      </w:pPr>
    </w:p>
    <w:p w14:paraId="7EAFE8CB" w14:textId="77777777" w:rsidR="00F45F26" w:rsidRPr="00DD7BD1" w:rsidRDefault="00F45F26" w:rsidP="00F45F26">
      <w:p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Effective </w:t>
      </w:r>
      <w:r w:rsidRPr="00DD7BD1">
        <w:rPr>
          <w:rFonts w:ascii="Calibri" w:hAnsi="Calibri" w:cs="Calibri"/>
          <w:color w:val="C00000"/>
          <w:shd w:val="clear" w:color="auto" w:fill="FFFFFF"/>
        </w:rPr>
        <w:t xml:space="preserve">July 2, 2025, </w:t>
      </w:r>
      <w:r w:rsidRPr="00DD7BD1">
        <w:rPr>
          <w:rFonts w:ascii="Calibri" w:hAnsi="Calibri" w:cs="Calibri"/>
          <w:u w:val="single"/>
          <w:shd w:val="clear" w:color="auto" w:fill="FFFFFF"/>
        </w:rPr>
        <w:t>New York City employers must additionally comply with the amended ESSTA rules</w:t>
      </w:r>
      <w:r w:rsidRPr="00DD7BD1">
        <w:rPr>
          <w:rFonts w:ascii="Calibri" w:hAnsi="Calibri" w:cs="Calibri"/>
          <w:shd w:val="clear" w:color="auto" w:fill="FFFFFF"/>
        </w:rPr>
        <w:t xml:space="preserve">, which </w:t>
      </w:r>
      <w:r w:rsidRPr="00DD7BD1">
        <w:rPr>
          <w:rFonts w:ascii="Calibri" w:hAnsi="Calibri" w:cs="Calibri"/>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Pr="00DD7BD1" w:rsidRDefault="00F45F26" w:rsidP="00F45F26">
      <w:pPr>
        <w:spacing w:after="0" w:line="240" w:lineRule="auto"/>
        <w:rPr>
          <w:rFonts w:ascii="Calibri" w:hAnsi="Calibri" w:cs="Calibri"/>
          <w:u w:val="single"/>
          <w:shd w:val="clear" w:color="auto" w:fill="FFFFFF"/>
        </w:rPr>
      </w:pPr>
    </w:p>
    <w:p w14:paraId="5C6BE9EF"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Beginning July 2, 2025, New York City’s (NYC) Earned Safe and Sick Time Act (ESSTA) rules will be amended to address the state’s</w:t>
      </w:r>
      <w:r w:rsidRPr="00DD7BD1">
        <w:rPr>
          <w:rFonts w:ascii="Calibri" w:hAnsi="Calibri" w:cs="Calibri"/>
          <w:i/>
          <w:iCs/>
          <w:shd w:val="clear" w:color="auto" w:fill="FFFFFF"/>
        </w:rPr>
        <w:t> </w:t>
      </w:r>
      <w:r w:rsidRPr="00DD7BD1">
        <w:rPr>
          <w:rFonts w:ascii="Calibri" w:hAnsi="Calibri" w:cs="Calibri"/>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49B4C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Pay Statement Notices</w:t>
      </w:r>
      <w:r w:rsidRPr="00DD7BD1">
        <w:rPr>
          <w:rFonts w:ascii="Calibri" w:hAnsi="Calibri" w:cs="Calibri"/>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31CC8C30"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Recordkeeping</w:t>
      </w:r>
      <w:r w:rsidRPr="00DD7BD1">
        <w:rPr>
          <w:rFonts w:ascii="Calibri" w:hAnsi="Calibri" w:cs="Calibri"/>
          <w:shd w:val="clear" w:color="auto" w:fill="FFFFFF"/>
        </w:rPr>
        <w:br/>
        <w:t>Employers need to maintain PPL records for each employee, including the date and time the employee used PPL and the amount used during each pay period.</w:t>
      </w:r>
    </w:p>
    <w:p w14:paraId="0F2AEBDA"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7CA6B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Written Policy</w:t>
      </w:r>
      <w:r w:rsidRPr="00DD7BD1">
        <w:rPr>
          <w:rFonts w:ascii="Calibri" w:hAnsi="Calibri" w:cs="Calibri"/>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Pr="00DD7BD1" w:rsidRDefault="00F45F26" w:rsidP="00F45F26">
      <w:pPr>
        <w:spacing w:after="0" w:line="240" w:lineRule="auto"/>
        <w:rPr>
          <w:rFonts w:ascii="Calibri" w:hAnsi="Calibri" w:cs="Calibri"/>
          <w:shd w:val="clear" w:color="auto" w:fill="FFFFFF"/>
        </w:rPr>
      </w:pPr>
    </w:p>
    <w:p w14:paraId="526FF4F9" w14:textId="77777777"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 xml:space="preserve">New York City </w:t>
      </w:r>
      <w:r w:rsidRPr="00DD7BD1">
        <w:rPr>
          <w:rFonts w:ascii="Calibri" w:hAnsi="Calibri" w:cs="Calibri"/>
          <w:b/>
          <w:bCs/>
          <w:sz w:val="28"/>
          <w:szCs w:val="28"/>
          <w:shd w:val="clear" w:color="auto" w:fill="FFFFFF"/>
          <w:lang w:val="en"/>
        </w:rPr>
        <w:t xml:space="preserve">Amends Lactation Accommodation Policy – </w:t>
      </w:r>
      <w:r w:rsidRPr="00DD7BD1">
        <w:rPr>
          <w:rFonts w:ascii="Calibri" w:hAnsi="Calibri" w:cs="Calibri"/>
          <w:b/>
          <w:bCs/>
          <w:color w:val="C00000"/>
          <w:sz w:val="28"/>
          <w:szCs w:val="28"/>
          <w:shd w:val="clear" w:color="auto" w:fill="FFFFFF"/>
          <w:lang w:val="en"/>
        </w:rPr>
        <w:t>Eff May 8, 2025</w:t>
      </w:r>
    </w:p>
    <w:p w14:paraId="5A41FAAB" w14:textId="5C1E1CCA" w:rsidR="00AD4A8E" w:rsidRPr="00DD7BD1" w:rsidRDefault="00AD4A8E" w:rsidP="00AD4A8E">
      <w:pPr>
        <w:rPr>
          <w:rFonts w:ascii="Calibri" w:hAnsi="Calibri" w:cs="Calibri"/>
        </w:rPr>
      </w:pPr>
      <w:r w:rsidRPr="00DD7BD1">
        <w:rPr>
          <w:rFonts w:ascii="Calibri" w:hAnsi="Calibri" w:cs="Calibri"/>
        </w:rPr>
        <w:t xml:space="preserve">In November 2024, New York City (NYC) </w:t>
      </w:r>
      <w:hyperlink r:id="rId959" w:history="1">
        <w:r w:rsidRPr="00DD7BD1">
          <w:rPr>
            <w:rStyle w:val="Hyperlink"/>
            <w:rFonts w:ascii="Calibri" w:hAnsi="Calibri" w:cs="Calibri"/>
          </w:rPr>
          <w:t>amended</w:t>
        </w:r>
      </w:hyperlink>
      <w:r w:rsidRPr="00DD7BD1">
        <w:rPr>
          <w:rFonts w:ascii="Calibri" w:hAnsi="Calibri" w:cs="Calibri"/>
        </w:rPr>
        <w:t xml:space="preserve"> the lactation accommodation policy provisions of the New York City Human Rights Law (NYCHRL). The amendments, effective </w:t>
      </w:r>
      <w:r w:rsidRPr="00DD7BD1">
        <w:rPr>
          <w:rFonts w:ascii="Calibri" w:hAnsi="Calibri" w:cs="Calibri"/>
          <w:b/>
          <w:bCs/>
        </w:rPr>
        <w:t>May 8, 2025</w:t>
      </w:r>
      <w:r w:rsidRPr="00DD7BD1">
        <w:rPr>
          <w:rFonts w:ascii="Calibri" w:hAnsi="Calibri" w:cs="Calibri"/>
        </w:rPr>
        <w:t xml:space="preserve">, add new posting requirements and align the NYC law with New York State’s paid lactation break requirements.  </w:t>
      </w:r>
    </w:p>
    <w:p w14:paraId="4BF05AF4" w14:textId="2D9C315A" w:rsidR="00AD4A8E" w:rsidRPr="00DD7BD1" w:rsidRDefault="00AD4A8E" w:rsidP="00AD4A8E">
      <w:pPr>
        <w:rPr>
          <w:rFonts w:ascii="Calibri" w:hAnsi="Calibri" w:cs="Calibri"/>
        </w:rPr>
      </w:pPr>
      <w:r w:rsidRPr="00DD7BD1">
        <w:rPr>
          <w:rFonts w:ascii="Calibri" w:hAnsi="Calibri" w:cs="Calibri"/>
        </w:rPr>
        <w:lastRenderedPageBreak/>
        <w:t xml:space="preserve">The NYCHRL requires employers with </w:t>
      </w:r>
      <w:r w:rsidRPr="00DD7BD1">
        <w:rPr>
          <w:rFonts w:ascii="Calibri" w:hAnsi="Calibri" w:cs="Calibri"/>
          <w:b/>
          <w:bCs/>
        </w:rPr>
        <w:t>four or more employees</w:t>
      </w:r>
      <w:r w:rsidRPr="00DD7BD1">
        <w:rPr>
          <w:rFonts w:ascii="Calibri" w:hAnsi="Calibri" w:cs="Calibri"/>
        </w:rPr>
        <w:t xml:space="preserve"> to provide employees with lactation accommodations, including a lactation room where employees can pump or express breast milk and reasonable time to do so. Employers must also have a written lactation </w:t>
      </w:r>
      <w:hyperlink r:id="rId960" w:history="1">
        <w:r w:rsidRPr="00DD7BD1">
          <w:rPr>
            <w:rStyle w:val="Hyperlink"/>
            <w:rFonts w:ascii="Calibri" w:hAnsi="Calibri" w:cs="Calibri"/>
          </w:rPr>
          <w:t>policy</w:t>
        </w:r>
      </w:hyperlink>
      <w:r w:rsidRPr="00DD7BD1">
        <w:rPr>
          <w:rFonts w:ascii="Calibri" w:hAnsi="Calibri" w:cs="Calibri"/>
        </w:rPr>
        <w:t xml:space="preserve"> that includes a statement that employees have a right to request a lactation room and identify a process by which employees may request a lactation room.  </w:t>
      </w:r>
    </w:p>
    <w:p w14:paraId="5EDE31D5" w14:textId="77777777" w:rsidR="00AD4A8E" w:rsidRPr="00DD7BD1" w:rsidRDefault="00AD4A8E" w:rsidP="00AD4A8E">
      <w:pPr>
        <w:pStyle w:val="Heading2"/>
        <w:spacing w:before="0"/>
        <w:rPr>
          <w:rFonts w:ascii="Calibri" w:hAnsi="Calibri" w:cs="Calibri"/>
          <w:b/>
          <w:bCs/>
          <w:color w:val="auto"/>
          <w:sz w:val="22"/>
          <w:szCs w:val="22"/>
          <w:u w:val="single"/>
        </w:rPr>
      </w:pPr>
      <w:r w:rsidRPr="00DD7BD1">
        <w:rPr>
          <w:rFonts w:ascii="Calibri" w:hAnsi="Calibri" w:cs="Calibri"/>
          <w:b/>
          <w:bCs/>
          <w:color w:val="auto"/>
          <w:sz w:val="22"/>
          <w:szCs w:val="22"/>
          <w:u w:val="single"/>
        </w:rPr>
        <w:t>Paid Lactation Breaks</w:t>
      </w:r>
    </w:p>
    <w:p w14:paraId="38689B4A" w14:textId="00FAB91D" w:rsidR="00AD4A8E" w:rsidRPr="00DD7BD1" w:rsidRDefault="00AD4A8E" w:rsidP="00AD4A8E">
      <w:pPr>
        <w:rPr>
          <w:rFonts w:ascii="Calibri" w:hAnsi="Calibri" w:cs="Calibri"/>
        </w:rPr>
      </w:pPr>
      <w:r w:rsidRPr="00DD7BD1">
        <w:rPr>
          <w:rFonts w:ascii="Calibri" w:hAnsi="Calibri" w:cs="Calibri"/>
        </w:rPr>
        <w:t xml:space="preserve">Under New York State’s lactation break law, </w:t>
      </w:r>
      <w:r w:rsidRPr="00DD7BD1">
        <w:rPr>
          <w:rFonts w:ascii="Calibri" w:hAnsi="Calibri" w:cs="Calibri"/>
          <w:b/>
          <w:bCs/>
        </w:rPr>
        <w:t>all employers</w:t>
      </w:r>
      <w:r w:rsidRPr="00DD7BD1">
        <w:rPr>
          <w:rFonts w:ascii="Calibri" w:hAnsi="Calibri" w:cs="Calibri"/>
        </w:rPr>
        <w:t xml:space="preserve"> are required to provide employees with </w:t>
      </w:r>
      <w:r w:rsidRPr="00DD7BD1">
        <w:rPr>
          <w:rFonts w:ascii="Calibri" w:hAnsi="Calibri" w:cs="Calibri"/>
          <w:b/>
          <w:bCs/>
        </w:rPr>
        <w:t>30 minutes of paid break time to pump or express milk</w:t>
      </w:r>
      <w:r w:rsidRPr="00DD7BD1">
        <w:rPr>
          <w:rFonts w:ascii="Calibri" w:hAnsi="Calibri" w:cs="Calibri"/>
        </w:rPr>
        <w:t xml:space="preserve"> and permit employees to use existing paid break time or </w:t>
      </w:r>
      <w:proofErr w:type="gramStart"/>
      <w:r w:rsidRPr="00DD7BD1">
        <w:rPr>
          <w:rFonts w:ascii="Calibri" w:hAnsi="Calibri" w:cs="Calibri"/>
        </w:rPr>
        <w:t>meal time</w:t>
      </w:r>
      <w:proofErr w:type="gramEnd"/>
      <w:r w:rsidRPr="00DD7BD1">
        <w:rPr>
          <w:rFonts w:ascii="Calibri" w:hAnsi="Calibri" w:cs="Calibri"/>
        </w:rPr>
        <w:t xml:space="preserve"> for time </w:t>
      </w:r>
      <w:proofErr w:type="gramStart"/>
      <w:r w:rsidRPr="00DD7BD1">
        <w:rPr>
          <w:rFonts w:ascii="Calibri" w:hAnsi="Calibri" w:cs="Calibri"/>
        </w:rPr>
        <w:t>in excess of</w:t>
      </w:r>
      <w:proofErr w:type="gramEnd"/>
      <w:r w:rsidRPr="00DD7BD1">
        <w:rPr>
          <w:rFonts w:ascii="Calibri" w:hAnsi="Calibri" w:cs="Calibri"/>
        </w:rPr>
        <w:t xml:space="preserve"> 30 minutes. Under the amended law, covered NYC employers must include in their lactation accommodation policies a statement of the right to paid lactation breaks in accordance with the New York state law.</w:t>
      </w:r>
    </w:p>
    <w:p w14:paraId="201A2BCB" w14:textId="77777777" w:rsidR="00AD4A8E" w:rsidRPr="00DD7BD1" w:rsidRDefault="00AD4A8E" w:rsidP="00AD4A8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Policy Posting Requirement</w:t>
      </w:r>
    </w:p>
    <w:p w14:paraId="7E592335" w14:textId="7AC9AB87" w:rsidR="00AD4A8E" w:rsidRPr="00DD7BD1" w:rsidRDefault="00AD4A8E" w:rsidP="00AD4A8E">
      <w:pPr>
        <w:rPr>
          <w:rFonts w:ascii="Calibri" w:hAnsi="Calibri" w:cs="Calibri"/>
        </w:rPr>
      </w:pPr>
      <w:r w:rsidRPr="00DD7BD1">
        <w:rPr>
          <w:rFonts w:ascii="Calibri" w:hAnsi="Calibri" w:cs="Calibri"/>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DD7BD1" w:rsidRDefault="00AD4A8E" w:rsidP="00AD4A8E">
      <w:pPr>
        <w:rPr>
          <w:rFonts w:ascii="Calibri" w:hAnsi="Calibri" w:cs="Calibri"/>
          <w:b/>
          <w:bCs/>
        </w:rPr>
      </w:pPr>
      <w:r w:rsidRPr="00DD7BD1">
        <w:rPr>
          <w:rFonts w:ascii="Calibri" w:hAnsi="Calibri" w:cs="Calibri"/>
          <w:b/>
          <w:bCs/>
        </w:rPr>
        <w:t>Resources:</w:t>
      </w:r>
    </w:p>
    <w:p w14:paraId="2DE5FBBB" w14:textId="77777777" w:rsidR="00AD4A8E" w:rsidRPr="00DD7BD1" w:rsidRDefault="00AD4A8E">
      <w:pPr>
        <w:pStyle w:val="ListParagraph"/>
        <w:numPr>
          <w:ilvl w:val="0"/>
          <w:numId w:val="178"/>
        </w:numPr>
        <w:spacing w:after="0" w:line="240" w:lineRule="auto"/>
        <w:rPr>
          <w:rFonts w:ascii="Calibri" w:hAnsi="Calibri" w:cs="Calibri"/>
        </w:rPr>
      </w:pPr>
      <w:hyperlink r:id="rId961" w:history="1">
        <w:r w:rsidRPr="00DD7BD1">
          <w:rPr>
            <w:rStyle w:val="Hyperlink"/>
            <w:rFonts w:ascii="Calibri" w:hAnsi="Calibri" w:cs="Calibri"/>
          </w:rPr>
          <w:t>Model Lactation Accommodation Request Form</w:t>
        </w:r>
      </w:hyperlink>
    </w:p>
    <w:p w14:paraId="6AF709E6" w14:textId="77777777" w:rsidR="00AD4A8E" w:rsidRPr="00DD7BD1" w:rsidRDefault="00AD4A8E">
      <w:pPr>
        <w:pStyle w:val="ListParagraph"/>
        <w:numPr>
          <w:ilvl w:val="0"/>
          <w:numId w:val="178"/>
        </w:numPr>
        <w:spacing w:after="0" w:line="240" w:lineRule="auto"/>
        <w:rPr>
          <w:rFonts w:ascii="Calibri" w:hAnsi="Calibri" w:cs="Calibri"/>
        </w:rPr>
      </w:pPr>
      <w:hyperlink r:id="rId962" w:history="1">
        <w:r w:rsidRPr="00DD7BD1">
          <w:rPr>
            <w:rStyle w:val="Hyperlink"/>
            <w:rFonts w:ascii="Calibri" w:hAnsi="Calibri" w:cs="Calibri"/>
          </w:rPr>
          <w:t>Lactation Accommodations:  What NYC Employers Need to Know</w:t>
        </w:r>
      </w:hyperlink>
    </w:p>
    <w:p w14:paraId="2243BC03" w14:textId="77777777" w:rsidR="00AD4A8E" w:rsidRPr="00DD7BD1" w:rsidRDefault="00AD4A8E">
      <w:pPr>
        <w:pStyle w:val="ListParagraph"/>
        <w:numPr>
          <w:ilvl w:val="0"/>
          <w:numId w:val="178"/>
        </w:numPr>
        <w:spacing w:after="0" w:line="240" w:lineRule="auto"/>
        <w:rPr>
          <w:rFonts w:ascii="Calibri" w:hAnsi="Calibri" w:cs="Calibri"/>
        </w:rPr>
      </w:pPr>
      <w:hyperlink r:id="rId963" w:history="1">
        <w:r w:rsidRPr="00DD7BD1">
          <w:rPr>
            <w:rStyle w:val="Hyperlink"/>
            <w:rFonts w:ascii="Calibri" w:hAnsi="Calibri" w:cs="Calibri"/>
          </w:rPr>
          <w:t>Pregnancy Discrimination Legal Enforcement Guidance</w:t>
        </w:r>
      </w:hyperlink>
    </w:p>
    <w:p w14:paraId="6DEB29DD" w14:textId="47057AB7" w:rsidR="00AD4A8E" w:rsidRPr="00DD7BD1" w:rsidRDefault="00AD4A8E">
      <w:pPr>
        <w:pStyle w:val="ListParagraph"/>
        <w:numPr>
          <w:ilvl w:val="0"/>
          <w:numId w:val="178"/>
        </w:numPr>
        <w:spacing w:after="0" w:line="240" w:lineRule="auto"/>
        <w:rPr>
          <w:rFonts w:ascii="Calibri" w:hAnsi="Calibri" w:cs="Calibri"/>
        </w:rPr>
      </w:pPr>
      <w:r w:rsidRPr="00DD7BD1">
        <w:rPr>
          <w:rFonts w:ascii="Calibri" w:hAnsi="Calibri" w:cs="Calibri"/>
        </w:rPr>
        <w:t>Pregnancy Employment Notice:  </w:t>
      </w:r>
      <w:hyperlink r:id="rId964" w:history="1">
        <w:r w:rsidRPr="00DD7BD1">
          <w:rPr>
            <w:rStyle w:val="Hyperlink"/>
            <w:rFonts w:ascii="Calibri" w:hAnsi="Calibri" w:cs="Calibri"/>
          </w:rPr>
          <w:t>English</w:t>
        </w:r>
      </w:hyperlink>
      <w:r w:rsidRPr="00DD7BD1">
        <w:rPr>
          <w:rFonts w:ascii="Calibri" w:hAnsi="Calibri" w:cs="Calibri"/>
        </w:rPr>
        <w:t>   </w:t>
      </w:r>
      <w:hyperlink r:id="rId965" w:history="1">
        <w:r w:rsidRPr="00DD7BD1">
          <w:rPr>
            <w:rStyle w:val="Hyperlink"/>
            <w:rFonts w:ascii="Calibri" w:hAnsi="Calibri" w:cs="Calibri"/>
          </w:rPr>
          <w:t>Spanish</w:t>
        </w:r>
      </w:hyperlink>
      <w:hyperlink r:id="rId966" w:history="1">
        <w:r w:rsidRPr="00DD7BD1">
          <w:rPr>
            <w:rStyle w:val="Hyperlink"/>
            <w:rFonts w:ascii="Calibri" w:hAnsi="Calibri" w:cs="Calibri"/>
          </w:rPr>
          <w:br/>
        </w:r>
      </w:hyperlink>
      <w:hyperlink r:id="rId967" w:history="1">
        <w:r w:rsidRPr="00DD7BD1">
          <w:rPr>
            <w:rStyle w:val="Hyperlink"/>
            <w:rFonts w:ascii="Calibri" w:hAnsi="Calibri" w:cs="Calibri"/>
          </w:rPr>
          <w:t>Frequently Asked Questions</w:t>
        </w:r>
      </w:hyperlink>
    </w:p>
    <w:p w14:paraId="48F8C264" w14:textId="553AD7C0" w:rsidR="00406B06" w:rsidRPr="00DD7BD1" w:rsidRDefault="00406B06" w:rsidP="00406B06">
      <w:pPr>
        <w:spacing w:after="0" w:line="240" w:lineRule="auto"/>
        <w:rPr>
          <w:rFonts w:ascii="Calibri" w:hAnsi="Calibri" w:cs="Calibri"/>
          <w:b/>
          <w:bCs/>
        </w:rPr>
      </w:pPr>
      <w:r w:rsidRPr="00DD7BD1">
        <w:rPr>
          <w:rFonts w:ascii="Calibri" w:hAnsi="Calibri" w:cs="Calibri"/>
          <w:b/>
          <w:bCs/>
        </w:rPr>
        <w:t>ETC published the updated State Handbook Addendum revising NYC applicable policies June 2025.</w:t>
      </w:r>
    </w:p>
    <w:p w14:paraId="7934A587" w14:textId="77777777" w:rsidR="00406B06" w:rsidRPr="00DD7BD1" w:rsidRDefault="00406B06" w:rsidP="00406B06">
      <w:pPr>
        <w:spacing w:after="0" w:line="240" w:lineRule="auto"/>
        <w:rPr>
          <w:rFonts w:ascii="Calibri" w:hAnsi="Calibri" w:cs="Calibri"/>
        </w:rPr>
      </w:pPr>
    </w:p>
    <w:p w14:paraId="7F9D3A9B" w14:textId="77777777" w:rsidR="00AD4A8E" w:rsidRPr="00DD7BD1" w:rsidRDefault="00AD4A8E" w:rsidP="00AD4A8E">
      <w:pPr>
        <w:jc w:val="center"/>
        <w:rPr>
          <w:rFonts w:ascii="Calibri" w:hAnsi="Calibri" w:cs="Calibri"/>
          <w:b/>
          <w:bCs/>
          <w:color w:val="000000" w:themeColor="text1"/>
          <w:sz w:val="28"/>
          <w:szCs w:val="28"/>
          <w:shd w:val="clear" w:color="auto" w:fill="FFFFFF"/>
        </w:rPr>
      </w:pPr>
      <w:r w:rsidRPr="00DD7BD1">
        <w:rPr>
          <w:rFonts w:ascii="Calibri" w:hAnsi="Calibri" w:cs="Calibri"/>
          <w:b/>
          <w:bCs/>
          <w:sz w:val="28"/>
          <w:szCs w:val="28"/>
          <w:shd w:val="clear" w:color="auto" w:fill="FFFFFF"/>
        </w:rPr>
        <w:t xml:space="preserve">Upcoming </w:t>
      </w:r>
      <w:r w:rsidRPr="00DD7BD1">
        <w:rPr>
          <w:rFonts w:ascii="Calibri" w:hAnsi="Calibri" w:cs="Calibri"/>
          <w:b/>
          <w:bCs/>
          <w:color w:val="000000" w:themeColor="text1"/>
          <w:sz w:val="28"/>
          <w:szCs w:val="28"/>
          <w:shd w:val="clear" w:color="auto" w:fill="FFFFFF"/>
        </w:rPr>
        <w:t xml:space="preserve">State Retail Workplace-Violence Prevention Obligations  - </w:t>
      </w:r>
      <w:r w:rsidRPr="00DD7BD1">
        <w:rPr>
          <w:rFonts w:ascii="Calibri" w:hAnsi="Calibri" w:cs="Calibri"/>
          <w:b/>
          <w:bCs/>
          <w:color w:val="C00000"/>
          <w:sz w:val="28"/>
          <w:szCs w:val="28"/>
          <w:shd w:val="clear" w:color="auto" w:fill="FFFFFF"/>
        </w:rPr>
        <w:t>Eff June 2, 2025 &amp; Jan 1, 2027</w:t>
      </w:r>
    </w:p>
    <w:p w14:paraId="61C2EB03" w14:textId="7F97FE94" w:rsidR="00AD4A8E" w:rsidRPr="00DD7BD1" w:rsidRDefault="00AD4A8E" w:rsidP="00AD4A8E">
      <w:pPr>
        <w:rPr>
          <w:rFonts w:ascii="Calibri" w:hAnsi="Calibri" w:cs="Calibri"/>
          <w:shd w:val="clear" w:color="auto" w:fill="FFFFFF"/>
        </w:rPr>
      </w:pPr>
      <w:r w:rsidRPr="00DD7BD1">
        <w:rPr>
          <w:rFonts w:ascii="Calibri" w:hAnsi="Calibri" w:cs="Calibri"/>
          <w:color w:val="000000" w:themeColor="text1"/>
          <w:shd w:val="clear" w:color="auto" w:fill="FFFFFF"/>
        </w:rPr>
        <w:t>New York’s Retail Worker Safety Act (</w:t>
      </w:r>
      <w:hyperlink r:id="rId968" w:tgtFrame="_blank" w:history="1">
        <w:r w:rsidRPr="00DD7BD1">
          <w:rPr>
            <w:rStyle w:val="Hyperlink"/>
            <w:rFonts w:ascii="Calibri" w:hAnsi="Calibri" w:cs="Calibri"/>
            <w:shd w:val="clear" w:color="auto" w:fill="FFFFFF"/>
          </w:rPr>
          <w:t>A 01678</w:t>
        </w:r>
      </w:hyperlink>
      <w:r w:rsidRPr="00DD7BD1">
        <w:rPr>
          <w:rFonts w:ascii="Calibri" w:hAnsi="Calibri" w:cs="Calibri"/>
          <w:color w:val="000000" w:themeColor="text1"/>
          <w:shd w:val="clear" w:color="auto" w:fill="FFFFFF"/>
        </w:rPr>
        <w:t xml:space="preserve">), signed by the governor on February 14. </w:t>
      </w:r>
      <w:r w:rsidRPr="00DD7BD1">
        <w:rPr>
          <w:rFonts w:ascii="Calibri" w:hAnsi="Calibri" w:cs="Calibri"/>
          <w:shd w:val="clear" w:color="auto" w:fill="FFFFFF"/>
        </w:rPr>
        <w:t xml:space="preserve">The </w:t>
      </w:r>
      <w:proofErr w:type="gramStart"/>
      <w:r w:rsidRPr="00DD7BD1">
        <w:rPr>
          <w:rFonts w:ascii="Calibri" w:hAnsi="Calibri" w:cs="Calibri"/>
          <w:shd w:val="clear" w:color="auto" w:fill="FFFFFF"/>
        </w:rPr>
        <w:t>below provisions</w:t>
      </w:r>
      <w:proofErr w:type="gramEnd"/>
      <w:r w:rsidRPr="00DD7BD1">
        <w:rPr>
          <w:rFonts w:ascii="Calibri" w:hAnsi="Calibri" w:cs="Calibri"/>
          <w:shd w:val="clear" w:color="auto" w:fill="FFFFFF"/>
        </w:rPr>
        <w:t xml:space="preserve"> will take effect on June 2, 2025:</w:t>
      </w:r>
    </w:p>
    <w:p w14:paraId="0DBEB200"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Employer Policy Requirements</w:t>
      </w:r>
    </w:p>
    <w:p w14:paraId="67BF70A8" w14:textId="77777777"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The law requires employers with 10 or more </w:t>
      </w:r>
      <w:r w:rsidRPr="00DD7BD1">
        <w:rPr>
          <w:rFonts w:ascii="Calibri" w:hAnsi="Calibri" w:cs="Calibri"/>
          <w:i/>
          <w:iCs/>
          <w:color w:val="000000" w:themeColor="text1"/>
          <w:shd w:val="clear" w:color="auto" w:fill="FFFFFF"/>
        </w:rPr>
        <w:t>retail employees </w:t>
      </w:r>
      <w:r w:rsidRPr="00DD7BD1">
        <w:rPr>
          <w:rFonts w:ascii="Calibri" w:hAnsi="Calibri" w:cs="Calibri"/>
          <w:color w:val="000000" w:themeColor="text1"/>
          <w:shd w:val="clear" w:color="auto" w:fill="FFFFFF"/>
        </w:rPr>
        <w:t>(defined as those who</w:t>
      </w:r>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 xml:space="preserve">work in retail stores) to adopt a written workplace violence prevention policy and provide employee training. </w:t>
      </w:r>
    </w:p>
    <w:p w14:paraId="7987E7AB" w14:textId="39E41F78"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Employers with 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6DCF92E4"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Training Program Requirements</w:t>
      </w:r>
    </w:p>
    <w:p w14:paraId="4F4313C3"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Under the Act, workplace violence trainings must be interactive and include the following:</w:t>
      </w:r>
    </w:p>
    <w:p w14:paraId="5B59FF1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Information on the requirements of the Act;</w:t>
      </w:r>
    </w:p>
    <w:p w14:paraId="269B509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Examples of measures retail employees can use to protect themselves when faced with workplace violence from customers or other co-workers;</w:t>
      </w:r>
    </w:p>
    <w:p w14:paraId="2F6ED49F"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De-escalation tactics;</w:t>
      </w:r>
    </w:p>
    <w:p w14:paraId="49DF9A99"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Active shooter drills;</w:t>
      </w:r>
    </w:p>
    <w:p w14:paraId="223ABA5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Emergency procedures; </w:t>
      </w:r>
    </w:p>
    <w:p w14:paraId="420AB45B"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Instruction on the use of security alarms, panic buttons and other related emergency devices; and</w:t>
      </w:r>
    </w:p>
    <w:p w14:paraId="2FB5D55C"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 site-specific list of emergency exits and meeting places in case of an emergency. </w:t>
      </w:r>
    </w:p>
    <w:p w14:paraId="05EA3C4D" w14:textId="187A1FEA"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lastRenderedPageBreak/>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DD7BD1" w:rsidRDefault="00AD4A8E" w:rsidP="00AD4A8E">
      <w:pPr>
        <w:rPr>
          <w:rFonts w:ascii="Calibri" w:hAnsi="Calibri" w:cs="Calibri"/>
          <w:b/>
          <w:bCs/>
          <w:u w:val="single"/>
          <w:shd w:val="clear" w:color="auto" w:fill="FFFFFF"/>
        </w:rPr>
      </w:pPr>
      <w:r w:rsidRPr="00DD7BD1">
        <w:rPr>
          <w:rFonts w:ascii="Calibri" w:hAnsi="Calibri" w:cs="Calibri"/>
          <w:b/>
          <w:bCs/>
          <w:u w:val="single"/>
          <w:shd w:val="clear" w:color="auto" w:fill="FFFFFF"/>
        </w:rPr>
        <w:t>Notice Requirements</w:t>
      </w:r>
    </w:p>
    <w:p w14:paraId="6CB373EB" w14:textId="5499D67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w:t>
      </w:r>
    </w:p>
    <w:p w14:paraId="0884195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DD7BD1" w:rsidRDefault="00AD4A8E">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DD7BD1" w:rsidRDefault="00AD4A8E" w:rsidP="00AD4A8E">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2CBA11AB"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Pr="00DD7BD1" w:rsidRDefault="00F45F26" w:rsidP="00AD4A8E">
      <w:pPr>
        <w:rPr>
          <w:rFonts w:ascii="Calibri" w:hAnsi="Calibri" w:cs="Calibri"/>
          <w:shd w:val="clear" w:color="auto" w:fill="FFFFFF"/>
        </w:rPr>
      </w:pPr>
      <w:r w:rsidRPr="00DD7BD1">
        <w:rPr>
          <w:rFonts w:ascii="Calibri" w:hAnsi="Calibri" w:cs="Calibri"/>
          <w:b/>
          <w:bCs/>
          <w:u w:val="single"/>
          <w:shd w:val="clear" w:color="auto" w:fill="FFFFFF"/>
        </w:rPr>
        <w:t>The model policy, training, and FAQs can be found </w:t>
      </w:r>
      <w:hyperlink r:id="rId969" w:tgtFrame="_blank" w:history="1">
        <w:r w:rsidRPr="00DD7BD1">
          <w:rPr>
            <w:rStyle w:val="Hyperlink"/>
            <w:rFonts w:ascii="Calibri" w:hAnsi="Calibri" w:cs="Calibri"/>
            <w:b/>
            <w:bCs/>
            <w:shd w:val="clear" w:color="auto" w:fill="FFFFFF"/>
          </w:rPr>
          <w:t>here</w:t>
        </w:r>
      </w:hyperlink>
      <w:r w:rsidRPr="00DD7BD1">
        <w:rPr>
          <w:rFonts w:ascii="Calibri" w:hAnsi="Calibri" w:cs="Calibri"/>
          <w:b/>
          <w:bCs/>
          <w:u w:val="single"/>
          <w:shd w:val="clear" w:color="auto" w:fill="FFFFFF"/>
        </w:rPr>
        <w:t>.</w:t>
      </w:r>
    </w:p>
    <w:p w14:paraId="6B10FA4F" w14:textId="77777777"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York Amends the Warehouse Worker Injury Reduction Act - </w:t>
      </w:r>
      <w:r w:rsidRPr="00DD7BD1">
        <w:rPr>
          <w:rFonts w:ascii="Calibri" w:hAnsi="Calibri" w:cs="Calibri"/>
          <w:b/>
          <w:bCs/>
          <w:color w:val="C00000"/>
          <w:sz w:val="28"/>
          <w:szCs w:val="28"/>
          <w:shd w:val="clear" w:color="auto" w:fill="FFFFFF"/>
          <w:lang w:val="en"/>
        </w:rPr>
        <w:t>June 1, 2025</w:t>
      </w:r>
    </w:p>
    <w:p w14:paraId="055FA3BC"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On Feb. 14, 2025, New York amended its </w:t>
      </w:r>
      <w:hyperlink r:id="rId970"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DD7BD1" w:rsidRDefault="00AD4A8E" w:rsidP="00AD4A8E">
      <w:pPr>
        <w:rPr>
          <w:rFonts w:ascii="Calibri" w:hAnsi="Calibri" w:cs="Calibri"/>
          <w:color w:val="C00000"/>
          <w:shd w:val="clear" w:color="auto" w:fill="FFFFFF"/>
        </w:rPr>
      </w:pPr>
      <w:r w:rsidRPr="00DD7BD1">
        <w:rPr>
          <w:rFonts w:ascii="Calibri" w:hAnsi="Calibri" w:cs="Calibri"/>
          <w:shd w:val="clear" w:color="auto" w:fill="FFFFFF"/>
        </w:rPr>
        <w:t xml:space="preserve">The new amendments go into effect on </w:t>
      </w:r>
      <w:r w:rsidRPr="00DD7BD1">
        <w:rPr>
          <w:rFonts w:ascii="Calibri" w:hAnsi="Calibri" w:cs="Calibri"/>
          <w:color w:val="C00000"/>
          <w:shd w:val="clear" w:color="auto" w:fill="FFFFFF"/>
        </w:rPr>
        <w:t xml:space="preserve">June 1, 2025.  </w:t>
      </w:r>
    </w:p>
    <w:p w14:paraId="306035E7"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lastRenderedPageBreak/>
        <w:t>The WWPA applies to warehouse distribution centers that directly or indirectly employ or exercise control over the wages, hours or working conditions of:</w:t>
      </w:r>
    </w:p>
    <w:p w14:paraId="7600B84E"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 or more employees at a single warehouse distribution center; or</w:t>
      </w:r>
    </w:p>
    <w:p w14:paraId="14AB7CED"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11E45BDA" w14:textId="77777777" w:rsidR="00AD4A8E" w:rsidRPr="00DD7BD1" w:rsidRDefault="00AD4A8E" w:rsidP="00AD4A8E">
      <w:pPr>
        <w:pStyle w:val="SubHeader"/>
        <w:spacing w:line="240" w:lineRule="auto"/>
        <w:rPr>
          <w:rFonts w:cs="Calibri"/>
          <w:sz w:val="16"/>
          <w:szCs w:val="16"/>
        </w:rPr>
      </w:pPr>
    </w:p>
    <w:p w14:paraId="00A4862D" w14:textId="77777777" w:rsidR="00AD4A8E" w:rsidRPr="00DD7BD1" w:rsidRDefault="00AD4A8E" w:rsidP="00AD4A8E">
      <w:pPr>
        <w:pStyle w:val="SubHeader"/>
        <w:spacing w:line="240" w:lineRule="auto"/>
        <w:rPr>
          <w:rFonts w:cs="Calibri"/>
          <w:color w:val="auto"/>
          <w:sz w:val="22"/>
          <w:szCs w:val="22"/>
        </w:rPr>
      </w:pPr>
      <w:r w:rsidRPr="00DD7BD1">
        <w:rPr>
          <w:rFonts w:cs="Calibri"/>
          <w:color w:val="auto"/>
          <w:sz w:val="22"/>
          <w:szCs w:val="22"/>
        </w:rPr>
        <w:t>Warehouse Worker Injury Reduction Program</w:t>
      </w:r>
    </w:p>
    <w:p w14:paraId="42BC26DE" w14:textId="77777777" w:rsidR="00AD4A8E" w:rsidRPr="00DD7BD1" w:rsidRDefault="00AD4A8E" w:rsidP="00AD4A8E">
      <w:pPr>
        <w:rPr>
          <w:rFonts w:ascii="Calibri" w:hAnsi="Calibri" w:cs="Calibri"/>
        </w:rPr>
      </w:pPr>
      <w:r w:rsidRPr="00DD7BD1">
        <w:rPr>
          <w:rFonts w:ascii="Calibri" w:hAnsi="Calibri" w:cs="Calibri"/>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Worksite evaluation;</w:t>
      </w:r>
    </w:p>
    <w:p w14:paraId="7A503DBA"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Control of exposures;</w:t>
      </w:r>
    </w:p>
    <w:p w14:paraId="735CF1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Employee training;</w:t>
      </w:r>
    </w:p>
    <w:p w14:paraId="4FBC8C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On-site medical and first-aid practices; and </w:t>
      </w:r>
    </w:p>
    <w:p w14:paraId="4CB52396" w14:textId="3E8102A8"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Employee involvement. </w:t>
      </w:r>
    </w:p>
    <w:p w14:paraId="6E39C876" w14:textId="77777777" w:rsidR="00406B06" w:rsidRPr="00DD7BD1" w:rsidRDefault="00406B06" w:rsidP="00AD4A8E">
      <w:pPr>
        <w:rPr>
          <w:rFonts w:ascii="Calibri" w:hAnsi="Calibri" w:cs="Calibri"/>
          <w:b/>
          <w:bCs/>
          <w:sz w:val="16"/>
          <w:szCs w:val="16"/>
          <w:highlight w:val="lightGray"/>
          <w:shd w:val="clear" w:color="auto" w:fill="FFFFFF"/>
          <w:lang w:val="en"/>
        </w:rPr>
      </w:pPr>
    </w:p>
    <w:p w14:paraId="67E22E24" w14:textId="4D73CAD9" w:rsidR="00AD4A8E" w:rsidRPr="00DD7BD1" w:rsidRDefault="00AD4A8E" w:rsidP="00AD4A8E">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lang w:val="en"/>
        </w:rPr>
        <w:t xml:space="preserve">Applicable employers </w:t>
      </w:r>
      <w:r w:rsidRPr="00DD7BD1">
        <w:rPr>
          <w:rFonts w:ascii="Calibri" w:hAnsi="Calibri" w:cs="Calibri"/>
          <w:shd w:val="clear" w:color="auto" w:fill="FFFFFF"/>
        </w:rPr>
        <w:t>should review the amended WWPA rules and ensure the new requirements are implemented by the specified effective dates.</w:t>
      </w:r>
    </w:p>
    <w:p w14:paraId="20B2E342" w14:textId="6A29D39B" w:rsidR="00B32963" w:rsidRPr="00DD7BD1" w:rsidRDefault="00B32963" w:rsidP="00B3296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Upcoming State Enacts Retail Workplace Violence Prevention Law – </w:t>
      </w:r>
      <w:r w:rsidRPr="00DD7BD1">
        <w:rPr>
          <w:rFonts w:ascii="Calibri" w:hAnsi="Calibri" w:cs="Calibri"/>
          <w:b/>
          <w:bCs/>
          <w:color w:val="C00000"/>
          <w:sz w:val="28"/>
          <w:szCs w:val="28"/>
          <w:shd w:val="clear" w:color="auto" w:fill="FFFFFF"/>
          <w:lang w:val="en"/>
        </w:rPr>
        <w:t xml:space="preserve">March 25 </w:t>
      </w:r>
    </w:p>
    <w:p w14:paraId="09C50D1B" w14:textId="77777777" w:rsidR="00B32963" w:rsidRPr="00DD7BD1" w:rsidRDefault="00B32963" w:rsidP="00B32963">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971"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972"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DD7BD1" w:rsidRDefault="00B32963" w:rsidP="00B32963">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48D117EB"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188F8038"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5436A2C2" w14:textId="77777777" w:rsidR="00B32963" w:rsidRPr="00DD7BD1" w:rsidRDefault="00B32963" w:rsidP="00B32963">
      <w:pPr>
        <w:spacing w:after="0" w:line="240" w:lineRule="auto"/>
        <w:jc w:val="both"/>
        <w:rPr>
          <w:rFonts w:ascii="Calibri" w:hAnsi="Calibri" w:cs="Calibri"/>
          <w:sz w:val="12"/>
          <w:szCs w:val="12"/>
          <w:shd w:val="clear" w:color="auto" w:fill="FFFFFF"/>
        </w:rPr>
      </w:pPr>
    </w:p>
    <w:p w14:paraId="4F0ED214" w14:textId="77777777" w:rsidR="00B32963" w:rsidRPr="00DD7BD1" w:rsidRDefault="00B32963" w:rsidP="00B3296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069E2ECC"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7D76004D"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3872E2D6" w14:textId="77777777" w:rsidR="00B32963" w:rsidRPr="00DD7BD1" w:rsidRDefault="00B32963" w:rsidP="00B32963">
      <w:pPr>
        <w:spacing w:after="0" w:line="240" w:lineRule="auto"/>
        <w:jc w:val="both"/>
        <w:rPr>
          <w:rFonts w:ascii="Calibri" w:hAnsi="Calibri" w:cs="Calibri"/>
          <w:sz w:val="12"/>
          <w:szCs w:val="12"/>
          <w:shd w:val="clear" w:color="auto" w:fill="FFFFFF"/>
          <w:lang w:val="en"/>
        </w:rPr>
      </w:pPr>
    </w:p>
    <w:p w14:paraId="2A74F22D"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Pr="00DD7BD1" w:rsidRDefault="00B32963" w:rsidP="00B32963">
      <w:pPr>
        <w:spacing w:after="0" w:line="240" w:lineRule="auto"/>
        <w:jc w:val="center"/>
        <w:rPr>
          <w:rFonts w:ascii="Calibri" w:hAnsi="Calibri" w:cs="Calibri"/>
          <w:b/>
          <w:bCs/>
          <w:sz w:val="28"/>
          <w:szCs w:val="28"/>
          <w:shd w:val="clear" w:color="auto" w:fill="FFFFFF"/>
          <w:lang w:val="en"/>
        </w:rPr>
      </w:pPr>
    </w:p>
    <w:p w14:paraId="2C8AB703" w14:textId="70981134" w:rsidR="00B32963" w:rsidRPr="00DD7BD1" w:rsidRDefault="00B32963" w:rsidP="00B3296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Criminal History Records Protection – </w:t>
      </w:r>
      <w:r w:rsidRPr="00DD7BD1">
        <w:rPr>
          <w:rFonts w:ascii="Calibri" w:hAnsi="Calibri" w:cs="Calibri"/>
          <w:b/>
          <w:bCs/>
          <w:color w:val="C00000"/>
          <w:sz w:val="28"/>
          <w:szCs w:val="28"/>
          <w:shd w:val="clear" w:color="auto" w:fill="FFFFFF"/>
          <w:lang w:val="en"/>
        </w:rPr>
        <w:t>March 22, 2025</w:t>
      </w:r>
    </w:p>
    <w:p w14:paraId="609BA948"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DD7BD1" w:rsidRDefault="00B32963" w:rsidP="00B32963">
      <w:pPr>
        <w:spacing w:after="0" w:line="240" w:lineRule="auto"/>
        <w:rPr>
          <w:rFonts w:ascii="Calibri" w:hAnsi="Calibri" w:cs="Calibri"/>
          <w:sz w:val="12"/>
          <w:szCs w:val="12"/>
          <w:shd w:val="clear" w:color="auto" w:fill="FFFFFF"/>
        </w:rPr>
      </w:pPr>
    </w:p>
    <w:p w14:paraId="54D20F75"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DD7BD1" w:rsidRDefault="00B32963" w:rsidP="00B32963">
      <w:pPr>
        <w:spacing w:after="0" w:line="240" w:lineRule="auto"/>
        <w:rPr>
          <w:rFonts w:ascii="Calibri" w:hAnsi="Calibri" w:cs="Calibri"/>
          <w:sz w:val="12"/>
          <w:szCs w:val="12"/>
          <w:shd w:val="clear" w:color="auto" w:fill="FFFFFF"/>
        </w:rPr>
      </w:pPr>
    </w:p>
    <w:p w14:paraId="34B9D33B" w14:textId="6BD2F5F4"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review and, if necessary, update their hiring practices and policies to comply with this change by March 22.</w:t>
      </w:r>
    </w:p>
    <w:p w14:paraId="07181F91" w14:textId="77777777" w:rsidR="00B32963" w:rsidRPr="00DD7BD1" w:rsidRDefault="00B32963" w:rsidP="00B32963">
      <w:pPr>
        <w:spacing w:after="0" w:line="240" w:lineRule="auto"/>
        <w:rPr>
          <w:rFonts w:ascii="Calibri" w:hAnsi="Calibri" w:cs="Calibri"/>
          <w:sz w:val="16"/>
          <w:szCs w:val="16"/>
          <w:shd w:val="clear" w:color="auto" w:fill="FFFFFF"/>
        </w:rPr>
      </w:pPr>
    </w:p>
    <w:p w14:paraId="640E14D8" w14:textId="56ADFD15" w:rsidR="00221F05" w:rsidRPr="00DD7BD1" w:rsidRDefault="00221F05" w:rsidP="00221F05">
      <w:pPr>
        <w:spacing w:after="0" w:line="240" w:lineRule="auto"/>
        <w:jc w:val="center"/>
        <w:rPr>
          <w:rFonts w:ascii="Calibri" w:hAnsi="Calibri" w:cs="Calibri"/>
          <w:b/>
          <w:bCs/>
          <w:color w:val="000000" w:themeColor="text1"/>
          <w:sz w:val="28"/>
          <w:szCs w:val="28"/>
          <w:shd w:val="clear" w:color="auto" w:fill="FFFFFF"/>
        </w:rPr>
      </w:pPr>
      <w:bookmarkStart w:id="125" w:name="_Hlk197516300"/>
      <w:r w:rsidRPr="00DD7BD1">
        <w:rPr>
          <w:rFonts w:ascii="Calibri" w:hAnsi="Calibri" w:cs="Calibri"/>
          <w:b/>
          <w:bCs/>
          <w:sz w:val="28"/>
          <w:szCs w:val="28"/>
          <w:shd w:val="clear" w:color="auto" w:fill="FFFFFF"/>
        </w:rPr>
        <w:t xml:space="preserve">Upcoming </w:t>
      </w:r>
      <w:bookmarkStart w:id="126" w:name="_Hlk193457077"/>
      <w:r w:rsidRPr="00DD7BD1">
        <w:rPr>
          <w:rFonts w:ascii="Calibri" w:hAnsi="Calibri" w:cs="Calibri"/>
          <w:b/>
          <w:bCs/>
          <w:color w:val="000000" w:themeColor="text1"/>
          <w:sz w:val="28"/>
          <w:szCs w:val="28"/>
          <w:shd w:val="clear" w:color="auto" w:fill="FFFFFF"/>
        </w:rPr>
        <w:t xml:space="preserve">State Retail Workplace-Violence Prevention Obligations </w:t>
      </w:r>
    </w:p>
    <w:bookmarkEnd w:id="126"/>
    <w:p w14:paraId="0B428F7E"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color w:val="000000" w:themeColor="text1"/>
          <w:sz w:val="23"/>
          <w:szCs w:val="23"/>
          <w:shd w:val="clear" w:color="auto" w:fill="FFFFFF"/>
        </w:rPr>
        <w:t>New York’s Retail Worker Safety Act (</w:t>
      </w:r>
      <w:hyperlink r:id="rId973" w:tgtFrame="_blank" w:history="1">
        <w:r w:rsidRPr="00DD7BD1">
          <w:rPr>
            <w:rStyle w:val="Hyperlink"/>
            <w:rFonts w:ascii="Calibri" w:hAnsi="Calibri" w:cs="Calibri"/>
            <w:sz w:val="23"/>
            <w:szCs w:val="23"/>
            <w:shd w:val="clear" w:color="auto" w:fill="FFFFFF"/>
          </w:rPr>
          <w:t>A 01678</w:t>
        </w:r>
      </w:hyperlink>
      <w:r w:rsidRPr="00DD7BD1">
        <w:rPr>
          <w:rFonts w:ascii="Calibri" w:hAnsi="Calibri" w:cs="Calibri"/>
          <w:color w:val="000000" w:themeColor="text1"/>
          <w:sz w:val="23"/>
          <w:szCs w:val="23"/>
          <w:shd w:val="clear" w:color="auto" w:fill="FFFFFF"/>
        </w:rPr>
        <w:t>), signed by the governor on February 14, will take effect on June 2, 2025. The law will require employers with 10 or more </w:t>
      </w:r>
      <w:r w:rsidRPr="00DD7BD1">
        <w:rPr>
          <w:rFonts w:ascii="Calibri" w:hAnsi="Calibri" w:cs="Calibri"/>
          <w:i/>
          <w:iCs/>
          <w:color w:val="000000" w:themeColor="text1"/>
          <w:sz w:val="23"/>
          <w:szCs w:val="23"/>
          <w:shd w:val="clear" w:color="auto" w:fill="FFFFFF"/>
        </w:rPr>
        <w:t>retail employees </w:t>
      </w:r>
      <w:r w:rsidRPr="00DD7BD1">
        <w:rPr>
          <w:rFonts w:ascii="Calibri" w:hAnsi="Calibri" w:cs="Calibri"/>
          <w:color w:val="000000" w:themeColor="text1"/>
          <w:sz w:val="23"/>
          <w:szCs w:val="23"/>
          <w:shd w:val="clear" w:color="auto" w:fill="FFFFFF"/>
        </w:rPr>
        <w:t>(defined as those who</w:t>
      </w:r>
      <w:r w:rsidRPr="00DD7BD1">
        <w:rPr>
          <w:rFonts w:ascii="Calibri" w:hAnsi="Calibri" w:cs="Calibri"/>
          <w:i/>
          <w:iCs/>
          <w:color w:val="000000" w:themeColor="text1"/>
          <w:sz w:val="23"/>
          <w:szCs w:val="23"/>
          <w:shd w:val="clear" w:color="auto" w:fill="FFFFFF"/>
        </w:rPr>
        <w:t> </w:t>
      </w:r>
      <w:r w:rsidRPr="00DD7BD1">
        <w:rPr>
          <w:rFonts w:ascii="Calibri" w:hAnsi="Calibri" w:cs="Calibri"/>
          <w:color w:val="000000" w:themeColor="text1"/>
          <w:sz w:val="23"/>
          <w:szCs w:val="23"/>
          <w:shd w:val="clear" w:color="auto" w:fill="FFFFFF"/>
        </w:rPr>
        <w:t xml:space="preserve">work in retail stores) to adopt a written workplace violence prevention policy and provide employee training. Employers with </w:t>
      </w:r>
      <w:r w:rsidRPr="00DD7BD1">
        <w:rPr>
          <w:rFonts w:ascii="Calibri" w:hAnsi="Calibri" w:cs="Calibri"/>
          <w:color w:val="000000" w:themeColor="text1"/>
          <w:shd w:val="clear" w:color="auto" w:fill="FFFFFF"/>
        </w:rPr>
        <w:t>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13879344" w14:textId="77777777" w:rsidR="00221F05" w:rsidRPr="00DD7BD1" w:rsidRDefault="00221F05" w:rsidP="00221F05">
      <w:pPr>
        <w:spacing w:after="0" w:line="240" w:lineRule="auto"/>
        <w:rPr>
          <w:rFonts w:ascii="Calibri" w:hAnsi="Calibri" w:cs="Calibri"/>
          <w:sz w:val="16"/>
          <w:szCs w:val="16"/>
          <w:shd w:val="clear" w:color="auto" w:fill="FFFFFF"/>
        </w:rPr>
      </w:pPr>
    </w:p>
    <w:p w14:paraId="53295DE9"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DD7BD1" w:rsidRDefault="00221F05">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DD7BD1" w:rsidRDefault="00221F05" w:rsidP="00221F05">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681F635F"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DD7BD1" w:rsidRDefault="00221F05" w:rsidP="00221F05">
      <w:pPr>
        <w:spacing w:after="0" w:line="240" w:lineRule="auto"/>
        <w:rPr>
          <w:rFonts w:ascii="Calibri" w:hAnsi="Calibri" w:cs="Calibri"/>
          <w:sz w:val="12"/>
          <w:szCs w:val="12"/>
          <w:shd w:val="clear" w:color="auto" w:fill="FFFFFF"/>
        </w:rPr>
      </w:pPr>
    </w:p>
    <w:p w14:paraId="7976F7D1" w14:textId="79B8FC8E"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The model policy and training are expected to be available on the New York Department of Labor’s website before the effective date of June 2, 2025.</w:t>
      </w:r>
    </w:p>
    <w:bookmarkEnd w:id="125"/>
    <w:p w14:paraId="36B4AFA5" w14:textId="77777777" w:rsidR="00221F05" w:rsidRPr="00DD7BD1" w:rsidRDefault="00221F05" w:rsidP="00221F05">
      <w:pPr>
        <w:spacing w:after="0" w:line="240" w:lineRule="auto"/>
        <w:rPr>
          <w:rFonts w:ascii="Calibri" w:hAnsi="Calibri" w:cs="Calibri"/>
          <w:shd w:val="clear" w:color="auto" w:fill="FFFFFF"/>
        </w:rPr>
      </w:pPr>
    </w:p>
    <w:p w14:paraId="270F7AF4" w14:textId="77777777" w:rsidR="00BD445F" w:rsidRPr="00DD7BD1" w:rsidRDefault="00BD445F" w:rsidP="00BD445F">
      <w:pPr>
        <w:spacing w:after="0" w:line="240" w:lineRule="auto"/>
        <w:jc w:val="center"/>
        <w:rPr>
          <w:rFonts w:ascii="Calibri" w:hAnsi="Calibri" w:cs="Calibri"/>
          <w:sz w:val="28"/>
          <w:szCs w:val="28"/>
          <w:shd w:val="clear" w:color="auto" w:fill="FFFFFF"/>
        </w:rPr>
      </w:pPr>
      <w:r w:rsidRPr="00DD7BD1">
        <w:rPr>
          <w:rFonts w:ascii="Calibri" w:hAnsi="Calibri" w:cs="Calibri"/>
          <w:b/>
          <w:bCs/>
          <w:sz w:val="28"/>
          <w:szCs w:val="28"/>
          <w:shd w:val="clear" w:color="auto" w:fill="FFFFFF"/>
          <w:lang w:val="en"/>
        </w:rPr>
        <w:t xml:space="preserve">State Establishes a Warehouse Worker Injury Reduction Program Act – </w:t>
      </w:r>
      <w:r w:rsidRPr="00DD7BD1">
        <w:rPr>
          <w:rFonts w:ascii="Calibri" w:hAnsi="Calibri" w:cs="Calibri"/>
          <w:b/>
          <w:bCs/>
          <w:color w:val="C00000"/>
          <w:sz w:val="28"/>
          <w:szCs w:val="28"/>
          <w:shd w:val="clear" w:color="auto" w:fill="FFFFFF"/>
          <w:lang w:val="en"/>
        </w:rPr>
        <w:t>June 1, 2025</w:t>
      </w:r>
    </w:p>
    <w:p w14:paraId="17EC9D7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Dec. 21, 2024, New York amended its </w:t>
      </w:r>
      <w:hyperlink r:id="rId974"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new amendment goes into effect on June 1, 2025.  </w:t>
      </w:r>
    </w:p>
    <w:p w14:paraId="16C119B7" w14:textId="77777777" w:rsidR="00BD445F" w:rsidRPr="00DD7BD1" w:rsidRDefault="00BD445F" w:rsidP="00BD445F">
      <w:pPr>
        <w:spacing w:after="0" w:line="240" w:lineRule="auto"/>
        <w:rPr>
          <w:rFonts w:ascii="Calibri" w:hAnsi="Calibri" w:cs="Calibri"/>
          <w:b/>
          <w:sz w:val="16"/>
          <w:szCs w:val="16"/>
          <w:shd w:val="clear" w:color="auto" w:fill="FFFFFF"/>
        </w:rPr>
      </w:pPr>
    </w:p>
    <w:p w14:paraId="09044E23" w14:textId="77777777" w:rsidR="00BD445F" w:rsidRPr="00DD7BD1" w:rsidRDefault="00BD445F" w:rsidP="00BD445F">
      <w:pPr>
        <w:spacing w:after="0" w:line="240" w:lineRule="auto"/>
        <w:rPr>
          <w:rFonts w:ascii="Calibri" w:hAnsi="Calibri" w:cs="Calibri"/>
          <w:b/>
          <w:shd w:val="clear" w:color="auto" w:fill="FFFFFF"/>
        </w:rPr>
      </w:pPr>
      <w:r w:rsidRPr="00DD7BD1">
        <w:rPr>
          <w:rFonts w:ascii="Calibri" w:hAnsi="Calibri" w:cs="Calibri"/>
          <w:b/>
          <w:shd w:val="clear" w:color="auto" w:fill="FFFFFF"/>
        </w:rPr>
        <w:t>Affected Employers</w:t>
      </w:r>
    </w:p>
    <w:p w14:paraId="053641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0D70FD81"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100 or more employees at a single warehouse distribution center; or</w:t>
      </w:r>
    </w:p>
    <w:p w14:paraId="42B9F084"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724CC9B2"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DD7BD1" w:rsidRDefault="00BD445F" w:rsidP="00BD445F">
      <w:pPr>
        <w:spacing w:after="0" w:line="240" w:lineRule="auto"/>
        <w:ind w:left="270"/>
        <w:rPr>
          <w:rFonts w:ascii="Calibri" w:hAnsi="Calibri" w:cs="Calibri"/>
          <w:b/>
          <w:sz w:val="16"/>
          <w:szCs w:val="16"/>
          <w:shd w:val="clear" w:color="auto" w:fill="FFFFFF"/>
        </w:rPr>
      </w:pPr>
    </w:p>
    <w:p w14:paraId="42C87838"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Feb. 19, 2025 - </w:t>
      </w:r>
      <w:r w:rsidRPr="00DD7BD1">
        <w:rPr>
          <w:rFonts w:ascii="Calibri" w:hAnsi="Calibri" w:cs="Calibri"/>
          <w:shd w:val="clear" w:color="auto" w:fill="FFFFFF"/>
        </w:rPr>
        <w:t>The commissioner must form a task force and adopt standards and processes for certifying qualified ergonomists.</w:t>
      </w:r>
    </w:p>
    <w:p w14:paraId="1FB8D669"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 2025 - </w:t>
      </w:r>
      <w:r w:rsidRPr="00DD7BD1">
        <w:rPr>
          <w:rFonts w:ascii="Calibri" w:hAnsi="Calibri" w:cs="Calibri"/>
          <w:shd w:val="clear" w:color="auto" w:fill="FFFFFF"/>
        </w:rPr>
        <w:t>The WWPA amendments go into effect.</w:t>
      </w:r>
    </w:p>
    <w:p w14:paraId="11063A5C"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19, 2025  - </w:t>
      </w:r>
      <w:r w:rsidRPr="00DD7BD1">
        <w:rPr>
          <w:rFonts w:ascii="Calibri" w:hAnsi="Calibri" w:cs="Calibri"/>
          <w:shd w:val="clear" w:color="auto" w:fill="FFFFFF"/>
        </w:rPr>
        <w:t>Employers must conduct an initial workplace evaluation.</w:t>
      </w:r>
    </w:p>
    <w:p w14:paraId="36F9A873" w14:textId="77777777" w:rsidR="00BD445F" w:rsidRPr="00DD7BD1" w:rsidRDefault="00BD445F" w:rsidP="00BD445F">
      <w:pPr>
        <w:spacing w:after="0" w:line="240" w:lineRule="auto"/>
        <w:rPr>
          <w:rFonts w:ascii="Calibri" w:hAnsi="Calibri" w:cs="Calibri"/>
          <w:b/>
          <w:sz w:val="16"/>
          <w:szCs w:val="16"/>
          <w:highlight w:val="darkGray"/>
          <w:shd w:val="clear" w:color="auto" w:fill="FFFFFF"/>
        </w:rPr>
      </w:pPr>
    </w:p>
    <w:p w14:paraId="22C01321"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highlight w:val="darkGray"/>
          <w:shd w:val="clear" w:color="auto" w:fill="FFFFFF"/>
        </w:rPr>
        <w:t>Employer Takeaway:</w:t>
      </w:r>
      <w:r w:rsidRPr="00DD7BD1">
        <w:rPr>
          <w:rFonts w:ascii="Calibri" w:hAnsi="Calibri" w:cs="Calibri"/>
          <w:b/>
          <w:shd w:val="clear" w:color="auto" w:fill="FFFFFF"/>
        </w:rPr>
        <w:t xml:space="preserve"> </w:t>
      </w:r>
      <w:r w:rsidRPr="00DD7BD1">
        <w:rPr>
          <w:rFonts w:ascii="Calibri" w:hAnsi="Calibri" w:cs="Calibri"/>
          <w:shd w:val="clear" w:color="auto" w:fill="FFFFFF"/>
        </w:rPr>
        <w:t>Affected employers should review the amended WWPA rules and ensure the new requirements are implemented by the specified effective dates.</w:t>
      </w:r>
    </w:p>
    <w:p w14:paraId="48B60278" w14:textId="77777777" w:rsidR="00BD445F" w:rsidRPr="00DD7BD1" w:rsidRDefault="00BD445F" w:rsidP="00BD445F">
      <w:pPr>
        <w:spacing w:after="0" w:line="240" w:lineRule="auto"/>
        <w:rPr>
          <w:rFonts w:ascii="Calibri" w:hAnsi="Calibri" w:cs="Calibri"/>
          <w:shd w:val="clear" w:color="auto" w:fill="FFFFFF"/>
        </w:rPr>
      </w:pPr>
    </w:p>
    <w:p w14:paraId="647911DE"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bookmarkStart w:id="127" w:name="_Hlk186728558"/>
      <w:r w:rsidRPr="00DD7BD1">
        <w:rPr>
          <w:rFonts w:ascii="Calibri" w:hAnsi="Calibri" w:cs="Calibri"/>
          <w:b/>
          <w:bCs/>
          <w:sz w:val="28"/>
          <w:szCs w:val="28"/>
          <w:shd w:val="clear" w:color="auto" w:fill="FFFFFF"/>
          <w:lang w:val="en"/>
        </w:rPr>
        <w:t xml:space="preserve">State Publishes FAQs for New Paid Prenatal Leave Requirement </w:t>
      </w:r>
      <w:bookmarkEnd w:id="127"/>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2025</w:t>
      </w:r>
    </w:p>
    <w:p w14:paraId="1E720F60" w14:textId="02756B7B" w:rsidR="00360D1C" w:rsidRPr="00DD7BD1" w:rsidRDefault="00360D1C" w:rsidP="00360D1C">
      <w:pPr>
        <w:rPr>
          <w:rFonts w:ascii="Calibri" w:hAnsi="Calibri" w:cs="Calibri"/>
          <w:bCs/>
        </w:rPr>
      </w:pPr>
      <w:r w:rsidRPr="00DD7BD1">
        <w:rPr>
          <w:rFonts w:ascii="Calibri" w:hAnsi="Calibri" w:cs="Calibri"/>
          <w:bCs/>
        </w:rPr>
        <w:t xml:space="preserve">New York has published </w:t>
      </w:r>
      <w:hyperlink r:id="rId975" w:history="1">
        <w:r w:rsidRPr="00DD7BD1">
          <w:rPr>
            <w:rStyle w:val="Hyperlink"/>
            <w:rFonts w:ascii="Calibri" w:hAnsi="Calibri" w:cs="Calibri"/>
            <w:bCs/>
          </w:rPr>
          <w:t>answers to frequently asked questions</w:t>
        </w:r>
      </w:hyperlink>
      <w:r w:rsidRPr="00DD7BD1">
        <w:rPr>
          <w:rFonts w:ascii="Calibri" w:hAnsi="Calibri" w:cs="Calibri"/>
          <w:bCs/>
        </w:rPr>
        <w:t xml:space="preserve"> (FAQs) on its webpage for the state’s new paid prenatal leave mandate, which takes effect Jan. 1, 2025. There are 28 FAQs in all, providing clarity about the requirement. As a reminder, employers must provide 20 hours of paid </w:t>
      </w:r>
      <w:proofErr w:type="gramStart"/>
      <w:r w:rsidRPr="00DD7BD1">
        <w:rPr>
          <w:rFonts w:ascii="Calibri" w:hAnsi="Calibri" w:cs="Calibri"/>
          <w:bCs/>
        </w:rPr>
        <w:t>prenatal leave</w:t>
      </w:r>
      <w:proofErr w:type="gramEnd"/>
      <w:r w:rsidRPr="00DD7BD1">
        <w:rPr>
          <w:rFonts w:ascii="Calibri" w:hAnsi="Calibri" w:cs="Calibri"/>
          <w:bCs/>
        </w:rPr>
        <w:t xml:space="preserve"> for use on Jan. 1, 2025</w:t>
      </w:r>
    </w:p>
    <w:p w14:paraId="3398581E" w14:textId="1D74A1DB" w:rsidR="00A33FCC" w:rsidRPr="00DD7BD1" w:rsidRDefault="00A33FCC" w:rsidP="00A33FCC">
      <w:pPr>
        <w:spacing w:after="0" w:line="240" w:lineRule="auto"/>
        <w:jc w:val="center"/>
        <w:rPr>
          <w:rFonts w:ascii="Calibri" w:hAnsi="Calibri" w:cs="Calibri"/>
          <w:shd w:val="clear" w:color="auto" w:fill="FFFFFF"/>
        </w:rPr>
      </w:pPr>
      <w:bookmarkStart w:id="128" w:name="_Hlk212723511"/>
      <w:r w:rsidRPr="00DD7BD1">
        <w:rPr>
          <w:rFonts w:ascii="Calibri" w:hAnsi="Calibri" w:cs="Calibri"/>
          <w:b/>
          <w:bCs/>
          <w:sz w:val="28"/>
          <w:szCs w:val="28"/>
          <w:shd w:val="clear" w:color="auto" w:fill="FFFFFF"/>
          <w:lang w:val="en"/>
        </w:rPr>
        <w:t xml:space="preserve">Clean Slate Act (Expanded Criminal History Protections)– </w:t>
      </w:r>
      <w:r w:rsidRPr="00DD7BD1">
        <w:rPr>
          <w:rFonts w:ascii="Calibri" w:hAnsi="Calibri" w:cs="Calibri"/>
          <w:b/>
          <w:bCs/>
          <w:color w:val="C00000"/>
          <w:sz w:val="28"/>
          <w:szCs w:val="28"/>
          <w:shd w:val="clear" w:color="auto" w:fill="FFFFFF"/>
          <w:lang w:val="en"/>
        </w:rPr>
        <w:t>Nov 16, 2024</w:t>
      </w:r>
    </w:p>
    <w:p w14:paraId="7679335D"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22"/>
          <w:szCs w:val="22"/>
          <w:shd w:val="clear" w:color="auto" w:fill="FFFFFF"/>
        </w:rPr>
      </w:pPr>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7DE15546" w14:textId="77777777" w:rsidR="00A33FCC" w:rsidRPr="00DD7BD1" w:rsidRDefault="00A33FCC" w:rsidP="00A33FCC">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4891678C" w14:textId="77777777" w:rsidR="00A33FCC" w:rsidRPr="00DD7BD1" w:rsidRDefault="00A33FCC" w:rsidP="00A33FCC">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0D3E4F49"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2A746CC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4F7EC0A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4CB27C4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7656519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6884BE42"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4783D101"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26F5E3D7"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employer’s interest in protecting its property and the safety and welfare of specific individuals or the </w:t>
      </w:r>
      <w:proofErr w:type="gramStart"/>
      <w:r w:rsidRPr="00DD7BD1">
        <w:rPr>
          <w:rFonts w:ascii="Calibri" w:eastAsia="Times New Roman" w:hAnsi="Calibri" w:cs="Calibri"/>
        </w:rPr>
        <w:t>general public</w:t>
      </w:r>
      <w:proofErr w:type="gramEnd"/>
      <w:r w:rsidRPr="00DD7BD1">
        <w:rPr>
          <w:rFonts w:ascii="Calibri" w:eastAsia="Times New Roman" w:hAnsi="Calibri" w:cs="Calibri"/>
        </w:rPr>
        <w:t>.</w:t>
      </w:r>
    </w:p>
    <w:p w14:paraId="423265BA" w14:textId="77777777" w:rsidR="00A33FCC" w:rsidRPr="00DD7BD1" w:rsidRDefault="00A33FCC" w:rsidP="00A33FCC">
      <w:pPr>
        <w:shd w:val="clear" w:color="auto" w:fill="FFFFFF"/>
        <w:spacing w:after="0" w:line="240" w:lineRule="auto"/>
        <w:ind w:left="720"/>
        <w:rPr>
          <w:rStyle w:val="Strong"/>
          <w:rFonts w:ascii="Calibri" w:eastAsia="Times New Roman" w:hAnsi="Calibri" w:cs="Calibri"/>
          <w:b w:val="0"/>
          <w:bCs w:val="0"/>
        </w:rPr>
      </w:pPr>
    </w:p>
    <w:p w14:paraId="22757A5F" w14:textId="77777777" w:rsidR="00A33FCC" w:rsidRPr="00DD7BD1" w:rsidRDefault="00A33FCC" w:rsidP="00A33FCC">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0FE45446" w14:textId="77777777" w:rsidR="00A33FCC" w:rsidRPr="00DD7BD1" w:rsidRDefault="00A33FCC" w:rsidP="00A33FCC">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DD7BD1" w:rsidRDefault="00A33FCC" w:rsidP="00A33FCC">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DD7BD1">
        <w:rPr>
          <w:rFonts w:ascii="Calibri" w:hAnsi="Calibri" w:cs="Calibri"/>
          <w:sz w:val="22"/>
          <w:szCs w:val="22"/>
        </w:rPr>
        <w:t>decision making</w:t>
      </w:r>
      <w:proofErr w:type="gramEnd"/>
      <w:r w:rsidRPr="00DD7BD1">
        <w:rPr>
          <w:rFonts w:ascii="Calibri" w:hAnsi="Calibri" w:cs="Calibri"/>
          <w:sz w:val="22"/>
          <w:szCs w:val="22"/>
        </w:rPr>
        <w:t xml:space="preserve"> process out of employers’ hands because older historic information will be unavailable.</w:t>
      </w:r>
    </w:p>
    <w:bookmarkEnd w:id="128"/>
    <w:p w14:paraId="42C25088" w14:textId="77777777" w:rsidR="00A33FCC" w:rsidRPr="00DD7BD1" w:rsidRDefault="00A33FCC" w:rsidP="00A33FCC">
      <w:pPr>
        <w:spacing w:after="0" w:line="240" w:lineRule="auto"/>
        <w:jc w:val="center"/>
        <w:rPr>
          <w:rFonts w:ascii="Calibri" w:hAnsi="Calibri" w:cs="Calibri"/>
          <w:b/>
          <w:bCs/>
          <w:shd w:val="clear" w:color="auto" w:fill="FFFFFF"/>
          <w:lang w:val="en"/>
        </w:rPr>
      </w:pPr>
    </w:p>
    <w:p w14:paraId="58AC6EEB" w14:textId="1647277B" w:rsidR="00A33FCC" w:rsidRPr="00DD7BD1" w:rsidRDefault="00A33FCC" w:rsidP="00A33FCC">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NY </w:t>
      </w:r>
      <w:r w:rsidRPr="00DD7BD1">
        <w:rPr>
          <w:rFonts w:ascii="Calibri" w:hAnsi="Calibri" w:cs="Calibri"/>
          <w:b/>
          <w:bCs/>
          <w:sz w:val="28"/>
          <w:szCs w:val="28"/>
          <w:shd w:val="clear" w:color="auto" w:fill="FFFFFF"/>
        </w:rPr>
        <w:t xml:space="preserve">Expands Protections for National Guard Service – </w:t>
      </w:r>
      <w:r w:rsidRPr="00DD7BD1">
        <w:rPr>
          <w:rFonts w:ascii="Calibri" w:hAnsi="Calibri" w:cs="Calibri"/>
          <w:b/>
          <w:bCs/>
          <w:color w:val="C00000"/>
          <w:sz w:val="28"/>
          <w:szCs w:val="28"/>
          <w:shd w:val="clear" w:color="auto" w:fill="FFFFFF"/>
        </w:rPr>
        <w:t>Sept 27, 2024</w:t>
      </w:r>
    </w:p>
    <w:p w14:paraId="6A28055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New York now provides employment protections for employees who have been away from work on state active duty with the National Guard pursuant to a call of the governor of New York </w:t>
      </w:r>
      <w:r w:rsidRPr="00DD7BD1">
        <w:rPr>
          <w:rFonts w:ascii="Calibri" w:hAnsi="Calibri" w:cs="Calibri"/>
          <w:i/>
          <w:iCs/>
          <w:shd w:val="clear" w:color="auto" w:fill="FFFFFF"/>
        </w:rPr>
        <w:t>or any other state</w:t>
      </w:r>
      <w:r w:rsidRPr="00DD7BD1">
        <w:rPr>
          <w:rFonts w:ascii="Calibri" w:hAnsi="Calibri" w:cs="Calibri"/>
          <w:shd w:val="clear" w:color="auto" w:fill="FFFFFF"/>
        </w:rPr>
        <w:t xml:space="preserve">. This law </w:t>
      </w:r>
      <w:hyperlink r:id="rId976" w:tgtFrame="_blank" w:history="1">
        <w:r w:rsidRPr="00DD7BD1">
          <w:rPr>
            <w:rStyle w:val="Hyperlink"/>
            <w:rFonts w:ascii="Calibri" w:hAnsi="Calibri" w:cs="Calibri"/>
            <w:shd w:val="clear" w:color="auto" w:fill="FFFFFF"/>
          </w:rPr>
          <w:t>NY 3710</w:t>
        </w:r>
      </w:hyperlink>
      <w:r w:rsidRPr="00DD7BD1">
        <w:rPr>
          <w:rFonts w:ascii="Calibri" w:hAnsi="Calibri" w:cs="Calibri"/>
          <w:shd w:val="clear" w:color="auto" w:fill="FFFFFF"/>
        </w:rPr>
        <w:t>  took effect immediately upon signing on September 27, 2024, and applies to employers of all sizes.</w:t>
      </w:r>
    </w:p>
    <w:p w14:paraId="1C61978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highlight w:val="lightGray"/>
          <w:shd w:val="clear" w:color="auto" w:fill="FFFFFF"/>
        </w:rPr>
        <w:t>Employer Takeaway:</w:t>
      </w:r>
      <w:r w:rsidRPr="00DD7BD1">
        <w:rPr>
          <w:rFonts w:ascii="Calibri" w:hAnsi="Calibri" w:cs="Calibri"/>
          <w:shd w:val="clear" w:color="auto" w:fill="FFFFFF"/>
        </w:rPr>
        <w:t xml:space="preserve"> If your handbook policy related to protected military and National Guard leave is not already expansive enough to cover this type of use, update it as needed.</w:t>
      </w:r>
    </w:p>
    <w:p w14:paraId="6A00C837" w14:textId="77777777" w:rsidR="003B29FD" w:rsidRPr="00DD7BD1" w:rsidRDefault="003B29FD" w:rsidP="00A33FCC">
      <w:pPr>
        <w:spacing w:after="0" w:line="240" w:lineRule="auto"/>
        <w:jc w:val="center"/>
        <w:rPr>
          <w:rFonts w:ascii="Calibri" w:hAnsi="Calibri" w:cs="Calibri"/>
          <w:b/>
          <w:bCs/>
          <w:color w:val="C00000"/>
          <w:shd w:val="clear" w:color="auto" w:fill="FFFFFF"/>
          <w:lang w:val="en"/>
        </w:rPr>
      </w:pPr>
    </w:p>
    <w:p w14:paraId="55A5BA96" w14:textId="610077CC" w:rsidR="00A33FCC" w:rsidRPr="00DD7BD1" w:rsidRDefault="00A33FCC" w:rsidP="00A33F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New </w:t>
      </w:r>
      <w:r w:rsidRPr="00DD7BD1">
        <w:rPr>
          <w:rFonts w:ascii="Calibri" w:hAnsi="Calibri" w:cs="Calibri"/>
          <w:b/>
          <w:bCs/>
          <w:sz w:val="28"/>
          <w:szCs w:val="28"/>
          <w:shd w:val="clear" w:color="auto" w:fill="FFFFFF"/>
        </w:rPr>
        <w:t>York PFL Contribution and Benefit Rates to Increase in 2025</w:t>
      </w:r>
    </w:p>
    <w:p w14:paraId="51F3E38F" w14:textId="77777777" w:rsidR="00A33FCC" w:rsidRPr="00DD7BD1" w:rsidRDefault="00A33FCC" w:rsidP="00A33FCC">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New York state has published paid family leave (PFL) updates for 2025 on </w:t>
      </w:r>
      <w:r w:rsidRPr="00DD7BD1">
        <w:rPr>
          <w:rFonts w:ascii="Calibri" w:hAnsi="Calibri" w:cs="Calibri"/>
          <w:color w:val="C00000"/>
          <w:shd w:val="clear" w:color="auto" w:fill="FFFFFF"/>
        </w:rPr>
        <w:t xml:space="preserve">its </w:t>
      </w:r>
      <w:hyperlink r:id="rId977" w:history="1">
        <w:r w:rsidRPr="00DD7BD1">
          <w:rPr>
            <w:rStyle w:val="Hyperlink"/>
            <w:rFonts w:ascii="Calibri" w:hAnsi="Calibri" w:cs="Calibri"/>
            <w:shd w:val="clear" w:color="auto" w:fill="FFFFFF"/>
          </w:rPr>
          <w:t>website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weekly employee benefit  for New York state PFL leave will be capped at $1,177.32 in 2025, an increase from 2024. </w:t>
      </w:r>
    </w:p>
    <w:p w14:paraId="519ED8A8"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2025 employee contribution rate for PFL will be 0.388% of gross wages, also increased from 2024.</w:t>
      </w:r>
    </w:p>
    <w:p w14:paraId="55EA8BC2"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maximum annual employee contribution for PFL in 2025 will be $354.53.</w:t>
      </w:r>
    </w:p>
    <w:p w14:paraId="22006C71"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Recap:</w:t>
      </w:r>
    </w:p>
    <w:p w14:paraId="054CF229"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York’s </w:t>
      </w:r>
      <w:hyperlink r:id="rId978" w:history="1">
        <w:r w:rsidRPr="00DD7BD1">
          <w:rPr>
            <w:rStyle w:val="Hyperlink"/>
            <w:rFonts w:ascii="Calibri" w:hAnsi="Calibri" w:cs="Calibri"/>
            <w:shd w:val="clear" w:color="auto" w:fill="FFFFFF"/>
          </w:rPr>
          <w:t>PFL law</w:t>
        </w:r>
      </w:hyperlink>
      <w:r w:rsidRPr="00DD7BD1">
        <w:rPr>
          <w:rFonts w:ascii="Calibri" w:hAnsi="Calibri" w:cs="Calibri"/>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Caring for a family member with a serious health condition;</w:t>
      </w:r>
    </w:p>
    <w:p w14:paraId="45424F39"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 xml:space="preserve">Birth, adoption or fostering of a child; </w:t>
      </w:r>
    </w:p>
    <w:p w14:paraId="1BE62170"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A spouse’s, domestic partner’s, child’s or parent’s active military duty or impending active military duty; or</w:t>
      </w:r>
    </w:p>
    <w:p w14:paraId="669D9675"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Certain COVID-19-related reasons.</w:t>
      </w:r>
    </w:p>
    <w:p w14:paraId="46A1FF5D" w14:textId="77777777" w:rsidR="00A33FCC" w:rsidRPr="00DD7BD1" w:rsidRDefault="00A33FCC" w:rsidP="00A33FCC">
      <w:pPr>
        <w:pStyle w:val="ListParagraph"/>
        <w:spacing w:after="0" w:line="240" w:lineRule="auto"/>
        <w:ind w:left="0"/>
        <w:rPr>
          <w:rFonts w:ascii="Calibri" w:hAnsi="Calibri" w:cs="Calibri"/>
          <w:shd w:val="clear" w:color="auto" w:fill="FFFFFF"/>
        </w:rPr>
      </w:pPr>
      <w:r w:rsidRPr="00DD7BD1">
        <w:rPr>
          <w:rFonts w:ascii="Calibri" w:hAnsi="Calibri" w:cs="Calibri"/>
          <w:shd w:val="clear" w:color="auto" w:fill="FFFFFF"/>
        </w:rPr>
        <w:br/>
        <w:t xml:space="preserve">“Family member” is defined expansively and includes siblings. </w:t>
      </w:r>
    </w:p>
    <w:p w14:paraId="2144358B" w14:textId="77777777" w:rsidR="00221F05" w:rsidRPr="00DD7BD1" w:rsidRDefault="00221F05" w:rsidP="00A33FCC">
      <w:pPr>
        <w:spacing w:after="0" w:line="240" w:lineRule="auto"/>
        <w:jc w:val="both"/>
        <w:rPr>
          <w:rFonts w:ascii="Calibri" w:hAnsi="Calibri" w:cs="Calibri"/>
          <w:color w:val="2E74B5" w:themeColor="accent5" w:themeShade="BF"/>
          <w:shd w:val="clear" w:color="auto" w:fill="FFFFFF"/>
          <w:lang w:val="en"/>
        </w:rPr>
      </w:pPr>
    </w:p>
    <w:p w14:paraId="232A0922" w14:textId="7AC3EF5F" w:rsidR="00837139" w:rsidRPr="00DD7BD1" w:rsidRDefault="00837139" w:rsidP="00CC231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Retail Workplace Violence Prevention Law – </w:t>
      </w:r>
      <w:r w:rsidRPr="00DD7BD1">
        <w:rPr>
          <w:rFonts w:ascii="Calibri" w:hAnsi="Calibri" w:cs="Calibri"/>
          <w:b/>
          <w:bCs/>
          <w:color w:val="C00000"/>
          <w:sz w:val="28"/>
          <w:szCs w:val="28"/>
          <w:shd w:val="clear" w:color="auto" w:fill="FFFFFF"/>
          <w:lang w:val="en"/>
        </w:rPr>
        <w:t>March 25 &amp; Jan 2027</w:t>
      </w:r>
    </w:p>
    <w:p w14:paraId="1EAD2C67" w14:textId="77777777" w:rsidR="00837139" w:rsidRPr="00DD7BD1" w:rsidRDefault="00837139" w:rsidP="00837139">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979"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980"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DD7BD1" w:rsidRDefault="00837139" w:rsidP="00837139">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68877F17"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31237A6F"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391CCF70" w14:textId="77777777" w:rsidR="00837139" w:rsidRPr="00DD7BD1" w:rsidRDefault="00837139" w:rsidP="00837139">
      <w:pPr>
        <w:spacing w:after="0" w:line="240" w:lineRule="auto"/>
        <w:jc w:val="both"/>
        <w:rPr>
          <w:rFonts w:ascii="Calibri" w:hAnsi="Calibri" w:cs="Calibri"/>
          <w:shd w:val="clear" w:color="auto" w:fill="FFFFFF"/>
        </w:rPr>
      </w:pPr>
    </w:p>
    <w:p w14:paraId="214ED0BC" w14:textId="77777777" w:rsidR="00837139" w:rsidRPr="00DD7BD1" w:rsidRDefault="00837139" w:rsidP="00837139">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67AA75FD"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117D65DF"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7DC41B4B" w14:textId="77777777" w:rsidR="00837139" w:rsidRPr="00DD7BD1" w:rsidRDefault="00837139" w:rsidP="00837139">
      <w:pPr>
        <w:spacing w:after="0" w:line="240" w:lineRule="auto"/>
        <w:jc w:val="both"/>
        <w:rPr>
          <w:rFonts w:ascii="Calibri" w:hAnsi="Calibri" w:cs="Calibri"/>
          <w:shd w:val="clear" w:color="auto" w:fill="FFFFFF"/>
          <w:lang w:val="en"/>
        </w:rPr>
      </w:pPr>
    </w:p>
    <w:p w14:paraId="67580CF9"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xml:space="preserve">. Retail employers that have a current workplace </w:t>
      </w:r>
      <w:r w:rsidRPr="00DD7BD1">
        <w:rPr>
          <w:rFonts w:ascii="Calibri" w:hAnsi="Calibri" w:cs="Calibri"/>
          <w:shd w:val="clear" w:color="auto" w:fill="FFFFFF"/>
        </w:rPr>
        <w:lastRenderedPageBreak/>
        <w:t>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DD7BD1" w:rsidRDefault="00837139" w:rsidP="004B7569">
      <w:pPr>
        <w:pStyle w:val="Heading1"/>
        <w:shd w:val="clear" w:color="auto" w:fill="FFFFFF"/>
        <w:spacing w:before="0" w:beforeAutospacing="0" w:after="0" w:afterAutospacing="0"/>
        <w:jc w:val="center"/>
        <w:rPr>
          <w:rFonts w:ascii="Calibri" w:hAnsi="Calibri" w:cs="Calibri"/>
          <w:sz w:val="22"/>
          <w:szCs w:val="22"/>
        </w:rPr>
      </w:pPr>
    </w:p>
    <w:p w14:paraId="1F46F7E5" w14:textId="4B183F56" w:rsidR="004B7569" w:rsidRPr="00DD7BD1" w:rsidRDefault="004B7569" w:rsidP="004B756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New York Requires</w:t>
      </w:r>
      <w:r w:rsidRPr="00DD7BD1">
        <w:rPr>
          <w:rFonts w:ascii="Calibri" w:hAnsi="Calibri" w:cs="Calibri"/>
          <w:sz w:val="28"/>
          <w:szCs w:val="28"/>
          <w:u w:val="single"/>
        </w:rPr>
        <w:t xml:space="preserve"> Paid</w:t>
      </w:r>
      <w:r w:rsidRPr="00DD7BD1">
        <w:rPr>
          <w:rFonts w:ascii="Calibri" w:hAnsi="Calibri" w:cs="Calibri"/>
          <w:sz w:val="28"/>
          <w:szCs w:val="28"/>
        </w:rPr>
        <w:t xml:space="preserve"> Lactation Breaks - June 19</w:t>
      </w:r>
    </w:p>
    <w:p w14:paraId="00A0CD7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Paid Lactation Breaks</w:t>
      </w:r>
    </w:p>
    <w:p w14:paraId="33F6BCFF"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Effective </w:t>
      </w:r>
      <w:hyperlink r:id="rId981" w:tgtFrame="_blank" w:history="1">
        <w:r w:rsidRPr="00DD7BD1">
          <w:rPr>
            <w:rStyle w:val="Hyperlink"/>
            <w:rFonts w:ascii="Calibri" w:eastAsiaTheme="majorEastAsia" w:hAnsi="Calibri" w:cs="Calibri"/>
            <w:sz w:val="22"/>
            <w:szCs w:val="22"/>
          </w:rPr>
          <w:t>June 19, 2024</w:t>
        </w:r>
      </w:hyperlink>
      <w:r w:rsidRPr="00DD7BD1">
        <w:rPr>
          <w:rFonts w:ascii="Calibri" w:hAnsi="Calibri" w:cs="Calibri"/>
          <w:color w:val="333333"/>
          <w:sz w:val="22"/>
          <w:szCs w:val="22"/>
        </w:rPr>
        <w:t xml:space="preserve">, </w:t>
      </w:r>
      <w:r w:rsidRPr="00DD7BD1">
        <w:rPr>
          <w:rFonts w:ascii="Calibri" w:hAnsi="Calibri" w:cs="Calibri"/>
          <w:sz w:val="22"/>
          <w:szCs w:val="22"/>
        </w:rPr>
        <w:t>all private sector employers (</w:t>
      </w:r>
      <w:r w:rsidRPr="00DD7BD1">
        <w:rPr>
          <w:rFonts w:ascii="Calibri" w:hAnsi="Calibri" w:cs="Calibri"/>
          <w:sz w:val="22"/>
          <w:szCs w:val="22"/>
          <w:u w:val="single"/>
        </w:rPr>
        <w:t>regardless of size</w:t>
      </w:r>
      <w:r w:rsidRPr="00DD7BD1">
        <w:rPr>
          <w:rFonts w:ascii="Calibri" w:hAnsi="Calibri" w:cs="Calibri"/>
          <w:sz w:val="22"/>
          <w:szCs w:val="22"/>
        </w:rPr>
        <w:t>) will be required to provide 30 minutes of </w:t>
      </w:r>
      <w:r w:rsidRPr="00DD7BD1">
        <w:rPr>
          <w:rStyle w:val="Emphasis"/>
          <w:rFonts w:ascii="Calibri" w:hAnsi="Calibri" w:cs="Calibri"/>
          <w:b/>
          <w:bCs/>
          <w:sz w:val="22"/>
          <w:szCs w:val="22"/>
        </w:rPr>
        <w:t>paid </w:t>
      </w:r>
      <w:r w:rsidRPr="00DD7BD1">
        <w:rPr>
          <w:rFonts w:ascii="Calibri" w:hAnsi="Calibri" w:cs="Calibri"/>
          <w:sz w:val="22"/>
          <w:szCs w:val="22"/>
        </w:rPr>
        <w:t xml:space="preserve">break time to employees who need to express breast milk for a nursing child at work. Employees must also be allowed to use any existing paid break or </w:t>
      </w:r>
      <w:proofErr w:type="gramStart"/>
      <w:r w:rsidRPr="00DD7BD1">
        <w:rPr>
          <w:rFonts w:ascii="Calibri" w:hAnsi="Calibri" w:cs="Calibri"/>
          <w:sz w:val="22"/>
          <w:szCs w:val="22"/>
        </w:rPr>
        <w:t>meal time</w:t>
      </w:r>
      <w:proofErr w:type="gramEnd"/>
      <w:r w:rsidRPr="00DD7BD1">
        <w:rPr>
          <w:rFonts w:ascii="Calibri" w:hAnsi="Calibri" w:cs="Calibri"/>
          <w:sz w:val="22"/>
          <w:szCs w:val="22"/>
        </w:rPr>
        <w:t xml:space="preserve"> for breast milk expression </w:t>
      </w:r>
      <w:proofErr w:type="gramStart"/>
      <w:r w:rsidRPr="00DD7BD1">
        <w:rPr>
          <w:rFonts w:ascii="Calibri" w:hAnsi="Calibri" w:cs="Calibri"/>
          <w:sz w:val="22"/>
          <w:szCs w:val="22"/>
        </w:rPr>
        <w:t>in excess of</w:t>
      </w:r>
      <w:proofErr w:type="gramEnd"/>
      <w:r w:rsidRPr="00DD7BD1">
        <w:rPr>
          <w:rFonts w:ascii="Calibri" w:hAnsi="Calibri" w:cs="Calibri"/>
          <w:sz w:val="22"/>
          <w:szCs w:val="22"/>
        </w:rPr>
        <w:t xml:space="preserve"> 30 minutes. The law does not explicitly cap the number of paid </w:t>
      </w:r>
      <w:proofErr w:type="gramStart"/>
      <w:r w:rsidRPr="00DD7BD1">
        <w:rPr>
          <w:rFonts w:ascii="Calibri" w:hAnsi="Calibri" w:cs="Calibri"/>
          <w:sz w:val="22"/>
          <w:szCs w:val="22"/>
        </w:rPr>
        <w:t>lactation</w:t>
      </w:r>
      <w:proofErr w:type="gramEnd"/>
      <w:r w:rsidRPr="00DD7BD1">
        <w:rPr>
          <w:rFonts w:ascii="Calibri" w:hAnsi="Calibri" w:cs="Calibri"/>
          <w:sz w:val="22"/>
          <w:szCs w:val="22"/>
        </w:rPr>
        <w:t xml:space="preserve">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DD7BD1" w:rsidRDefault="004B7569" w:rsidP="004B7569">
      <w:pPr>
        <w:pStyle w:val="Heading1"/>
        <w:shd w:val="clear" w:color="auto" w:fill="FFFFFF"/>
        <w:spacing w:before="0" w:beforeAutospacing="0" w:after="0" w:afterAutospacing="0" w:line="264" w:lineRule="atLeast"/>
        <w:rPr>
          <w:rFonts w:ascii="Calibri" w:hAnsi="Calibri" w:cs="Calibri"/>
          <w:sz w:val="20"/>
          <w:szCs w:val="20"/>
          <w:shd w:val="clear" w:color="auto" w:fill="FFFFFF"/>
          <w:lang w:val="en"/>
        </w:rPr>
      </w:pPr>
    </w:p>
    <w:p w14:paraId="23DE5AE3" w14:textId="5F950AFF" w:rsidR="00AF4ED7" w:rsidRPr="00DD7BD1" w:rsidRDefault="00AF4ED7" w:rsidP="00AF4ED7">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lang w:val="en"/>
        </w:rPr>
      </w:pPr>
      <w:bookmarkStart w:id="129" w:name="_Hlk183520420"/>
      <w:r w:rsidRPr="00DD7BD1">
        <w:rPr>
          <w:rFonts w:ascii="Calibri" w:hAnsi="Calibri" w:cs="Calibri"/>
          <w:sz w:val="28"/>
          <w:szCs w:val="28"/>
          <w:shd w:val="clear" w:color="auto" w:fill="FFFFFF"/>
          <w:lang w:val="en"/>
        </w:rPr>
        <w:t xml:space="preserve">Mandated </w:t>
      </w:r>
      <w:r w:rsidRPr="00DD7BD1">
        <w:rPr>
          <w:rFonts w:ascii="Calibri" w:hAnsi="Calibri" w:cs="Calibri"/>
          <w:sz w:val="28"/>
          <w:szCs w:val="28"/>
          <w:u w:val="single"/>
          <w:shd w:val="clear" w:color="auto" w:fill="FFFFFF"/>
          <w:lang w:val="en"/>
        </w:rPr>
        <w:t xml:space="preserve">Paid </w:t>
      </w:r>
      <w:r w:rsidRPr="00DD7BD1">
        <w:rPr>
          <w:rFonts w:ascii="Calibri" w:hAnsi="Calibri" w:cs="Calibri"/>
          <w:sz w:val="28"/>
          <w:szCs w:val="28"/>
          <w:shd w:val="clear" w:color="auto" w:fill="FFFFFF"/>
          <w:lang w:val="en"/>
        </w:rPr>
        <w:t>Prenatal Leave</w:t>
      </w:r>
    </w:p>
    <w:bookmarkEnd w:id="129"/>
    <w:p w14:paraId="24516A64"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spacing w:val="3"/>
          <w:sz w:val="22"/>
          <w:szCs w:val="22"/>
          <w:shd w:val="clear" w:color="auto" w:fill="FFFFFF"/>
        </w:rPr>
      </w:pPr>
      <w:r w:rsidRPr="00DD7BD1">
        <w:rPr>
          <w:rFonts w:ascii="Calibri" w:hAnsi="Calibri" w:cs="Calibri"/>
          <w:b w:val="0"/>
          <w:bCs w:val="0"/>
          <w:sz w:val="22"/>
          <w:szCs w:val="22"/>
        </w:rPr>
        <w:t xml:space="preserve">The State of New York has become the first state to mandate </w:t>
      </w:r>
      <w:r w:rsidRPr="00DD7BD1">
        <w:rPr>
          <w:rFonts w:ascii="Calibri" w:hAnsi="Calibri" w:cs="Calibri"/>
          <w:b w:val="0"/>
          <w:bCs w:val="0"/>
          <w:spacing w:val="3"/>
          <w:sz w:val="22"/>
          <w:szCs w:val="22"/>
          <w:shd w:val="clear" w:color="auto" w:fill="FFFFFF"/>
        </w:rPr>
        <w:t>paid prenatal leave.  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982" w:tgtFrame="_blank" w:history="1">
        <w:r w:rsidRPr="00DD7BD1">
          <w:rPr>
            <w:rStyle w:val="Hyperlink"/>
            <w:rFonts w:ascii="Calibri" w:hAnsi="Calibri" w:cs="Calibri"/>
            <w:b w:val="0"/>
            <w:bCs w:val="0"/>
            <w:color w:val="3052DA"/>
            <w:kern w:val="0"/>
            <w:sz w:val="22"/>
            <w:szCs w:val="22"/>
          </w:rPr>
          <w:t>New York’s final budget for fiscal 202</w:t>
        </w:r>
        <w:r w:rsidRPr="00DD7BD1">
          <w:rPr>
            <w:rStyle w:val="Hyperlink"/>
            <w:rFonts w:ascii="Calibri" w:hAnsi="Calibri" w:cs="Calibri"/>
            <w:b w:val="0"/>
            <w:bCs w:val="0"/>
            <w:color w:val="1B517C"/>
            <w:spacing w:val="3"/>
            <w:sz w:val="22"/>
            <w:szCs w:val="22"/>
            <w:shd w:val="clear" w:color="auto" w:fill="FFFFFF"/>
          </w:rPr>
          <w:t>5</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color w:val="292929"/>
          <w:spacing w:val="3"/>
          <w:sz w:val="16"/>
          <w:szCs w:val="16"/>
          <w:shd w:val="clear" w:color="auto" w:fill="FFFFFF"/>
        </w:rPr>
      </w:pPr>
    </w:p>
    <w:p w14:paraId="4A6D237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b/>
          <w:bCs/>
          <w:spacing w:val="3"/>
          <w:sz w:val="22"/>
          <w:szCs w:val="22"/>
          <w:highlight w:val="lightGray"/>
          <w:shd w:val="clear" w:color="auto" w:fill="FFFFFF"/>
        </w:rPr>
        <w:t>Employer Takeaway:</w:t>
      </w:r>
      <w:r w:rsidRPr="00DD7BD1">
        <w:rPr>
          <w:rFonts w:ascii="Calibri" w:hAnsi="Calibri" w:cs="Calibri"/>
          <w:spacing w:val="3"/>
          <w:sz w:val="22"/>
          <w:szCs w:val="22"/>
          <w:shd w:val="clear" w:color="auto" w:fill="FFFFFF"/>
        </w:rPr>
        <w:t xml:space="preserve"> </w:t>
      </w:r>
      <w:r w:rsidRPr="00DD7BD1">
        <w:rPr>
          <w:rFonts w:ascii="Calibri" w:hAnsi="Calibri" w:cs="Calibri"/>
          <w:spacing w:val="3"/>
          <w:sz w:val="22"/>
          <w:szCs w:val="22"/>
        </w:rPr>
        <w:t>This amendment takes effect </w:t>
      </w:r>
      <w:r w:rsidRPr="00DD7BD1">
        <w:rPr>
          <w:rStyle w:val="Strong"/>
          <w:rFonts w:ascii="Calibri" w:hAnsi="Calibri" w:cs="Calibri"/>
          <w:b w:val="0"/>
          <w:bCs w:val="0"/>
          <w:color w:val="C00000"/>
          <w:spacing w:val="3"/>
          <w:sz w:val="22"/>
          <w:szCs w:val="22"/>
        </w:rPr>
        <w:t>January 1, 2025</w:t>
      </w:r>
      <w:r w:rsidRPr="00DD7BD1">
        <w:rPr>
          <w:rFonts w:ascii="Calibri" w:hAnsi="Calibri" w:cs="Calibri"/>
          <w:color w:val="292929"/>
          <w:spacing w:val="3"/>
          <w:sz w:val="22"/>
          <w:szCs w:val="22"/>
        </w:rPr>
        <w:t xml:space="preserve">. </w:t>
      </w:r>
      <w:r w:rsidRPr="00DD7BD1">
        <w:rPr>
          <w:rFonts w:ascii="Calibri" w:hAnsi="Calibri" w:cs="Calibri"/>
          <w:spacing w:val="3"/>
          <w:sz w:val="22"/>
          <w:szCs w:val="22"/>
        </w:rPr>
        <w:t>ETC will release an updated State Handbook Addendum in advance of the effective date.</w:t>
      </w:r>
    </w:p>
    <w:p w14:paraId="57F5768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16"/>
          <w:szCs w:val="16"/>
        </w:rPr>
      </w:pPr>
    </w:p>
    <w:p w14:paraId="7ED0CFAA"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pacing w:val="3"/>
          <w:sz w:val="22"/>
          <w:szCs w:val="22"/>
        </w:rPr>
      </w:pPr>
      <w:r w:rsidRPr="00DD7BD1">
        <w:rPr>
          <w:rFonts w:ascii="Calibri" w:hAnsi="Calibri" w:cs="Calibri"/>
          <w:b/>
          <w:bCs/>
          <w:spacing w:val="3"/>
          <w:sz w:val="22"/>
          <w:szCs w:val="22"/>
          <w:highlight w:val="lightGray"/>
        </w:rPr>
        <w:t>Learn More:</w:t>
      </w:r>
    </w:p>
    <w:p w14:paraId="2BBB968F"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82D4AB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Note that</w:t>
      </w:r>
      <w:r w:rsidRPr="00DD7BD1">
        <w:rPr>
          <w:rFonts w:ascii="Calibri" w:hAnsi="Calibri" w:cs="Calibri"/>
          <w:i/>
          <w:iCs/>
          <w:spacing w:val="3"/>
          <w:sz w:val="22"/>
          <w:szCs w:val="22"/>
        </w:rPr>
        <w:t xml:space="preserve"> </w:t>
      </w:r>
      <w:r w:rsidRPr="00DD7BD1">
        <w:rPr>
          <w:rFonts w:ascii="Calibri" w:hAnsi="Calibri" w:cs="Calibri"/>
          <w:spacing w:val="3"/>
          <w:sz w:val="22"/>
          <w:szCs w:val="22"/>
        </w:rPr>
        <w:t>under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307F234"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10405E1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p>
    <w:p w14:paraId="31338469" w14:textId="0A0F1F81"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lastRenderedPageBreak/>
        <w:t>RESOURCE: The state’s recently released </w:t>
      </w:r>
      <w:hyperlink r:id="rId983" w:tgtFrame="_blank" w:history="1">
        <w:r w:rsidRPr="00DD7BD1">
          <w:rPr>
            <w:rStyle w:val="Hyperlink"/>
            <w:rFonts w:ascii="Calibri" w:hAnsi="Calibri" w:cs="Calibri"/>
            <w:spacing w:val="3"/>
            <w:sz w:val="22"/>
            <w:szCs w:val="22"/>
          </w:rPr>
          <w:t>FAQs</w:t>
        </w:r>
      </w:hyperlink>
      <w:r w:rsidRPr="00DD7BD1">
        <w:rPr>
          <w:rFonts w:ascii="Calibri" w:hAnsi="Calibri" w:cs="Calibri"/>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29A14942" w14:textId="74811B40" w:rsidR="00AF4ED7" w:rsidRPr="00DD7BD1" w:rsidRDefault="00AF4ED7" w:rsidP="00AF4ED7">
      <w:pPr>
        <w:pStyle w:val="NormalWeb"/>
        <w:shd w:val="clear" w:color="auto" w:fill="FFFFFF"/>
        <w:spacing w:before="0" w:beforeAutospacing="0" w:after="0" w:afterAutospacing="0"/>
        <w:jc w:val="center"/>
        <w:rPr>
          <w:rStyle w:val="Strong"/>
          <w:rFonts w:ascii="Calibri" w:hAnsi="Calibri" w:cs="Calibri"/>
          <w:kern w:val="36"/>
          <w:sz w:val="28"/>
          <w:szCs w:val="28"/>
        </w:rPr>
      </w:pPr>
      <w:r w:rsidRPr="00DD7BD1">
        <w:rPr>
          <w:rStyle w:val="Strong"/>
          <w:rFonts w:ascii="Calibri" w:hAnsi="Calibri" w:cs="Calibri"/>
          <w:sz w:val="28"/>
          <w:szCs w:val="28"/>
        </w:rPr>
        <w:t>Expanded</w:t>
      </w:r>
      <w:r w:rsidRPr="00DD7BD1">
        <w:rPr>
          <w:rStyle w:val="Strong"/>
          <w:rFonts w:ascii="Calibri" w:hAnsi="Calibri" w:cs="Calibri"/>
          <w:kern w:val="36"/>
          <w:sz w:val="28"/>
          <w:szCs w:val="28"/>
        </w:rPr>
        <w:t xml:space="preserve"> Criminal History Protections</w:t>
      </w:r>
    </w:p>
    <w:p w14:paraId="2B8421D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22"/>
          <w:szCs w:val="22"/>
          <w:shd w:val="clear" w:color="auto" w:fill="FFFFFF"/>
        </w:rPr>
      </w:pPr>
      <w:bookmarkStart w:id="130" w:name="_Hlk181117528"/>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xml:space="preserve">, called the </w:t>
      </w:r>
      <w:bookmarkStart w:id="131" w:name="_Hlk181117499"/>
      <w:r w:rsidRPr="00DD7BD1">
        <w:rPr>
          <w:rFonts w:ascii="Calibri" w:hAnsi="Calibri" w:cs="Calibri"/>
          <w:sz w:val="22"/>
          <w:szCs w:val="22"/>
          <w:shd w:val="clear" w:color="auto" w:fill="FFFFFF"/>
        </w:rPr>
        <w:t>Clean Slate Act </w:t>
      </w:r>
      <w:bookmarkEnd w:id="131"/>
      <w:r w:rsidRPr="00DD7BD1">
        <w:rPr>
          <w:rFonts w:ascii="Calibri" w:hAnsi="Calibri" w:cs="Calibri"/>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0BEA5015" w14:textId="77777777" w:rsidR="00AF4ED7" w:rsidRPr="00DD7BD1" w:rsidRDefault="00AF4ED7" w:rsidP="00AF4ED7">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370EF877"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545EC7F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532A4DA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18F21AB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1AF6F16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0E972AD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58529B8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74261AD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6907A3BE" w14:textId="475544C5" w:rsidR="002006C2"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employer’s interest in protecting its property and the safety and welfare of specific individuals or the </w:t>
      </w:r>
      <w:proofErr w:type="gramStart"/>
      <w:r w:rsidRPr="00DD7BD1">
        <w:rPr>
          <w:rFonts w:ascii="Calibri" w:eastAsia="Times New Roman" w:hAnsi="Calibri" w:cs="Calibri"/>
        </w:rPr>
        <w:t>general public</w:t>
      </w:r>
      <w:proofErr w:type="gramEnd"/>
      <w:r w:rsidRPr="00DD7BD1">
        <w:rPr>
          <w:rFonts w:ascii="Calibri" w:eastAsia="Times New Roman" w:hAnsi="Calibri" w:cs="Calibri"/>
        </w:rPr>
        <w:t>.</w:t>
      </w:r>
    </w:p>
    <w:p w14:paraId="76C6B72C" w14:textId="77777777" w:rsidR="004B7569" w:rsidRPr="00DD7BD1" w:rsidRDefault="004B7569" w:rsidP="004B7569">
      <w:pPr>
        <w:shd w:val="clear" w:color="auto" w:fill="FFFFFF"/>
        <w:spacing w:after="0" w:line="240" w:lineRule="auto"/>
        <w:ind w:left="720"/>
        <w:rPr>
          <w:rStyle w:val="Strong"/>
          <w:rFonts w:ascii="Calibri" w:eastAsia="Times New Roman" w:hAnsi="Calibri" w:cs="Calibri"/>
          <w:b w:val="0"/>
          <w:bCs w:val="0"/>
        </w:rPr>
      </w:pPr>
    </w:p>
    <w:p w14:paraId="322BCE3F" w14:textId="026147AF" w:rsidR="00AF4ED7" w:rsidRPr="00DD7BD1" w:rsidRDefault="00AF4ED7" w:rsidP="00AF4ED7">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5594133D" w14:textId="77777777"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DD7BD1">
        <w:rPr>
          <w:rFonts w:ascii="Calibri" w:hAnsi="Calibri" w:cs="Calibri"/>
          <w:sz w:val="22"/>
          <w:szCs w:val="22"/>
        </w:rPr>
        <w:t>decision making</w:t>
      </w:r>
      <w:proofErr w:type="gramEnd"/>
      <w:r w:rsidRPr="00DD7BD1">
        <w:rPr>
          <w:rFonts w:ascii="Calibri" w:hAnsi="Calibri" w:cs="Calibri"/>
          <w:sz w:val="22"/>
          <w:szCs w:val="22"/>
        </w:rPr>
        <w:t xml:space="preserve"> process out of employers’ hands because older historic information will be unavailable.</w:t>
      </w:r>
    </w:p>
    <w:bookmarkEnd w:id="130"/>
    <w:p w14:paraId="1AA0ED34" w14:textId="014D545F" w:rsidR="00472E17" w:rsidRPr="00DD7BD1" w:rsidRDefault="00472E17" w:rsidP="00472E17">
      <w:pPr>
        <w:spacing w:after="0" w:line="240" w:lineRule="auto"/>
        <w:jc w:val="center"/>
        <w:rPr>
          <w:rStyle w:val="Strong"/>
          <w:rFonts w:ascii="Calibri" w:eastAsia="Times New Roman" w:hAnsi="Calibri" w:cs="Calibri"/>
          <w:b w:val="0"/>
          <w:bCs w:val="0"/>
          <w:sz w:val="28"/>
          <w:szCs w:val="28"/>
        </w:rPr>
      </w:pPr>
      <w:r w:rsidRPr="00DD7BD1">
        <w:rPr>
          <w:rStyle w:val="Strong"/>
          <w:rFonts w:ascii="Calibri" w:eastAsia="Times New Roman" w:hAnsi="Calibri" w:cs="Calibri"/>
          <w:sz w:val="28"/>
          <w:szCs w:val="28"/>
        </w:rPr>
        <w:t>State’s Expanded Privacy and Wage Protections</w:t>
      </w:r>
    </w:p>
    <w:p w14:paraId="2AB8AAB3" w14:textId="77777777" w:rsidR="00472E17" w:rsidRPr="00DD7BD1" w:rsidRDefault="00472E17" w:rsidP="00472E17">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following changes to New York’s employment laws apply to employers of all sizes.</w:t>
      </w:r>
    </w:p>
    <w:p w14:paraId="09796175" w14:textId="77777777" w:rsidR="00472E17" w:rsidRPr="00DD7BD1" w:rsidRDefault="00472E17" w:rsidP="00472E17">
      <w:pPr>
        <w:spacing w:after="0" w:line="240" w:lineRule="auto"/>
        <w:jc w:val="both"/>
        <w:rPr>
          <w:rFonts w:ascii="Calibri" w:hAnsi="Calibri" w:cs="Calibri"/>
          <w:color w:val="282828"/>
          <w:sz w:val="12"/>
          <w:szCs w:val="12"/>
          <w:shd w:val="clear" w:color="auto" w:fill="FFFFFF"/>
        </w:rPr>
      </w:pPr>
    </w:p>
    <w:p w14:paraId="109C8379"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shd w:val="clear" w:color="auto" w:fill="FFFFFF"/>
        </w:rPr>
        <w:t>P</w:t>
      </w:r>
      <w:r w:rsidRPr="00DD7BD1">
        <w:rPr>
          <w:rStyle w:val="Strong"/>
          <w:rFonts w:ascii="Calibri" w:hAnsi="Calibri" w:cs="Calibri"/>
          <w:sz w:val="22"/>
          <w:szCs w:val="22"/>
        </w:rPr>
        <w:t>ERSONAL ACCOUNT PRIVACY PROTECTIONS</w:t>
      </w:r>
    </w:p>
    <w:p w14:paraId="5F6C74C0"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w:t>
      </w:r>
      <w:r w:rsidRPr="00DD7BD1">
        <w:rPr>
          <w:rFonts w:ascii="Calibri" w:hAnsi="Calibri" w:cs="Calibri"/>
          <w:b/>
          <w:bCs/>
          <w:color w:val="C00000"/>
          <w:sz w:val="22"/>
          <w:szCs w:val="22"/>
        </w:rPr>
        <w:t>March 12, 2024</w:t>
      </w:r>
      <w:r w:rsidRPr="00DD7BD1">
        <w:rPr>
          <w:rFonts w:ascii="Calibri" w:hAnsi="Calibri" w:cs="Calibri"/>
          <w:sz w:val="22"/>
          <w:szCs w:val="22"/>
        </w:rPr>
        <w:t xml:space="preserve">, employers will be prohibited from </w:t>
      </w:r>
      <w:r w:rsidRPr="00DD7BD1">
        <w:rPr>
          <w:rFonts w:ascii="Calibri" w:hAnsi="Calibri" w:cs="Calibri"/>
          <w:sz w:val="22"/>
          <w:szCs w:val="22"/>
          <w:u w:val="single"/>
        </w:rPr>
        <w:t>electronically accessing employees’ and applicants’ personal accounts</w:t>
      </w:r>
      <w:r w:rsidRPr="00DD7BD1">
        <w:rPr>
          <w:rFonts w:ascii="Calibri" w:hAnsi="Calibri" w:cs="Calibri"/>
          <w:sz w:val="22"/>
          <w:szCs w:val="22"/>
        </w:rPr>
        <w:t xml:space="preserve">. </w:t>
      </w:r>
    </w:p>
    <w:p w14:paraId="5EC7C1A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12"/>
          <w:szCs w:val="12"/>
        </w:rPr>
      </w:pPr>
    </w:p>
    <w:p w14:paraId="305C8CE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b/>
          <w:bCs/>
          <w:sz w:val="22"/>
          <w:szCs w:val="22"/>
        </w:rPr>
      </w:pPr>
      <w:r w:rsidRPr="00DD7BD1">
        <w:rPr>
          <w:rFonts w:ascii="Calibri" w:hAnsi="Calibri" w:cs="Calibri"/>
          <w:b/>
          <w:bCs/>
          <w:sz w:val="22"/>
          <w:szCs w:val="22"/>
        </w:rPr>
        <w:t>What is a </w:t>
      </w:r>
      <w:r w:rsidRPr="00DD7BD1">
        <w:rPr>
          <w:rFonts w:ascii="Calibri" w:hAnsi="Calibri" w:cs="Calibri"/>
          <w:b/>
          <w:bCs/>
          <w:i/>
          <w:iCs/>
          <w:sz w:val="22"/>
          <w:szCs w:val="22"/>
        </w:rPr>
        <w:t>personal account</w:t>
      </w:r>
      <w:r w:rsidRPr="00DD7BD1">
        <w:rPr>
          <w:rFonts w:ascii="Calibri" w:hAnsi="Calibri" w:cs="Calibri"/>
          <w:b/>
          <w:bCs/>
          <w:sz w:val="22"/>
          <w:szCs w:val="22"/>
        </w:rPr>
        <w:t xml:space="preserve">, you ask? </w:t>
      </w:r>
    </w:p>
    <w:p w14:paraId="6995D846"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w:t>
      </w:r>
      <w:r w:rsidRPr="00DD7BD1">
        <w:rPr>
          <w:rFonts w:ascii="Calibri" w:hAnsi="Calibri" w:cs="Calibri"/>
          <w:i/>
          <w:iCs/>
          <w:sz w:val="22"/>
          <w:szCs w:val="22"/>
        </w:rPr>
        <w:t>personal account</w:t>
      </w:r>
      <w:r w:rsidRPr="00DD7BD1">
        <w:rPr>
          <w:rFonts w:ascii="Calibri" w:hAnsi="Calibri" w:cs="Calibri"/>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law contains some exceptions. For instance, employers are still allowed to make employees provide access information for nonpersonal accounts that provide access to the employer’s internal computer or systems, or accounts that are used for business </w:t>
      </w:r>
      <w:r w:rsidRPr="00DD7BD1">
        <w:rPr>
          <w:rFonts w:ascii="Calibri" w:hAnsi="Calibri" w:cs="Calibri"/>
          <w:sz w:val="22"/>
          <w:szCs w:val="22"/>
        </w:rPr>
        <w:lastRenderedPageBreak/>
        <w:t>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D7BD1" w:rsidRDefault="00472E17" w:rsidP="00472E17">
      <w:pPr>
        <w:pStyle w:val="NormalWeb"/>
        <w:shd w:val="clear" w:color="auto" w:fill="FFFFFF"/>
        <w:spacing w:before="0" w:beforeAutospacing="0" w:after="0" w:afterAutospacing="0"/>
        <w:jc w:val="both"/>
        <w:rPr>
          <w:rStyle w:val="Strong"/>
          <w:rFonts w:ascii="Calibri" w:hAnsi="Calibri" w:cs="Calibri"/>
          <w:sz w:val="12"/>
          <w:szCs w:val="12"/>
        </w:rPr>
      </w:pPr>
    </w:p>
    <w:p w14:paraId="2D974DFA"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Fonts w:ascii="Calibri" w:hAnsi="Calibri" w:cs="Calibri"/>
          <w:sz w:val="22"/>
          <w:szCs w:val="22"/>
        </w:rPr>
        <w:br/>
        <w:t>Make sure those involved in the hiring process, as well as all in supervisory roles, are aware of these prohibitions.  Check your social media and electronic device policies to make sure they’re compliant.</w:t>
      </w:r>
    </w:p>
    <w:p w14:paraId="209741CB"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65C3D7A5"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rPr>
      </w:pPr>
      <w:r w:rsidRPr="00DD7BD1">
        <w:rPr>
          <w:rStyle w:val="Strong"/>
          <w:rFonts w:ascii="Calibri" w:hAnsi="Calibri" w:cs="Calibri"/>
          <w:sz w:val="22"/>
          <w:szCs w:val="22"/>
        </w:rPr>
        <w:t>WAGE PAYMENT PROTECTION CHANGES</w:t>
      </w:r>
      <w:r w:rsidRPr="00DD7BD1">
        <w:rPr>
          <w:rFonts w:ascii="Calibri" w:hAnsi="Calibri" w:cs="Calibri"/>
          <w:sz w:val="22"/>
          <w:szCs w:val="22"/>
        </w:rPr>
        <w:br/>
        <w:t xml:space="preserve">As of </w:t>
      </w:r>
      <w:r w:rsidRPr="00DD7BD1">
        <w:rPr>
          <w:rFonts w:ascii="Calibri" w:hAnsi="Calibri" w:cs="Calibri"/>
          <w:b/>
          <w:bCs/>
          <w:color w:val="C00000"/>
          <w:sz w:val="22"/>
          <w:szCs w:val="22"/>
        </w:rPr>
        <w:t>March 13, 2024</w:t>
      </w:r>
      <w:r w:rsidRPr="00DD7BD1">
        <w:rPr>
          <w:rFonts w:ascii="Calibri" w:hAnsi="Calibri" w:cs="Calibri"/>
          <w:sz w:val="22"/>
          <w:szCs w:val="22"/>
        </w:rPr>
        <w:t>, the state’s earnings threshold for the applicability of </w:t>
      </w:r>
      <w:r w:rsidRPr="00DD7BD1">
        <w:rPr>
          <w:rFonts w:ascii="Calibri" w:hAnsi="Calibri" w:cs="Calibri"/>
          <w:b/>
          <w:bCs/>
          <w:i/>
          <w:iCs/>
          <w:sz w:val="22"/>
          <w:szCs w:val="22"/>
        </w:rPr>
        <w:t xml:space="preserve">wage payment </w:t>
      </w:r>
      <w:r w:rsidRPr="00DD7BD1">
        <w:rPr>
          <w:rFonts w:ascii="Calibri" w:hAnsi="Calibri" w:cs="Calibri"/>
          <w:b/>
          <w:bCs/>
          <w:i/>
          <w:iCs/>
          <w:sz w:val="22"/>
          <w:szCs w:val="22"/>
          <w:u w:val="single"/>
        </w:rPr>
        <w:t>protections</w:t>
      </w:r>
      <w:r w:rsidRPr="00DD7BD1">
        <w:rPr>
          <w:rFonts w:ascii="Calibri" w:hAnsi="Calibri" w:cs="Calibri"/>
          <w:sz w:val="22"/>
          <w:szCs w:val="22"/>
        </w:rPr>
        <w:t> for those employed in a bona fide executive, administrative, or professional capacity will increase from $900 per week to $1,300 per week</w:t>
      </w:r>
      <w:r w:rsidRPr="00DD7BD1">
        <w:rPr>
          <w:rFonts w:ascii="Calibri" w:hAnsi="Calibri" w:cs="Calibri"/>
          <w:i/>
          <w:iCs/>
          <w:sz w:val="22"/>
          <w:szCs w:val="22"/>
        </w:rPr>
        <w:t xml:space="preserve">. </w:t>
      </w:r>
    </w:p>
    <w:p w14:paraId="2534B90C"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i/>
          <w:iCs/>
          <w:sz w:val="22"/>
          <w:szCs w:val="22"/>
          <w:u w:val="single"/>
        </w:rPr>
        <w:t>This law does </w:t>
      </w:r>
      <w:r w:rsidRPr="00DD7BD1">
        <w:rPr>
          <w:rStyle w:val="Strong"/>
          <w:rFonts w:ascii="Calibri" w:hAnsi="Calibri" w:cs="Calibri"/>
          <w:i/>
          <w:iCs/>
          <w:sz w:val="22"/>
          <w:szCs w:val="22"/>
          <w:u w:val="single"/>
        </w:rPr>
        <w:t>not </w:t>
      </w:r>
      <w:r w:rsidRPr="00DD7BD1">
        <w:rPr>
          <w:rFonts w:ascii="Calibri" w:hAnsi="Calibri" w:cs="Calibri"/>
          <w:i/>
          <w:iCs/>
          <w:sz w:val="22"/>
          <w:szCs w:val="22"/>
          <w:u w:val="single"/>
        </w:rPr>
        <w:t>change the minimum salary for exempt employees</w:t>
      </w:r>
      <w:r w:rsidRPr="00DD7BD1">
        <w:rPr>
          <w:rFonts w:ascii="Calibri" w:hAnsi="Calibri" w:cs="Calibri"/>
          <w:i/>
          <w:iCs/>
          <w:sz w:val="22"/>
          <w:szCs w:val="22"/>
        </w:rPr>
        <w:t>—</w:t>
      </w:r>
      <w:r w:rsidRPr="00DD7BD1">
        <w:rPr>
          <w:rFonts w:ascii="Calibri" w:hAnsi="Calibri" w:cs="Calibri"/>
          <w:sz w:val="22"/>
          <w:szCs w:val="22"/>
        </w:rPr>
        <w:t xml:space="preserve">it simply </w:t>
      </w:r>
      <w:r w:rsidRPr="00DD7BD1">
        <w:rPr>
          <w:rFonts w:ascii="Calibri" w:hAnsi="Calibri" w:cs="Calibri"/>
          <w:sz w:val="22"/>
          <w:szCs w:val="22"/>
          <w:u w:val="single"/>
        </w:rPr>
        <w:t>extends certain longstanding wage payment rules to those who make $1,300 or less per week.</w:t>
      </w:r>
    </w:p>
    <w:p w14:paraId="72ABCE9C"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44221AED"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Style w:val="Strong"/>
          <w:rFonts w:ascii="Calibri" w:hAnsi="Calibri" w:cs="Calibri"/>
          <w:shd w:val="clear" w:color="auto" w:fill="D9D9D9" w:themeFill="background1" w:themeFillShade="D9"/>
        </w:rPr>
        <w:t xml:space="preserve"> </w:t>
      </w:r>
    </w:p>
    <w:p w14:paraId="6B6FD16F"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now need to make sure these employees are:</w:t>
      </w:r>
    </w:p>
    <w:p w14:paraId="3BC27946" w14:textId="77777777" w:rsidR="00472E17"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Paid wages at </w:t>
      </w:r>
      <w:r w:rsidRPr="00DD7BD1">
        <w:rPr>
          <w:rFonts w:ascii="Calibri" w:hAnsi="Calibri" w:cs="Calibri"/>
          <w:i/>
          <w:iCs/>
          <w:sz w:val="22"/>
          <w:szCs w:val="22"/>
        </w:rPr>
        <w:t>least</w:t>
      </w:r>
      <w:r w:rsidRPr="00DD7BD1">
        <w:rPr>
          <w:rFonts w:ascii="Calibri" w:hAnsi="Calibri" w:cs="Calibri"/>
          <w:sz w:val="22"/>
          <w:szCs w:val="22"/>
        </w:rPr>
        <w:t xml:space="preserve"> </w:t>
      </w:r>
      <w:r w:rsidRPr="00DD7BD1">
        <w:rPr>
          <w:rFonts w:ascii="Calibri" w:hAnsi="Calibri" w:cs="Calibri"/>
          <w:sz w:val="22"/>
          <w:szCs w:val="22"/>
          <w:u w:val="single"/>
        </w:rPr>
        <w:t>semimonthly</w:t>
      </w:r>
      <w:r w:rsidRPr="00DD7BD1">
        <w:rPr>
          <w:rFonts w:ascii="Calibri" w:hAnsi="Calibri" w:cs="Calibri"/>
          <w:sz w:val="22"/>
          <w:szCs w:val="22"/>
        </w:rPr>
        <w:t xml:space="preserve">, have provided </w:t>
      </w:r>
      <w:r w:rsidRPr="00DD7BD1">
        <w:rPr>
          <w:rFonts w:ascii="Calibri" w:hAnsi="Calibri" w:cs="Calibri"/>
          <w:sz w:val="22"/>
          <w:szCs w:val="22"/>
          <w:u w:val="single"/>
        </w:rPr>
        <w:t>advance written consent for direct deposit</w:t>
      </w:r>
      <w:r w:rsidRPr="00DD7BD1">
        <w:rPr>
          <w:rFonts w:ascii="Calibri" w:hAnsi="Calibri" w:cs="Calibri"/>
          <w:sz w:val="22"/>
          <w:szCs w:val="22"/>
        </w:rPr>
        <w:t xml:space="preserve">, and are </w:t>
      </w:r>
    </w:p>
    <w:p w14:paraId="2A246DFA" w14:textId="51EE3767" w:rsidR="00213EB3"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Paid any benefits or wage supplements (e.g., reimbursements for out-of-pocket business expenses) within 30 days of becoming due.</w:t>
      </w:r>
    </w:p>
    <w:p w14:paraId="17E15455" w14:textId="77777777" w:rsidR="00BD445F" w:rsidRPr="00DD7BD1" w:rsidRDefault="00BD445F" w:rsidP="00BD445F">
      <w:pPr>
        <w:pStyle w:val="NormalWeb"/>
        <w:shd w:val="clear" w:color="auto" w:fill="FFFFFF"/>
        <w:spacing w:before="0" w:beforeAutospacing="0" w:after="0" w:afterAutospacing="0"/>
        <w:ind w:left="720"/>
        <w:rPr>
          <w:rFonts w:ascii="Calibri" w:hAnsi="Calibri" w:cs="Calibri"/>
          <w:sz w:val="20"/>
          <w:szCs w:val="20"/>
        </w:rPr>
      </w:pPr>
    </w:p>
    <w:p w14:paraId="5E3F8698" w14:textId="77777777" w:rsidR="000363E2" w:rsidRPr="00DD7BD1" w:rsidRDefault="00BD445F" w:rsidP="000363E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Ohio</w:t>
      </w:r>
      <w:bookmarkStart w:id="132" w:name="_Hlk205278238"/>
      <w:bookmarkStart w:id="133" w:name="_Hlk205278253"/>
    </w:p>
    <w:p w14:paraId="2EAC7F21" w14:textId="3E51B8EB" w:rsidR="00572253" w:rsidRPr="00572253" w:rsidRDefault="00572253" w:rsidP="00572253">
      <w:pPr>
        <w:rPr>
          <w:b/>
          <w:bCs/>
          <w:caps/>
          <w:color w:val="0070C0"/>
          <w:sz w:val="26"/>
          <w:szCs w:val="26"/>
        </w:rPr>
      </w:pPr>
      <w:r w:rsidRPr="009E01EC">
        <w:rPr>
          <w:b/>
          <w:bCs/>
          <w:caps/>
          <w:color w:val="0070C0"/>
          <w:sz w:val="26"/>
          <w:szCs w:val="26"/>
        </w:rPr>
        <w:t>Reminder</w:t>
      </w:r>
      <w:r>
        <w:rPr>
          <w:b/>
          <w:bCs/>
          <w:caps/>
          <w:color w:val="0070C0"/>
          <w:sz w:val="26"/>
          <w:szCs w:val="26"/>
        </w:rPr>
        <w:t>:</w:t>
      </w:r>
      <w:r>
        <w:rPr>
          <w:b/>
          <w:bCs/>
          <w:caps/>
          <w:noProof/>
          <w:color w:val="0E425C"/>
          <w:sz w:val="28"/>
          <w:szCs w:val="28"/>
        </w:rPr>
        <w:t xml:space="preserve"> </w:t>
      </w:r>
      <w:r w:rsidRPr="009E01EC">
        <w:rPr>
          <w:b/>
          <w:bCs/>
          <w:caps/>
          <w:noProof/>
          <w:color w:val="0E425C"/>
          <w:sz w:val="26"/>
          <w:szCs w:val="26"/>
        </w:rPr>
        <w:t>Construction Contractors Required To Verify Employees’ Work Eligibility Through the Federal E-Verify Program Eff</w:t>
      </w:r>
      <w:r>
        <w:rPr>
          <w:b/>
          <w:bCs/>
          <w:caps/>
          <w:noProof/>
          <w:color w:val="0E425C"/>
          <w:sz w:val="26"/>
          <w:szCs w:val="26"/>
        </w:rPr>
        <w:t>ectIve</w:t>
      </w:r>
      <w:r w:rsidRPr="009E01EC">
        <w:rPr>
          <w:b/>
          <w:bCs/>
          <w:caps/>
          <w:noProof/>
          <w:color w:val="0E425C"/>
          <w:sz w:val="26"/>
          <w:szCs w:val="26"/>
        </w:rPr>
        <w:t xml:space="preserve"> </w:t>
      </w:r>
      <w:r w:rsidRPr="00B662A3">
        <w:rPr>
          <w:b/>
          <w:bCs/>
          <w:caps/>
          <w:color w:val="0070C0"/>
          <w:sz w:val="26"/>
          <w:szCs w:val="26"/>
        </w:rPr>
        <w:t>March 20, 2026</w:t>
      </w:r>
    </w:p>
    <w:p w14:paraId="6535D8FD" w14:textId="1166C551" w:rsidR="000363E2" w:rsidRPr="00DD7BD1" w:rsidRDefault="000363E2" w:rsidP="000363E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rPr>
        <w:t>Construction Contractors</w:t>
      </w:r>
      <w:r w:rsidRPr="00DD7BD1">
        <w:rPr>
          <w:rFonts w:ascii="Calibri" w:hAnsi="Calibri" w:cs="Calibri"/>
          <w:b/>
          <w:bCs/>
          <w:sz w:val="28"/>
          <w:szCs w:val="28"/>
          <w:shd w:val="clear" w:color="auto" w:fill="FFFFFF"/>
        </w:rPr>
        <w:t xml:space="preserve"> Required To Verify Employees’ Work Eligibility Through the Federal E-Verify Program Eff</w:t>
      </w:r>
      <w:r w:rsidRPr="00DD7BD1">
        <w:rPr>
          <w:rFonts w:ascii="Calibri" w:hAnsi="Calibri" w:cs="Calibri"/>
          <w:b/>
          <w:bCs/>
          <w:color w:val="2E74B5" w:themeColor="accent5" w:themeShade="BF"/>
          <w:sz w:val="28"/>
          <w:szCs w:val="28"/>
          <w:shd w:val="clear" w:color="auto" w:fill="FFFFFF"/>
        </w:rPr>
        <w:t xml:space="preserve"> </w:t>
      </w:r>
      <w:r w:rsidRPr="00DD7BD1">
        <w:rPr>
          <w:rFonts w:ascii="Calibri" w:hAnsi="Calibri" w:cs="Calibri"/>
          <w:b/>
          <w:bCs/>
          <w:color w:val="C00000"/>
          <w:sz w:val="28"/>
          <w:szCs w:val="28"/>
          <w:shd w:val="clear" w:color="auto" w:fill="FFFFFF"/>
        </w:rPr>
        <w:t>March 20, 2026</w:t>
      </w:r>
    </w:p>
    <w:p w14:paraId="679B2BC7" w14:textId="442811F1"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Although ETC does not regularly monitor regulatory enactments pertaining to specific industries, impacted employers are advised to understand the impact on the below regulation as it pertains to their organization.</w:t>
      </w:r>
    </w:p>
    <w:p w14:paraId="509EF01F" w14:textId="183E96AA"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Governor DeWine signed the E-Verify Workforce Integrity Act (Ohio General Assembly Substitute House Bill No. 246) which requires all construction contractors, subcontractors or labor brokers, excluding those who work on residential construction, to verify every new employee’s work eligibility through the federal E-Verify Program. The E-Verify Program is a program that helps an employer determine the eligibility of its employees to work in the United States. Contractors are required to keep records of the verification for the duration of the employee’s employment or for three years, whichever is longer. A contractor must terminate an employee’s employment if it receives notice of non-confirmation of an individual’s ability to work in the United States.</w:t>
      </w:r>
    </w:p>
    <w:p w14:paraId="3481736C" w14:textId="3A08F11A" w:rsidR="000363E2" w:rsidRPr="00DD7BD1" w:rsidRDefault="000363E2" w:rsidP="000363E2">
      <w:pPr>
        <w:rPr>
          <w:rFonts w:ascii="Calibri" w:hAnsi="Calibri" w:cs="Calibri"/>
          <w:shd w:val="clear" w:color="auto" w:fill="FFFFFF"/>
          <w:lang w:val="en"/>
        </w:rPr>
      </w:pPr>
      <w:r w:rsidRPr="00DD7BD1">
        <w:rPr>
          <w:rFonts w:ascii="Calibri" w:hAnsi="Calibri" w:cs="Calibri"/>
          <w:shd w:val="clear" w:color="auto" w:fill="FFFFFF"/>
        </w:rPr>
        <w:t>The Act applies to any construction project involving construction or renovation of a building, highway, bridge, utility or related infrastructure, but it does not include things such as manufactured homes, residential buildings, buildings or structures that are incidental to the use of the land on which it is located for agricultural purposes or a mobile home.</w:t>
      </w:r>
    </w:p>
    <w:p w14:paraId="2C5AFC1F" w14:textId="63B01369" w:rsidR="00407ABD" w:rsidRPr="00DD7BD1" w:rsidRDefault="00407ABD" w:rsidP="006C66AA">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Increases Minimum Wage –</w:t>
      </w:r>
      <w:r w:rsidRPr="00DD7BD1">
        <w:rPr>
          <w:rFonts w:ascii="Calibri" w:hAnsi="Calibri" w:cs="Calibri"/>
          <w:b/>
          <w:bCs/>
          <w:color w:val="C00000"/>
          <w:sz w:val="28"/>
          <w:szCs w:val="28"/>
          <w:shd w:val="clear" w:color="auto" w:fill="FFFFFF"/>
        </w:rPr>
        <w:t xml:space="preserve"> Eff Jan 1, 2026</w:t>
      </w:r>
      <w:r w:rsidRPr="00DD7BD1">
        <w:rPr>
          <w:rFonts w:ascii="Calibri" w:hAnsi="Calibri" w:cs="Calibri"/>
          <w:b/>
          <w:bCs/>
          <w:color w:val="C00000"/>
          <w:sz w:val="28"/>
          <w:szCs w:val="28"/>
          <w:shd w:val="clear" w:color="auto" w:fill="FFFFFF"/>
        </w:rPr>
        <w:br/>
      </w:r>
      <w:r w:rsidRPr="00DD7BD1">
        <w:rPr>
          <w:rFonts w:ascii="Calibri" w:hAnsi="Calibri" w:cs="Calibri"/>
          <w:shd w:val="clear" w:color="auto" w:fill="FFFFFF"/>
        </w:rPr>
        <w:t>On January 1, 2026, Ohio’s minimum wage will increase to $11 per hour. The minimum base wage for tipped employees will increase to $5.50 per hour.  Employers that gross less than $405,000 per year can pay the federal minimum wage.</w:t>
      </w:r>
    </w:p>
    <w:p w14:paraId="0C0EB677" w14:textId="77777777" w:rsidR="00407ABD" w:rsidRPr="00DD7BD1" w:rsidRDefault="00407ABD" w:rsidP="000245D8">
      <w:pPr>
        <w:spacing w:after="0" w:line="240" w:lineRule="auto"/>
        <w:jc w:val="center"/>
        <w:rPr>
          <w:rFonts w:ascii="Calibri" w:hAnsi="Calibri" w:cs="Calibri"/>
          <w:b/>
          <w:bCs/>
          <w:u w:val="single"/>
          <w:shd w:val="clear" w:color="auto" w:fill="FFFFFF"/>
        </w:rPr>
      </w:pPr>
    </w:p>
    <w:p w14:paraId="2B2497D5" w14:textId="17517DFC" w:rsidR="004A3AD9" w:rsidRPr="00DD7BD1" w:rsidRDefault="004A3AD9" w:rsidP="000245D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u w:val="single"/>
          <w:shd w:val="clear" w:color="auto" w:fill="FFFFFF"/>
        </w:rPr>
        <w:t>Columbus</w:t>
      </w:r>
      <w:r w:rsidRPr="00DD7BD1">
        <w:rPr>
          <w:rFonts w:ascii="Calibri" w:hAnsi="Calibri" w:cs="Calibri"/>
          <w:b/>
          <w:bCs/>
          <w:sz w:val="28"/>
          <w:szCs w:val="28"/>
          <w:shd w:val="clear" w:color="auto" w:fill="FFFFFF"/>
        </w:rPr>
        <w:t xml:space="preserve"> Enacts Pay Transparency (Pay Ranges in Job Postings) Law </w:t>
      </w:r>
    </w:p>
    <w:p w14:paraId="35E19C9F" w14:textId="77777777" w:rsidR="004A3AD9" w:rsidRPr="00DD7BD1" w:rsidRDefault="004A3AD9" w:rsidP="000245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Eff </w:t>
      </w:r>
      <w:r w:rsidRPr="00DD7BD1">
        <w:rPr>
          <w:rFonts w:ascii="Calibri" w:hAnsi="Calibri" w:cs="Calibri"/>
          <w:b/>
          <w:bCs/>
          <w:color w:val="C00000"/>
          <w:sz w:val="28"/>
          <w:szCs w:val="28"/>
          <w:shd w:val="clear" w:color="auto" w:fill="FFFFFF"/>
        </w:rPr>
        <w:t>Dec 3, 2025; Enforcement  Starting Jan 1, 202</w:t>
      </w:r>
      <w:r w:rsidRPr="00DD7BD1">
        <w:rPr>
          <w:rFonts w:ascii="Calibri" w:hAnsi="Calibri" w:cs="Calibri"/>
          <w:b/>
          <w:bCs/>
          <w:color w:val="C00000"/>
          <w:sz w:val="28"/>
          <w:szCs w:val="28"/>
          <w:u w:val="single"/>
          <w:shd w:val="clear" w:color="auto" w:fill="FFFFFF"/>
        </w:rPr>
        <w:t>7</w:t>
      </w:r>
    </w:p>
    <w:p w14:paraId="2B425C3A"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lang w:val="en"/>
        </w:rPr>
        <w:t xml:space="preserve">Employers </w:t>
      </w:r>
      <w:r w:rsidRPr="00DD7BD1">
        <w:rPr>
          <w:rFonts w:ascii="Calibri" w:hAnsi="Calibri" w:cs="Calibri"/>
          <w:shd w:val="clear" w:color="auto" w:fill="FFFFFF"/>
        </w:rPr>
        <w:t>with 15 or more employees in Columbus will be required to include pay ranges in all job postings. While the law is effective December 3, 2025, the city doesn’t expect to actively enforce it until January 1, 2027.</w:t>
      </w:r>
    </w:p>
    <w:p w14:paraId="389A12F6" w14:textId="2210E275"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lastRenderedPageBreak/>
        <w:t>Job postings are defined broadly and include any communication that describes a position or its qualifications. Job postings for internal transfers and promotions are excluded.</w:t>
      </w:r>
    </w:p>
    <w:p w14:paraId="7BC9DD56" w14:textId="2EA4D2CB"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 xml:space="preserve">The posting should include a pay range that’s a reasonable estimate of what the employer expects to pay for that </w:t>
      </w:r>
      <w:proofErr w:type="gramStart"/>
      <w:r w:rsidRPr="00DD7BD1">
        <w:rPr>
          <w:rFonts w:ascii="Calibri" w:hAnsi="Calibri" w:cs="Calibri"/>
          <w:shd w:val="clear" w:color="auto" w:fill="FFFFFF"/>
        </w:rPr>
        <w:t>particular position</w:t>
      </w:r>
      <w:proofErr w:type="gramEnd"/>
      <w:r w:rsidRPr="00DD7BD1">
        <w:rPr>
          <w:rFonts w:ascii="Calibri" w:hAnsi="Calibri" w:cs="Calibri"/>
          <w:shd w:val="clear" w:color="auto" w:fill="FFFFFF"/>
        </w:rPr>
        <w:t xml:space="preserve"> as well as other types of monetary compensation, like commissions and bonuses. </w:t>
      </w:r>
    </w:p>
    <w:p w14:paraId="0A3D264E"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The salary range should be based on factors specific to the position, such as:</w:t>
      </w:r>
    </w:p>
    <w:p w14:paraId="66F32DC3"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Budget for the role</w:t>
      </w:r>
    </w:p>
    <w:p w14:paraId="1A2F913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Expected years of experience</w:t>
      </w:r>
    </w:p>
    <w:p w14:paraId="2DE2E31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Cost of living</w:t>
      </w:r>
    </w:p>
    <w:p w14:paraId="742EC9B6" w14:textId="77777777" w:rsidR="004A3AD9" w:rsidRPr="00DD7BD1" w:rsidRDefault="004A3AD9" w:rsidP="004A3AD9">
      <w:pPr>
        <w:rPr>
          <w:rFonts w:ascii="Calibri" w:hAnsi="Calibri" w:cs="Calibri"/>
          <w:sz w:val="16"/>
          <w:szCs w:val="16"/>
          <w:shd w:val="clear" w:color="auto" w:fill="FFFFFF"/>
        </w:rPr>
      </w:pPr>
    </w:p>
    <w:p w14:paraId="1CF98308" w14:textId="27F6B0A9" w:rsidR="004A3AD9" w:rsidRPr="00DD7BD1" w:rsidRDefault="004A3AD9" w:rsidP="000245D8">
      <w:pPr>
        <w:rPr>
          <w:rFonts w:ascii="Calibri" w:hAnsi="Calibri" w:cs="Calibri"/>
          <w:shd w:val="clear" w:color="auto" w:fill="FFFFFF"/>
        </w:rPr>
      </w:pPr>
      <w:r w:rsidRPr="00DD7BD1">
        <w:rPr>
          <w:rFonts w:ascii="Calibri" w:hAnsi="Calibri" w:cs="Calibri"/>
          <w:shd w:val="clear" w:color="auto" w:fill="FFFFFF"/>
        </w:rPr>
        <w:t>If an employer plans to pay an </w:t>
      </w:r>
      <w:r w:rsidRPr="00DD7BD1">
        <w:rPr>
          <w:rFonts w:ascii="Calibri" w:hAnsi="Calibri" w:cs="Calibri"/>
          <w:i/>
          <w:iCs/>
          <w:shd w:val="clear" w:color="auto" w:fill="FFFFFF"/>
        </w:rPr>
        <w:t>exact </w:t>
      </w:r>
      <w:r w:rsidRPr="00DD7BD1">
        <w:rPr>
          <w:rFonts w:ascii="Calibri" w:hAnsi="Calibri" w:cs="Calibri"/>
          <w:shd w:val="clear" w:color="auto" w:fill="FFFFFF"/>
        </w:rPr>
        <w:t>amount (rather than within a range), that should be included in the posting.</w:t>
      </w:r>
    </w:p>
    <w:p w14:paraId="308D0233" w14:textId="5E6D2A38" w:rsidR="003D0CE0" w:rsidRPr="00DD7BD1" w:rsidRDefault="003D0CE0" w:rsidP="003D0CE0">
      <w:pPr>
        <w:pStyle w:val="Heading1"/>
        <w:spacing w:before="0" w:beforeAutospacing="0" w:after="0" w:afterAutospacing="0"/>
        <w:ind w:right="-274"/>
        <w:jc w:val="center"/>
        <w:rPr>
          <w:rFonts w:ascii="Calibri" w:hAnsi="Calibri" w:cs="Calibri"/>
          <w:bCs w:val="0"/>
          <w:spacing w:val="-10"/>
          <w:kern w:val="0"/>
          <w:sz w:val="28"/>
          <w:szCs w:val="24"/>
        </w:rPr>
      </w:pPr>
      <w:r w:rsidRPr="00DD7BD1">
        <w:rPr>
          <w:rFonts w:ascii="Calibri" w:hAnsi="Calibri" w:cs="Calibri"/>
          <w:bCs w:val="0"/>
          <w:color w:val="C00000"/>
          <w:spacing w:val="-10"/>
          <w:kern w:val="0"/>
          <w:sz w:val="28"/>
          <w:szCs w:val="24"/>
        </w:rPr>
        <w:t xml:space="preserve">Reminder: </w:t>
      </w:r>
      <w:r w:rsidRPr="00DD7BD1">
        <w:rPr>
          <w:rFonts w:ascii="Calibri" w:hAnsi="Calibri" w:cs="Calibri"/>
          <w:bCs w:val="0"/>
          <w:spacing w:val="-10"/>
          <w:kern w:val="0"/>
          <w:sz w:val="28"/>
          <w:szCs w:val="24"/>
        </w:rPr>
        <w:t xml:space="preserve">Cleveland Joins the Pay Equity Trend, Mandating Pay Transparency and Banning Salary Inquiries – </w:t>
      </w:r>
      <w:r w:rsidRPr="00DD7BD1">
        <w:rPr>
          <w:rFonts w:ascii="Calibri" w:hAnsi="Calibri" w:cs="Calibri"/>
          <w:bCs w:val="0"/>
          <w:color w:val="C00000"/>
          <w:spacing w:val="-10"/>
          <w:kern w:val="0"/>
          <w:sz w:val="28"/>
          <w:szCs w:val="24"/>
        </w:rPr>
        <w:t>Eff Oct 27, 2025</w:t>
      </w:r>
    </w:p>
    <w:p w14:paraId="0A671B3F" w14:textId="77777777" w:rsidR="003D0CE0" w:rsidRPr="00DD7BD1" w:rsidRDefault="003D0CE0" w:rsidP="003D0CE0">
      <w:pPr>
        <w:spacing w:after="0" w:line="240" w:lineRule="auto"/>
        <w:ind w:right="-274"/>
        <w:jc w:val="center"/>
        <w:rPr>
          <w:rFonts w:ascii="Calibri" w:hAnsi="Calibri" w:cs="Calibri"/>
          <w:b/>
          <w:color w:val="C00000"/>
          <w:spacing w:val="-10"/>
          <w:sz w:val="28"/>
        </w:rPr>
      </w:pPr>
    </w:p>
    <w:p w14:paraId="5A83AE9A" w14:textId="07A9712A" w:rsidR="003D0CE0" w:rsidRPr="00DD7BD1" w:rsidRDefault="003D0CE0" w:rsidP="003D0CE0">
      <w:pPr>
        <w:spacing w:after="0" w:line="240" w:lineRule="auto"/>
        <w:ind w:right="-274"/>
        <w:jc w:val="center"/>
        <w:rPr>
          <w:rFonts w:ascii="Calibri" w:hAnsi="Calibri" w:cs="Calibri"/>
          <w:b/>
          <w:sz w:val="28"/>
        </w:rPr>
      </w:pPr>
      <w:r w:rsidRPr="00DD7BD1">
        <w:rPr>
          <w:rFonts w:ascii="Calibri" w:hAnsi="Calibri" w:cs="Calibri"/>
          <w:b/>
          <w:color w:val="C00000"/>
          <w:spacing w:val="-10"/>
          <w:sz w:val="28"/>
        </w:rPr>
        <w:t>Reminder:</w:t>
      </w:r>
      <w:r w:rsidRPr="00DD7BD1">
        <w:rPr>
          <w:rFonts w:ascii="Calibri" w:hAnsi="Calibri" w:cs="Calibri"/>
          <w:b/>
          <w:color w:val="C00000"/>
          <w:spacing w:val="-7"/>
          <w:sz w:val="28"/>
        </w:rPr>
        <w:t xml:space="preserve"> </w:t>
      </w:r>
      <w:r w:rsidRPr="00DD7BD1">
        <w:rPr>
          <w:rFonts w:ascii="Calibri" w:hAnsi="Calibri" w:cs="Calibri"/>
          <w:b/>
          <w:spacing w:val="-10"/>
          <w:sz w:val="28"/>
        </w:rPr>
        <w:t>State Enacts</w:t>
      </w:r>
      <w:r w:rsidRPr="00DD7BD1">
        <w:rPr>
          <w:rFonts w:ascii="Calibri" w:hAnsi="Calibri" w:cs="Calibri"/>
          <w:b/>
          <w:spacing w:val="-7"/>
          <w:sz w:val="28"/>
        </w:rPr>
        <w:t xml:space="preserve"> </w:t>
      </w:r>
      <w:r w:rsidRPr="00DD7BD1">
        <w:rPr>
          <w:rFonts w:ascii="Calibri" w:hAnsi="Calibri" w:cs="Calibri"/>
          <w:b/>
          <w:spacing w:val="-10"/>
          <w:sz w:val="28"/>
        </w:rPr>
        <w:t>Mini-WARN</w:t>
      </w:r>
      <w:r w:rsidRPr="00DD7BD1">
        <w:rPr>
          <w:rFonts w:ascii="Calibri" w:hAnsi="Calibri" w:cs="Calibri"/>
          <w:b/>
          <w:spacing w:val="-7"/>
          <w:sz w:val="28"/>
        </w:rPr>
        <w:t xml:space="preserve"> </w:t>
      </w:r>
      <w:r w:rsidRPr="00DD7BD1">
        <w:rPr>
          <w:rFonts w:ascii="Calibri" w:hAnsi="Calibri" w:cs="Calibri"/>
          <w:b/>
          <w:spacing w:val="-10"/>
          <w:sz w:val="28"/>
        </w:rPr>
        <w:t>Act</w:t>
      </w:r>
      <w:r w:rsidRPr="00DD7BD1">
        <w:rPr>
          <w:rFonts w:ascii="Calibri" w:hAnsi="Calibri" w:cs="Calibri"/>
          <w:b/>
          <w:spacing w:val="-7"/>
          <w:sz w:val="28"/>
        </w:rPr>
        <w:t xml:space="preserve"> </w:t>
      </w:r>
      <w:r w:rsidRPr="00DD7BD1">
        <w:rPr>
          <w:rFonts w:ascii="Calibri" w:hAnsi="Calibri" w:cs="Calibri"/>
          <w:b/>
          <w:spacing w:val="-10"/>
          <w:sz w:val="28"/>
        </w:rPr>
        <w:t>Requiring Notice Components</w:t>
      </w:r>
      <w:r w:rsidRPr="00DD7BD1">
        <w:rPr>
          <w:rFonts w:ascii="Calibri" w:hAnsi="Calibri" w:cs="Calibri"/>
          <w:b/>
          <w:spacing w:val="-7"/>
          <w:sz w:val="28"/>
        </w:rPr>
        <w:t xml:space="preserve"> </w:t>
      </w:r>
      <w:r w:rsidRPr="00DD7BD1">
        <w:rPr>
          <w:rFonts w:ascii="Calibri" w:hAnsi="Calibri" w:cs="Calibri"/>
          <w:b/>
          <w:spacing w:val="-10"/>
          <w:sz w:val="28"/>
        </w:rPr>
        <w:t>in</w:t>
      </w:r>
      <w:r w:rsidRPr="00DD7BD1">
        <w:rPr>
          <w:rFonts w:ascii="Calibri" w:hAnsi="Calibri" w:cs="Calibri"/>
          <w:b/>
          <w:spacing w:val="-7"/>
          <w:sz w:val="28"/>
        </w:rPr>
        <w:t xml:space="preserve"> </w:t>
      </w:r>
      <w:r w:rsidRPr="00DD7BD1">
        <w:rPr>
          <w:rFonts w:ascii="Calibri" w:hAnsi="Calibri" w:cs="Calibri"/>
          <w:b/>
          <w:spacing w:val="-10"/>
          <w:sz w:val="28"/>
        </w:rPr>
        <w:t>Addition</w:t>
      </w:r>
      <w:r w:rsidRPr="00DD7BD1">
        <w:rPr>
          <w:rFonts w:ascii="Calibri" w:hAnsi="Calibri" w:cs="Calibri"/>
          <w:b/>
          <w:spacing w:val="-7"/>
          <w:sz w:val="28"/>
        </w:rPr>
        <w:t xml:space="preserve"> </w:t>
      </w:r>
      <w:r w:rsidRPr="00DD7BD1">
        <w:rPr>
          <w:rFonts w:ascii="Calibri" w:hAnsi="Calibri" w:cs="Calibri"/>
          <w:b/>
          <w:spacing w:val="-10"/>
          <w:sz w:val="28"/>
        </w:rPr>
        <w:t xml:space="preserve">to </w:t>
      </w:r>
      <w:r w:rsidRPr="00DD7BD1">
        <w:rPr>
          <w:rFonts w:ascii="Calibri" w:hAnsi="Calibri" w:cs="Calibri"/>
          <w:b/>
          <w:sz w:val="28"/>
        </w:rPr>
        <w:t>Federal</w:t>
      </w:r>
      <w:r w:rsidRPr="00DD7BD1">
        <w:rPr>
          <w:rFonts w:ascii="Calibri" w:hAnsi="Calibri" w:cs="Calibri"/>
          <w:b/>
          <w:spacing w:val="-11"/>
          <w:sz w:val="28"/>
        </w:rPr>
        <w:t xml:space="preserve"> </w:t>
      </w:r>
      <w:r w:rsidRPr="00DD7BD1">
        <w:rPr>
          <w:rFonts w:ascii="Calibri" w:hAnsi="Calibri" w:cs="Calibri"/>
          <w:b/>
          <w:sz w:val="28"/>
        </w:rPr>
        <w:t>WARN</w:t>
      </w:r>
      <w:r w:rsidRPr="00DD7BD1">
        <w:rPr>
          <w:rFonts w:ascii="Calibri" w:hAnsi="Calibri" w:cs="Calibri"/>
          <w:b/>
          <w:spacing w:val="-9"/>
          <w:sz w:val="28"/>
        </w:rPr>
        <w:t xml:space="preserve"> </w:t>
      </w:r>
      <w:r w:rsidRPr="00DD7BD1">
        <w:rPr>
          <w:rFonts w:ascii="Calibri" w:hAnsi="Calibri" w:cs="Calibri"/>
          <w:b/>
          <w:sz w:val="28"/>
        </w:rPr>
        <w:t>–</w:t>
      </w:r>
      <w:r w:rsidRPr="00DD7BD1">
        <w:rPr>
          <w:rFonts w:ascii="Calibri" w:hAnsi="Calibri" w:cs="Calibri"/>
          <w:b/>
          <w:spacing w:val="-11"/>
          <w:sz w:val="28"/>
        </w:rPr>
        <w:t xml:space="preserve"> </w:t>
      </w:r>
      <w:r w:rsidRPr="00DD7BD1">
        <w:rPr>
          <w:rFonts w:ascii="Calibri" w:hAnsi="Calibri" w:cs="Calibri"/>
          <w:b/>
          <w:color w:val="C00000"/>
          <w:sz w:val="28"/>
        </w:rPr>
        <w:t>Eff</w:t>
      </w:r>
      <w:r w:rsidRPr="00DD7BD1">
        <w:rPr>
          <w:rFonts w:ascii="Calibri" w:hAnsi="Calibri" w:cs="Calibri"/>
          <w:b/>
          <w:color w:val="C00000"/>
          <w:spacing w:val="-11"/>
          <w:sz w:val="28"/>
        </w:rPr>
        <w:t xml:space="preserve"> </w:t>
      </w:r>
      <w:r w:rsidRPr="00DD7BD1">
        <w:rPr>
          <w:rFonts w:ascii="Calibri" w:hAnsi="Calibri" w:cs="Calibri"/>
          <w:b/>
          <w:color w:val="C00000"/>
          <w:sz w:val="28"/>
        </w:rPr>
        <w:t>Sept</w:t>
      </w:r>
      <w:r w:rsidRPr="00DD7BD1">
        <w:rPr>
          <w:rFonts w:ascii="Calibri" w:hAnsi="Calibri" w:cs="Calibri"/>
          <w:b/>
          <w:color w:val="C00000"/>
          <w:spacing w:val="-11"/>
          <w:sz w:val="28"/>
        </w:rPr>
        <w:t xml:space="preserve"> </w:t>
      </w:r>
      <w:r w:rsidRPr="00DD7BD1">
        <w:rPr>
          <w:rFonts w:ascii="Calibri" w:hAnsi="Calibri" w:cs="Calibri"/>
          <w:b/>
          <w:color w:val="C00000"/>
          <w:sz w:val="28"/>
        </w:rPr>
        <w:t>29,</w:t>
      </w:r>
      <w:r w:rsidRPr="00DD7BD1">
        <w:rPr>
          <w:rFonts w:ascii="Calibri" w:hAnsi="Calibri" w:cs="Calibri"/>
          <w:b/>
          <w:color w:val="C00000"/>
          <w:spacing w:val="-11"/>
          <w:sz w:val="28"/>
        </w:rPr>
        <w:t xml:space="preserve"> </w:t>
      </w:r>
      <w:r w:rsidRPr="00DD7BD1">
        <w:rPr>
          <w:rFonts w:ascii="Calibri" w:hAnsi="Calibri" w:cs="Calibri"/>
          <w:b/>
          <w:color w:val="C00000"/>
          <w:sz w:val="28"/>
        </w:rPr>
        <w:t>2025</w:t>
      </w:r>
    </w:p>
    <w:p w14:paraId="5F083FC7" w14:textId="77777777" w:rsidR="003D0CE0" w:rsidRPr="00DD7BD1" w:rsidRDefault="003D0CE0" w:rsidP="00F972F4">
      <w:pPr>
        <w:spacing w:after="0" w:line="240" w:lineRule="auto"/>
        <w:jc w:val="center"/>
        <w:rPr>
          <w:rFonts w:ascii="Calibri" w:hAnsi="Calibri" w:cs="Calibri"/>
          <w:b/>
          <w:bCs/>
          <w:sz w:val="28"/>
          <w:szCs w:val="28"/>
          <w:shd w:val="clear" w:color="auto" w:fill="FFFFFF"/>
          <w:lang w:val="en"/>
        </w:rPr>
      </w:pPr>
    </w:p>
    <w:p w14:paraId="39A0FC3F" w14:textId="28339C84" w:rsidR="00F972F4" w:rsidRPr="00DD7BD1" w:rsidRDefault="00F972F4" w:rsidP="00F972F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Mini-WARN Act Requiring Notice Components in Addition to Federal WARN – </w:t>
      </w:r>
      <w:r w:rsidRPr="00DD7BD1">
        <w:rPr>
          <w:rFonts w:ascii="Calibri" w:hAnsi="Calibri" w:cs="Calibri"/>
          <w:b/>
          <w:bCs/>
          <w:color w:val="C00000"/>
          <w:sz w:val="28"/>
          <w:szCs w:val="28"/>
          <w:shd w:val="clear" w:color="auto" w:fill="FFFFFF"/>
          <w:lang w:val="en"/>
        </w:rPr>
        <w:t>Eff Sept 29, 2025</w:t>
      </w:r>
      <w:bookmarkEnd w:id="132"/>
    </w:p>
    <w:p w14:paraId="6FF9E0D7" w14:textId="77777777"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DD7BD1" w:rsidRDefault="00F972F4" w:rsidP="00F972F4">
      <w:pPr>
        <w:spacing w:after="0" w:line="240" w:lineRule="auto"/>
        <w:ind w:left="720"/>
        <w:jc w:val="both"/>
        <w:rPr>
          <w:rFonts w:ascii="Calibri" w:hAnsi="Calibri" w:cs="Calibri"/>
          <w:shd w:val="clear" w:color="auto" w:fill="FFFFFF"/>
        </w:rPr>
      </w:pPr>
    </w:p>
    <w:p w14:paraId="22096F42" w14:textId="45F6B15B"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2025, Ohio Governor Mike DeWine signed </w:t>
      </w:r>
      <w:hyperlink r:id="rId984" w:tgtFrame="_blank" w:history="1">
        <w:r w:rsidRPr="00DD7BD1">
          <w:rPr>
            <w:rStyle w:val="Hyperlink"/>
            <w:rFonts w:ascii="Calibri" w:hAnsi="Calibri" w:cs="Calibri"/>
            <w:shd w:val="clear" w:color="auto" w:fill="FFFFFF"/>
          </w:rPr>
          <w:t>House Bill No. 96</w:t>
        </w:r>
      </w:hyperlink>
      <w:r w:rsidRPr="00DD7BD1">
        <w:rPr>
          <w:rFonts w:ascii="Calibri" w:hAnsi="Calibri" w:cs="Calibri"/>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Next Steps</w:t>
      </w:r>
    </w:p>
    <w:p w14:paraId="4EE44CA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Like Federal WARN, Ohio WARN involves complicated questions about whether a notice obligation exists, who must be counted, when notice must be given, and the elements of the notice. </w:t>
      </w:r>
    </w:p>
    <w:p w14:paraId="275CA43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Potential action items for employers include:</w:t>
      </w:r>
    </w:p>
    <w:p w14:paraId="2813AE44"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3"/>
    <w:p w14:paraId="1EDA594F" w14:textId="77777777" w:rsidR="00F972F4" w:rsidRPr="00DD7BD1" w:rsidRDefault="00F972F4" w:rsidP="00406B06">
      <w:pPr>
        <w:spacing w:after="0" w:line="240" w:lineRule="auto"/>
        <w:jc w:val="center"/>
        <w:rPr>
          <w:rFonts w:ascii="Calibri" w:hAnsi="Calibri" w:cs="Calibri"/>
          <w:b/>
          <w:bCs/>
          <w:sz w:val="20"/>
          <w:szCs w:val="20"/>
          <w:shd w:val="clear" w:color="auto" w:fill="FFFFFF"/>
          <w:lang w:val="en"/>
        </w:rPr>
      </w:pPr>
    </w:p>
    <w:p w14:paraId="272C2A7B" w14:textId="6BB877D7" w:rsidR="00406B06" w:rsidRPr="00DD7BD1" w:rsidRDefault="00406B06" w:rsidP="00406B0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Allows Electronic Labor Notice Postings – </w:t>
      </w:r>
      <w:r w:rsidRPr="00DD7BD1">
        <w:rPr>
          <w:rFonts w:ascii="Calibri" w:hAnsi="Calibri" w:cs="Calibri"/>
          <w:b/>
          <w:bCs/>
          <w:color w:val="C00000"/>
          <w:sz w:val="28"/>
          <w:szCs w:val="28"/>
          <w:shd w:val="clear" w:color="auto" w:fill="FFFFFF"/>
          <w:lang w:val="en"/>
        </w:rPr>
        <w:t>Eff July 21, 2025</w:t>
      </w:r>
    </w:p>
    <w:p w14:paraId="64667FF5"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Starting July 21, 2025, Ohio employers will be allowed to post certain employee notices on the internet instead of physically in the workplace. </w:t>
      </w:r>
    </w:p>
    <w:p w14:paraId="4B47BA96" w14:textId="77777777" w:rsidR="00406B06" w:rsidRPr="00DD7BD1" w:rsidRDefault="00406B06" w:rsidP="00406B06">
      <w:pPr>
        <w:spacing w:after="0" w:line="240" w:lineRule="auto"/>
        <w:rPr>
          <w:rFonts w:ascii="Calibri" w:hAnsi="Calibri" w:cs="Calibri"/>
          <w:sz w:val="16"/>
          <w:szCs w:val="16"/>
          <w:shd w:val="clear" w:color="auto" w:fill="FFFFFF"/>
        </w:rPr>
      </w:pPr>
    </w:p>
    <w:p w14:paraId="19CDEB81"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Specifically, employers will be allowed to post the following state law notices on the internet, but only if they </w:t>
      </w:r>
      <w:proofErr w:type="gramStart"/>
      <w:r w:rsidRPr="00DD7BD1">
        <w:rPr>
          <w:rFonts w:ascii="Calibri" w:hAnsi="Calibri" w:cs="Calibri"/>
          <w:shd w:val="clear" w:color="auto" w:fill="FFFFFF"/>
        </w:rPr>
        <w:t>will be</w:t>
      </w:r>
      <w:proofErr w:type="gramEnd"/>
      <w:r w:rsidRPr="00DD7BD1">
        <w:rPr>
          <w:rFonts w:ascii="Calibri" w:hAnsi="Calibri" w:cs="Calibri"/>
          <w:shd w:val="clear" w:color="auto" w:fill="FFFFFF"/>
        </w:rPr>
        <w:t xml:space="preserve"> accessible to all employees: </w:t>
      </w:r>
    </w:p>
    <w:p w14:paraId="0BD073A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minimum wage and overtime law and rules</w:t>
      </w:r>
    </w:p>
    <w:p w14:paraId="56F0B11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wage discrimination law and rules</w:t>
      </w:r>
    </w:p>
    <w:p w14:paraId="6AC5C140"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Know Your Rights </w:t>
      </w:r>
      <w:r w:rsidRPr="00DD7BD1">
        <w:rPr>
          <w:rFonts w:ascii="Calibri" w:hAnsi="Calibri" w:cs="Calibri"/>
          <w:shd w:val="clear" w:color="auto" w:fill="FFFFFF"/>
        </w:rPr>
        <w:t>(Fair Employment Practice Poster)</w:t>
      </w:r>
    </w:p>
    <w:p w14:paraId="3F93998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Certificate of Premium Payment</w:t>
      </w:r>
      <w:r w:rsidRPr="00DD7BD1">
        <w:rPr>
          <w:rFonts w:ascii="Calibri" w:hAnsi="Calibri" w:cs="Calibri"/>
          <w:shd w:val="clear" w:color="auto" w:fill="FFFFFF"/>
        </w:rPr>
        <w:t> (relating to workers’ compensation)</w:t>
      </w:r>
    </w:p>
    <w:p w14:paraId="1C76A63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Notice regarding drug and alcohol tests results being able to affect employees’ eligibility for workers’ compensation benefits</w:t>
      </w:r>
    </w:p>
    <w:p w14:paraId="0ED46135"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Abstract summarizing Ohio’s child labor law</w:t>
      </w:r>
    </w:p>
    <w:p w14:paraId="04A1E914" w14:textId="77777777" w:rsidR="00406B06" w:rsidRPr="00DD7BD1" w:rsidRDefault="00406B06" w:rsidP="00406B06">
      <w:pPr>
        <w:spacing w:after="0" w:line="240" w:lineRule="auto"/>
        <w:rPr>
          <w:rFonts w:ascii="Calibri" w:hAnsi="Calibri" w:cs="Calibri"/>
          <w:sz w:val="16"/>
          <w:szCs w:val="16"/>
          <w:shd w:val="clear" w:color="auto" w:fill="FFFFFF"/>
        </w:rPr>
      </w:pPr>
    </w:p>
    <w:p w14:paraId="497BA315" w14:textId="751705F6"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DD7BD1" w:rsidRDefault="00406B06" w:rsidP="00406B06">
      <w:pPr>
        <w:spacing w:after="0" w:line="240" w:lineRule="auto"/>
        <w:rPr>
          <w:rFonts w:ascii="Calibri" w:hAnsi="Calibri" w:cs="Calibri"/>
          <w:shd w:val="clear" w:color="auto" w:fill="FFFFFF"/>
        </w:rPr>
      </w:pPr>
    </w:p>
    <w:p w14:paraId="3B22C107" w14:textId="0BE41EBB" w:rsidR="00AD4A8E" w:rsidRPr="00DD7BD1" w:rsidRDefault="00AD4A8E" w:rsidP="00AD4A8E">
      <w:pPr>
        <w:jc w:val="center"/>
        <w:rPr>
          <w:rFonts w:ascii="Calibri" w:hAnsi="Calibri" w:cs="Calibri"/>
          <w:b/>
          <w:bCs/>
          <w:shd w:val="clear" w:color="auto" w:fill="FFFFFF"/>
        </w:rPr>
      </w:pPr>
      <w:r w:rsidRPr="00DD7BD1">
        <w:rPr>
          <w:rFonts w:ascii="Calibri" w:hAnsi="Calibri" w:cs="Calibri"/>
          <w:b/>
          <w:bCs/>
          <w:color w:val="C00000"/>
          <w:sz w:val="28"/>
          <w:szCs w:val="28"/>
          <w:u w:val="single"/>
          <w:shd w:val="clear" w:color="auto" w:fill="FFFFFF"/>
        </w:rPr>
        <w:t xml:space="preserve">Cleveland </w:t>
      </w:r>
      <w:r w:rsidRPr="00DD7BD1">
        <w:rPr>
          <w:rFonts w:ascii="Calibri" w:hAnsi="Calibri" w:cs="Calibri"/>
          <w:b/>
          <w:bCs/>
          <w:sz w:val="28"/>
          <w:szCs w:val="28"/>
          <w:shd w:val="clear" w:color="auto" w:fill="FFFFFF"/>
        </w:rPr>
        <w:t xml:space="preserve">Joins the Pay Equity Trend, Mandating Pay Transparency and Banning Salary Inquiries – </w:t>
      </w:r>
      <w:r w:rsidRPr="00DD7BD1">
        <w:rPr>
          <w:rFonts w:ascii="Calibri" w:hAnsi="Calibri" w:cs="Calibri"/>
          <w:b/>
          <w:bCs/>
          <w:color w:val="C00000"/>
          <w:sz w:val="28"/>
          <w:szCs w:val="28"/>
          <w:shd w:val="clear" w:color="auto" w:fill="FFFFFF"/>
        </w:rPr>
        <w:t>Eff Oct 27, 2025</w:t>
      </w:r>
    </w:p>
    <w:p w14:paraId="140A242D" w14:textId="15483170"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On April 30, 2025, Cleveland, Ohio, became the latest in a long list of jurisdictions to restrict how private employers recruit and hire talent. Intended to promote equitable compensation practices, </w:t>
      </w:r>
      <w:hyperlink r:id="rId985" w:tgtFrame="_blank" w:history="1">
        <w:r w:rsidRPr="00DD7BD1">
          <w:rPr>
            <w:rStyle w:val="Hyperlink"/>
            <w:rFonts w:ascii="Calibri" w:hAnsi="Calibri" w:cs="Calibri"/>
            <w:shd w:val="clear" w:color="auto" w:fill="FFFFFF"/>
          </w:rPr>
          <w:t>Ordinance No. 104-2025</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requires covered employers to </w:t>
      </w:r>
      <w:r w:rsidRPr="00DD7BD1">
        <w:rPr>
          <w:rFonts w:ascii="Calibri" w:hAnsi="Calibri" w:cs="Calibri"/>
          <w:u w:val="single"/>
          <w:shd w:val="clear" w:color="auto" w:fill="FFFFFF"/>
        </w:rPr>
        <w:t>post salary information in job ads</w:t>
      </w:r>
      <w:r w:rsidRPr="00DD7BD1">
        <w:rPr>
          <w:rFonts w:ascii="Calibri" w:hAnsi="Calibri" w:cs="Calibri"/>
          <w:shd w:val="clear" w:color="auto" w:fill="FFFFFF"/>
        </w:rPr>
        <w:t xml:space="preserve"> and further </w:t>
      </w:r>
      <w:r w:rsidRPr="00DD7BD1">
        <w:rPr>
          <w:rFonts w:ascii="Calibri" w:hAnsi="Calibri" w:cs="Calibri"/>
          <w:u w:val="single"/>
          <w:shd w:val="clear" w:color="auto" w:fill="FFFFFF"/>
        </w:rPr>
        <w:t>bans covered employers from asking applicants about their salary history or using salary history to set pay</w:t>
      </w:r>
      <w:r w:rsidRPr="00DD7BD1">
        <w:rPr>
          <w:rFonts w:ascii="Calibri" w:hAnsi="Calibri" w:cs="Calibri"/>
          <w:shd w:val="clear" w:color="auto" w:fill="FFFFFF"/>
        </w:rPr>
        <w:t>. The ordinance covers private employers with at least 15 employees located in Cleveland and takes effect October 27, 2025.</w:t>
      </w:r>
    </w:p>
    <w:p w14:paraId="641A80E0" w14:textId="77777777" w:rsidR="00AD4A8E" w:rsidRPr="00DD7BD1" w:rsidRDefault="00AD4A8E" w:rsidP="00AD4A8E">
      <w:pPr>
        <w:rPr>
          <w:rFonts w:ascii="Calibri" w:hAnsi="Calibri" w:cs="Calibri"/>
          <w:b/>
          <w:bCs/>
          <w:shd w:val="clear" w:color="auto" w:fill="FFFFFF"/>
        </w:rPr>
      </w:pPr>
      <w:r w:rsidRPr="00DD7BD1">
        <w:rPr>
          <w:rFonts w:ascii="Calibri" w:hAnsi="Calibri" w:cs="Calibri"/>
          <w:b/>
          <w:bCs/>
          <w:shd w:val="clear" w:color="auto" w:fill="FFFFFF"/>
        </w:rPr>
        <w:t>Mandatory Inclusion of Compensation Information in Job Postings</w:t>
      </w:r>
    </w:p>
    <w:p w14:paraId="0CBA19C3" w14:textId="6C537D29"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DD7BD1" w:rsidRDefault="00AD4A8E" w:rsidP="00AD4A8E">
      <w:pPr>
        <w:rPr>
          <w:rFonts w:ascii="Calibri" w:hAnsi="Calibri" w:cs="Calibri"/>
          <w:shd w:val="clear" w:color="auto" w:fill="FFFFFF"/>
        </w:rPr>
      </w:pPr>
      <w:r w:rsidRPr="00DD7BD1">
        <w:rPr>
          <w:rFonts w:ascii="Calibri" w:hAnsi="Calibri" w:cs="Calibri"/>
          <w:b/>
          <w:bCs/>
          <w:shd w:val="clear" w:color="auto" w:fill="FFFFFF"/>
        </w:rPr>
        <w:t>Carveouts to Prohibitions</w:t>
      </w:r>
    </w:p>
    <w:p w14:paraId="3C3BEE9B"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exempts certain categories of employees and circumstances from its broad prohibitions.</w:t>
      </w:r>
    </w:p>
    <w:p w14:paraId="623D8D8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Next, where a collective bargaining agreement governs compensation, the ordinance does not apply to positions subject to the agreement.</w:t>
      </w:r>
    </w:p>
    <w:p w14:paraId="0F0AB79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lastRenderedPageBreak/>
        <w:t>Finally, the ordinance does not apply where a separate federal, state or local law specifically authorizes the employer to rely on an applicant’s salary history to determine pay for the job.</w:t>
      </w:r>
    </w:p>
    <w:p w14:paraId="4755CFED" w14:textId="58796C11" w:rsidR="00AD4A8E" w:rsidRPr="00DD7BD1" w:rsidRDefault="00AD4A8E" w:rsidP="00AD4A8E">
      <w:pPr>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w:t>
      </w:r>
      <w:proofErr w:type="gramStart"/>
      <w:r w:rsidRPr="00DD7BD1">
        <w:rPr>
          <w:rFonts w:ascii="Calibri" w:hAnsi="Calibri" w:cs="Calibri"/>
          <w:shd w:val="clear" w:color="auto" w:fill="FFFFFF"/>
        </w:rPr>
        <w:t>similar to</w:t>
      </w:r>
      <w:proofErr w:type="gramEnd"/>
      <w:r w:rsidRPr="00DD7BD1">
        <w:rPr>
          <w:rFonts w:ascii="Calibri" w:hAnsi="Calibri" w:cs="Calibri"/>
          <w:shd w:val="clear" w:color="auto" w:fill="FFFFFF"/>
        </w:rPr>
        <w:t xml:space="preserve"> the ordinance already in effect: Cincinnati (effective March 2020), Toledo (effective June 2020) and Columbus (effective March 2024).</w:t>
      </w:r>
    </w:p>
    <w:p w14:paraId="032422CD" w14:textId="3E6517FB" w:rsidR="00BD445F" w:rsidRPr="00DD7BD1" w:rsidRDefault="00BD445F" w:rsidP="00BD445F">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Wage Statement Regulations – </w:t>
      </w:r>
      <w:r w:rsidRPr="00DD7BD1">
        <w:rPr>
          <w:rFonts w:ascii="Calibri" w:hAnsi="Calibri" w:cs="Calibri"/>
          <w:b/>
          <w:bCs/>
          <w:color w:val="C00000"/>
          <w:sz w:val="28"/>
          <w:szCs w:val="28"/>
          <w:shd w:val="clear" w:color="auto" w:fill="FFFFFF"/>
          <w:lang w:val="en"/>
        </w:rPr>
        <w:t>Eff April 9, 2025</w:t>
      </w:r>
    </w:p>
    <w:p w14:paraId="1C57BC5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8, 2025, Ohio enacted the </w:t>
      </w:r>
      <w:hyperlink r:id="rId986" w:history="1">
        <w:r w:rsidRPr="00DD7BD1">
          <w:rPr>
            <w:rStyle w:val="Hyperlink"/>
            <w:rFonts w:ascii="Calibri" w:hAnsi="Calibri" w:cs="Calibri"/>
            <w:shd w:val="clear" w:color="auto" w:fill="FFFFFF"/>
          </w:rPr>
          <w:t>Pay Stub Protection Act</w:t>
        </w:r>
      </w:hyperlink>
      <w:r w:rsidRPr="00DD7BD1">
        <w:rPr>
          <w:rFonts w:ascii="Calibri" w:hAnsi="Calibri" w:cs="Calibri"/>
          <w:shd w:val="clear" w:color="auto" w:fill="FFFFFF"/>
        </w:rPr>
        <w:t xml:space="preserve"> (the Act) (OH HB106) requiring employers to provide earning and deduction statements to each employee. The Act becomes effective on </w:t>
      </w:r>
      <w:r w:rsidRPr="00DD7BD1">
        <w:rPr>
          <w:rFonts w:ascii="Calibri" w:hAnsi="Calibri" w:cs="Calibri"/>
          <w:b/>
          <w:bCs/>
          <w:shd w:val="clear" w:color="auto" w:fill="FFFFFF"/>
        </w:rPr>
        <w:t>April 9, 2025</w:t>
      </w:r>
      <w:r w:rsidRPr="00DD7BD1">
        <w:rPr>
          <w:rFonts w:ascii="Calibri" w:hAnsi="Calibri" w:cs="Calibri"/>
          <w:shd w:val="clear" w:color="auto" w:fill="FFFFFF"/>
        </w:rPr>
        <w:t>.</w:t>
      </w:r>
    </w:p>
    <w:p w14:paraId="6CE1DD81" w14:textId="77777777" w:rsidR="00BD445F" w:rsidRPr="00DD7BD1" w:rsidRDefault="00BD445F" w:rsidP="00BD445F">
      <w:pPr>
        <w:spacing w:after="0" w:line="240" w:lineRule="auto"/>
        <w:rPr>
          <w:rFonts w:ascii="Calibri" w:hAnsi="Calibri" w:cs="Calibri"/>
          <w:sz w:val="16"/>
          <w:szCs w:val="16"/>
          <w:shd w:val="clear" w:color="auto" w:fill="FFFFFF"/>
        </w:rPr>
      </w:pPr>
    </w:p>
    <w:p w14:paraId="2FFB84AB"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employee’s name and address;</w:t>
      </w:r>
    </w:p>
    <w:p w14:paraId="0286FC4A"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employer’s name;</w:t>
      </w:r>
    </w:p>
    <w:p w14:paraId="0F896533"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gross wages earned by the employee during the pay period;</w:t>
      </w:r>
    </w:p>
    <w:p w14:paraId="24FBFF7E"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net wages paid to the employee for the pay period;</w:t>
      </w:r>
    </w:p>
    <w:p w14:paraId="72854476"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A listing of the amount and purpose of each addition to or deduction from wages paid to the employee during the pay period; and</w:t>
      </w:r>
    </w:p>
    <w:p w14:paraId="7DA04BD7"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date the employee was paid and the pay period covered by that payment.</w:t>
      </w:r>
    </w:p>
    <w:p w14:paraId="098A6361" w14:textId="77777777" w:rsidR="00BD445F" w:rsidRPr="00DD7BD1" w:rsidRDefault="00BD445F" w:rsidP="00BD445F">
      <w:pPr>
        <w:pStyle w:val="BodyText"/>
        <w:spacing w:after="0" w:line="240" w:lineRule="auto"/>
        <w:rPr>
          <w:rFonts w:eastAsiaTheme="minorHAnsi" w:cs="Calibri"/>
          <w:color w:val="auto"/>
          <w:sz w:val="16"/>
          <w:szCs w:val="16"/>
          <w:shd w:val="clear" w:color="auto" w:fill="FFFFFF"/>
        </w:rPr>
      </w:pPr>
    </w:p>
    <w:p w14:paraId="1D1345D9" w14:textId="77777777" w:rsidR="00BD445F" w:rsidRPr="00DD7BD1" w:rsidRDefault="00BD445F" w:rsidP="00BD445F">
      <w:pPr>
        <w:pStyle w:val="BodyText"/>
        <w:spacing w:after="0" w:line="240" w:lineRule="auto"/>
        <w:rPr>
          <w:rFonts w:eastAsiaTheme="minorHAnsi" w:cs="Calibri"/>
          <w:color w:val="auto"/>
          <w:szCs w:val="22"/>
          <w:shd w:val="clear" w:color="auto" w:fill="FFFFFF"/>
        </w:rPr>
      </w:pPr>
      <w:r w:rsidRPr="00DD7BD1">
        <w:rPr>
          <w:rFonts w:eastAsiaTheme="minorHAnsi" w:cs="Calibri"/>
          <w:color w:val="auto"/>
          <w:szCs w:val="22"/>
          <w:shd w:val="clear" w:color="auto" w:fill="FFFFFF"/>
        </w:rPr>
        <w:t xml:space="preserve">If employees are paid on an hourly basis, employers must also include the total number of hours the employee worked in the pay period, the hourly rate at which the employee was paid and the employee’s hours worked </w:t>
      </w:r>
      <w:proofErr w:type="gramStart"/>
      <w:r w:rsidRPr="00DD7BD1">
        <w:rPr>
          <w:rFonts w:eastAsiaTheme="minorHAnsi" w:cs="Calibri"/>
          <w:color w:val="auto"/>
          <w:szCs w:val="22"/>
          <w:shd w:val="clear" w:color="auto" w:fill="FFFFFF"/>
        </w:rPr>
        <w:t>in excess of</w:t>
      </w:r>
      <w:proofErr w:type="gramEnd"/>
      <w:r w:rsidRPr="00DD7BD1">
        <w:rPr>
          <w:rFonts w:eastAsiaTheme="minorHAnsi" w:cs="Calibri"/>
          <w:color w:val="auto"/>
          <w:szCs w:val="22"/>
          <w:shd w:val="clear" w:color="auto" w:fill="FFFFFF"/>
        </w:rPr>
        <w:t xml:space="preserve"> 40 hours in one workweek in the wage statement.</w:t>
      </w:r>
    </w:p>
    <w:p w14:paraId="780962E9" w14:textId="77777777" w:rsidR="00BD445F" w:rsidRPr="00DD7BD1" w:rsidRDefault="00BD445F" w:rsidP="004B7569">
      <w:pPr>
        <w:spacing w:after="0" w:line="240" w:lineRule="auto"/>
        <w:jc w:val="both"/>
        <w:rPr>
          <w:rFonts w:ascii="Calibri" w:hAnsi="Calibri" w:cs="Calibri"/>
          <w:b/>
          <w:bCs/>
          <w:color w:val="2E74B5" w:themeColor="accent5" w:themeShade="BF"/>
          <w:sz w:val="20"/>
          <w:szCs w:val="20"/>
          <w:shd w:val="clear" w:color="auto" w:fill="FFFFFF"/>
          <w:lang w:val="en"/>
        </w:rPr>
      </w:pPr>
    </w:p>
    <w:p w14:paraId="268EA076" w14:textId="3A42912D"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Oklahoma</w:t>
      </w:r>
    </w:p>
    <w:p w14:paraId="3EE23397" w14:textId="6C27CCBB" w:rsidR="00F01E43" w:rsidRPr="00DD7BD1" w:rsidRDefault="00F01E43" w:rsidP="00F01E43">
      <w:pPr>
        <w:spacing w:after="0" w:line="240" w:lineRule="auto"/>
        <w:ind w:right="-27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Tip Credit – </w:t>
      </w:r>
      <w:r w:rsidRPr="00DD7BD1">
        <w:rPr>
          <w:rFonts w:ascii="Calibri" w:hAnsi="Calibri" w:cs="Calibri"/>
          <w:b/>
          <w:bCs/>
          <w:color w:val="C00000"/>
          <w:sz w:val="28"/>
          <w:szCs w:val="28"/>
          <w:shd w:val="clear" w:color="auto" w:fill="FFFFFF"/>
          <w:lang w:val="en"/>
        </w:rPr>
        <w:t>Eff</w:t>
      </w:r>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Nov 1, 2025</w:t>
      </w:r>
    </w:p>
    <w:p w14:paraId="6BEAD5EB" w14:textId="5F5AE426" w:rsidR="00F01E43" w:rsidRPr="00DD7BD1" w:rsidRDefault="00F01E43" w:rsidP="00F01E43">
      <w:pPr>
        <w:pStyle w:val="BodyText"/>
        <w:spacing w:after="0" w:line="240" w:lineRule="auto"/>
        <w:ind w:right="-270"/>
        <w:rPr>
          <w:rFonts w:cs="Calibri"/>
          <w:color w:val="auto"/>
          <w:spacing w:val="-4"/>
          <w:w w:val="110"/>
          <w:szCs w:val="22"/>
        </w:rPr>
      </w:pPr>
      <w:r w:rsidRPr="00DD7BD1">
        <w:rPr>
          <w:rFonts w:cs="Calibri"/>
          <w:color w:val="auto"/>
          <w:spacing w:val="-2"/>
          <w:w w:val="110"/>
          <w:szCs w:val="22"/>
        </w:rPr>
        <w:t>Beginning</w:t>
      </w:r>
      <w:r w:rsidRPr="00DD7BD1">
        <w:rPr>
          <w:rFonts w:cs="Calibri"/>
          <w:color w:val="auto"/>
          <w:spacing w:val="-10"/>
          <w:w w:val="110"/>
          <w:szCs w:val="22"/>
        </w:rPr>
        <w:t xml:space="preserve"> </w:t>
      </w:r>
      <w:r w:rsidRPr="00DD7BD1">
        <w:rPr>
          <w:rFonts w:cs="Calibri"/>
          <w:color w:val="auto"/>
          <w:spacing w:val="-2"/>
          <w:w w:val="110"/>
          <w:szCs w:val="22"/>
        </w:rPr>
        <w:t>November</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9"/>
          <w:w w:val="110"/>
          <w:szCs w:val="22"/>
        </w:rPr>
        <w:t xml:space="preserve"> </w:t>
      </w:r>
      <w:r w:rsidRPr="00DD7BD1">
        <w:rPr>
          <w:rFonts w:cs="Calibri"/>
          <w:color w:val="auto"/>
          <w:spacing w:val="-2"/>
          <w:w w:val="110"/>
          <w:szCs w:val="22"/>
        </w:rPr>
        <w:t>2025,</w:t>
      </w:r>
      <w:r w:rsidRPr="00DD7BD1">
        <w:rPr>
          <w:rFonts w:cs="Calibri"/>
          <w:color w:val="auto"/>
          <w:spacing w:val="-10"/>
          <w:w w:val="110"/>
          <w:szCs w:val="22"/>
        </w:rPr>
        <w:t xml:space="preserve"> </w:t>
      </w:r>
      <w:r w:rsidRPr="00DD7BD1">
        <w:rPr>
          <w:rFonts w:cs="Calibri"/>
          <w:color w:val="auto"/>
          <w:spacing w:val="-2"/>
          <w:w w:val="110"/>
          <w:szCs w:val="22"/>
        </w:rPr>
        <w:t>Oklahoma</w:t>
      </w:r>
      <w:r w:rsidRPr="00DD7BD1">
        <w:rPr>
          <w:rFonts w:cs="Calibri"/>
          <w:color w:val="auto"/>
          <w:spacing w:val="-9"/>
          <w:w w:val="110"/>
          <w:szCs w:val="22"/>
        </w:rPr>
        <w:t xml:space="preserve"> </w:t>
      </w:r>
      <w:r w:rsidRPr="00DD7BD1">
        <w:rPr>
          <w:rFonts w:cs="Calibri"/>
          <w:color w:val="auto"/>
          <w:spacing w:val="-2"/>
          <w:w w:val="110"/>
          <w:szCs w:val="22"/>
        </w:rPr>
        <w:t>will</w:t>
      </w:r>
      <w:r w:rsidRPr="00DD7BD1">
        <w:rPr>
          <w:rFonts w:cs="Calibri"/>
          <w:color w:val="auto"/>
          <w:spacing w:val="-9"/>
          <w:w w:val="110"/>
          <w:szCs w:val="22"/>
        </w:rPr>
        <w:t xml:space="preserve"> </w:t>
      </w:r>
      <w:r w:rsidRPr="00DD7BD1">
        <w:rPr>
          <w:rFonts w:cs="Calibri"/>
          <w:color w:val="auto"/>
          <w:spacing w:val="-2"/>
          <w:w w:val="110"/>
          <w:szCs w:val="22"/>
        </w:rPr>
        <w:t>increase</w:t>
      </w:r>
      <w:r w:rsidRPr="00DD7BD1">
        <w:rPr>
          <w:rFonts w:cs="Calibri"/>
          <w:color w:val="auto"/>
          <w:spacing w:val="-7"/>
          <w:w w:val="110"/>
          <w:szCs w:val="22"/>
        </w:rPr>
        <w:t xml:space="preserve"> </w:t>
      </w:r>
      <w:r w:rsidRPr="00DD7BD1">
        <w:rPr>
          <w:rFonts w:cs="Calibri"/>
          <w:color w:val="auto"/>
          <w:spacing w:val="-2"/>
          <w:w w:val="110"/>
          <w:szCs w:val="22"/>
        </w:rPr>
        <w:t>the</w:t>
      </w:r>
      <w:r w:rsidRPr="00DD7BD1">
        <w:rPr>
          <w:rFonts w:cs="Calibri"/>
          <w:color w:val="auto"/>
          <w:spacing w:val="-11"/>
          <w:w w:val="110"/>
          <w:szCs w:val="22"/>
        </w:rPr>
        <w:t xml:space="preserve"> </w:t>
      </w:r>
      <w:r w:rsidRPr="00DD7BD1">
        <w:rPr>
          <w:rFonts w:cs="Calibri"/>
          <w:color w:val="auto"/>
          <w:spacing w:val="-2"/>
          <w:w w:val="110"/>
          <w:szCs w:val="22"/>
        </w:rPr>
        <w:t>allowable</w:t>
      </w:r>
      <w:r w:rsidRPr="00DD7BD1">
        <w:rPr>
          <w:rFonts w:cs="Calibri"/>
          <w:color w:val="auto"/>
          <w:spacing w:val="-7"/>
          <w:w w:val="110"/>
          <w:szCs w:val="22"/>
        </w:rPr>
        <w:t xml:space="preserve"> </w:t>
      </w:r>
      <w:r w:rsidRPr="00DD7BD1">
        <w:rPr>
          <w:rFonts w:cs="Calibri"/>
          <w:color w:val="auto"/>
          <w:spacing w:val="-2"/>
          <w:w w:val="110"/>
          <w:szCs w:val="22"/>
        </w:rPr>
        <w:t>tip</w:t>
      </w:r>
      <w:r w:rsidRPr="00DD7BD1">
        <w:rPr>
          <w:rFonts w:cs="Calibri"/>
          <w:color w:val="auto"/>
          <w:spacing w:val="-11"/>
          <w:w w:val="110"/>
          <w:szCs w:val="22"/>
        </w:rPr>
        <w:t xml:space="preserve"> </w:t>
      </w:r>
      <w:r w:rsidRPr="00DD7BD1">
        <w:rPr>
          <w:rFonts w:cs="Calibri"/>
          <w:color w:val="auto"/>
          <w:spacing w:val="-2"/>
          <w:w w:val="110"/>
          <w:szCs w:val="22"/>
        </w:rPr>
        <w:t>credit under</w:t>
      </w:r>
      <w:r w:rsidRPr="00DD7BD1">
        <w:rPr>
          <w:rFonts w:cs="Calibri"/>
          <w:color w:val="auto"/>
          <w:spacing w:val="-11"/>
          <w:w w:val="110"/>
          <w:szCs w:val="22"/>
        </w:rPr>
        <w:t xml:space="preserve"> </w:t>
      </w:r>
      <w:r w:rsidRPr="00DD7BD1">
        <w:rPr>
          <w:rFonts w:cs="Calibri"/>
          <w:color w:val="auto"/>
          <w:spacing w:val="-2"/>
          <w:w w:val="110"/>
          <w:szCs w:val="22"/>
        </w:rPr>
        <w:t>SB</w:t>
      </w:r>
      <w:r w:rsidRPr="00DD7BD1">
        <w:rPr>
          <w:rFonts w:cs="Calibri"/>
          <w:color w:val="auto"/>
          <w:spacing w:val="-9"/>
          <w:w w:val="110"/>
          <w:szCs w:val="22"/>
        </w:rPr>
        <w:t xml:space="preserve"> </w:t>
      </w:r>
      <w:r w:rsidRPr="00DD7BD1">
        <w:rPr>
          <w:rFonts w:cs="Calibri"/>
          <w:color w:val="auto"/>
          <w:spacing w:val="-4"/>
          <w:w w:val="110"/>
          <w:szCs w:val="22"/>
        </w:rPr>
        <w:t>250.</w:t>
      </w:r>
    </w:p>
    <w:p w14:paraId="115A5B8C" w14:textId="77777777"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p>
    <w:p w14:paraId="0C57830A" w14:textId="144ABB20" w:rsidR="00204F44" w:rsidRPr="00204F44" w:rsidRDefault="00BD445F" w:rsidP="00204F44">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Oregon</w:t>
      </w:r>
    </w:p>
    <w:p w14:paraId="5884BBDA" w14:textId="4B8D71E7" w:rsidR="002C0337" w:rsidRDefault="002C0337" w:rsidP="002C0337">
      <w:r>
        <w:rPr>
          <w:b/>
          <w:bCs/>
          <w:caps/>
          <w:color w:val="0E425C"/>
          <w:sz w:val="26"/>
          <w:szCs w:val="26"/>
        </w:rPr>
        <w:t xml:space="preserve">Reminder: State Enacts Immigration-related Employee Protections Effective </w:t>
      </w:r>
      <w:r>
        <w:rPr>
          <w:b/>
          <w:bCs/>
          <w:caps/>
          <w:color w:val="0070C0"/>
          <w:sz w:val="26"/>
          <w:szCs w:val="26"/>
        </w:rPr>
        <w:t>June 5, 2026</w:t>
      </w:r>
    </w:p>
    <w:p w14:paraId="086CFF24" w14:textId="6A4B1ED9" w:rsidR="002C0337" w:rsidRPr="002C0337" w:rsidRDefault="002C0337" w:rsidP="002C0337">
      <w:r w:rsidRPr="00104342">
        <w:t>Oregon</w:t>
      </w:r>
      <w:r>
        <w:t>’s upcoming</w:t>
      </w:r>
      <w:r w:rsidRPr="00104342">
        <w:t xml:space="preserve"> enact</w:t>
      </w:r>
      <w:r>
        <w:t>ment (</w:t>
      </w:r>
      <w:hyperlink r:id="rId987" w:history="1">
        <w:r w:rsidRPr="000408F0">
          <w:rPr>
            <w:rStyle w:val="Hyperlink"/>
          </w:rPr>
          <w:t>House Bill (HB) 4111</w:t>
        </w:r>
      </w:hyperlink>
      <w:r>
        <w:t>)</w:t>
      </w:r>
      <w:r w:rsidRPr="000408F0">
        <w:t xml:space="preserve">, </w:t>
      </w:r>
      <w:r w:rsidRPr="00104342">
        <w:t>prohibits employers from discharging, retaliating against or discriminating against an employee because the employee updates or attempts to update their personal information based on a lawful change in their federal employment authorization documentation.</w:t>
      </w:r>
    </w:p>
    <w:p w14:paraId="7700466F" w14:textId="1E85A739" w:rsidR="007A6367" w:rsidRPr="00D40C84" w:rsidRDefault="007A6367" w:rsidP="004C229D">
      <w:pPr>
        <w:jc w:val="center"/>
        <w:rPr>
          <w:b/>
          <w:bCs/>
          <w:caps/>
          <w:color w:val="0070C0"/>
          <w:sz w:val="26"/>
          <w:szCs w:val="26"/>
        </w:rPr>
      </w:pPr>
      <w:r w:rsidRPr="00D40C84">
        <w:rPr>
          <w:b/>
          <w:bCs/>
          <w:caps/>
          <w:noProof/>
          <w:color w:val="0E425C"/>
          <w:sz w:val="26"/>
          <w:szCs w:val="26"/>
        </w:rPr>
        <w:t xml:space="preserve">State Enacts Immigration-related Employee PrOtections Effective </w:t>
      </w:r>
      <w:r w:rsidRPr="00D40C84">
        <w:rPr>
          <w:b/>
          <w:bCs/>
          <w:caps/>
          <w:color w:val="0070C0"/>
          <w:sz w:val="26"/>
          <w:szCs w:val="26"/>
        </w:rPr>
        <w:t>June 5, 2026</w:t>
      </w:r>
    </w:p>
    <w:p w14:paraId="609B18EB" w14:textId="77777777" w:rsidR="007A6367" w:rsidRPr="007A0654" w:rsidRDefault="007A6367" w:rsidP="007A6367">
      <w:r w:rsidRPr="00104342">
        <w:t>On April 6, 2026, Oregon enacted</w:t>
      </w:r>
      <w:r w:rsidRPr="000408F0">
        <w:t xml:space="preserve"> </w:t>
      </w:r>
      <w:hyperlink r:id="rId988" w:history="1">
        <w:r w:rsidRPr="000408F0">
          <w:rPr>
            <w:rStyle w:val="Hyperlink"/>
          </w:rPr>
          <w:t>House Bill (HB) 4111</w:t>
        </w:r>
      </w:hyperlink>
      <w:r w:rsidRPr="000408F0">
        <w:t xml:space="preserve">, </w:t>
      </w:r>
      <w:r w:rsidRPr="00104342">
        <w:t>which prohibits employers from discharging, retaliating against or discriminating against an employee because the employee updates or attempts to update their personal information based on a lawful change in their federal employment authorization documentation.</w:t>
      </w:r>
    </w:p>
    <w:p w14:paraId="3917CE4E" w14:textId="77777777" w:rsidR="007A6367" w:rsidRPr="007C3D0D" w:rsidRDefault="007A6367" w:rsidP="007A6367">
      <w:pPr>
        <w:rPr>
          <w:b/>
          <w:bCs/>
          <w:caps/>
          <w:color w:val="0070C0"/>
          <w:sz w:val="10"/>
          <w:szCs w:val="10"/>
        </w:rPr>
      </w:pPr>
    </w:p>
    <w:p w14:paraId="6152657E" w14:textId="376A5A6D" w:rsidR="007A6367" w:rsidRPr="000408F0" w:rsidRDefault="007A6367" w:rsidP="004C229D">
      <w:pPr>
        <w:jc w:val="center"/>
      </w:pPr>
      <w:r w:rsidRPr="00BC6E7C">
        <w:rPr>
          <w:b/>
          <w:bCs/>
          <w:caps/>
          <w:noProof/>
          <w:color w:val="0E425C"/>
          <w:sz w:val="26"/>
          <w:szCs w:val="26"/>
        </w:rPr>
        <w:t xml:space="preserve">State Increased Minimum Wage Effective </w:t>
      </w:r>
      <w:r w:rsidRPr="00BC6E7C">
        <w:rPr>
          <w:b/>
          <w:bCs/>
          <w:caps/>
          <w:color w:val="0070C0"/>
          <w:sz w:val="26"/>
          <w:szCs w:val="26"/>
        </w:rPr>
        <w:t>July 1</w:t>
      </w:r>
      <w:r>
        <w:rPr>
          <w:b/>
          <w:bCs/>
          <w:caps/>
          <w:color w:val="0070C0"/>
          <w:sz w:val="26"/>
          <w:szCs w:val="26"/>
        </w:rPr>
        <w:t>, 2026</w:t>
      </w:r>
    </w:p>
    <w:p w14:paraId="310C86D7" w14:textId="77777777" w:rsidR="007A6367" w:rsidRPr="00A25DF1" w:rsidRDefault="007A6367" w:rsidP="007A6367">
      <w:r w:rsidRPr="00A25DF1">
        <w:lastRenderedPageBreak/>
        <w:t>Oregon recently</w:t>
      </w:r>
      <w:r>
        <w:t xml:space="preserve"> </w:t>
      </w:r>
      <w:hyperlink r:id="rId989" w:history="1">
        <w:r w:rsidRPr="00A96A67">
          <w:rPr>
            <w:rStyle w:val="Hyperlink"/>
          </w:rPr>
          <w:t>announced</w:t>
        </w:r>
      </w:hyperlink>
      <w:r>
        <w:t xml:space="preserve"> </w:t>
      </w:r>
      <w:r w:rsidRPr="00A25DF1">
        <w:t xml:space="preserve">that its three hourly minimum wage rates will </w:t>
      </w:r>
      <w:r w:rsidRPr="00A25DF1">
        <w:rPr>
          <w:b/>
          <w:bCs/>
        </w:rPr>
        <w:t>increase by 50 cents per hour on July 1, 2026</w:t>
      </w:r>
      <w:r w:rsidRPr="00A25DF1">
        <w:t xml:space="preserve">. The new rates apply to all employers, regardless of the number of individuals they employ. </w:t>
      </w:r>
    </w:p>
    <w:p w14:paraId="489DA771" w14:textId="77777777" w:rsidR="007A6367" w:rsidRPr="00A25DF1" w:rsidRDefault="007A6367" w:rsidP="007A6367">
      <w:pPr>
        <w:pStyle w:val="Bullet"/>
        <w:spacing w:after="80"/>
        <w:ind w:left="648"/>
        <w:rPr>
          <w:color w:val="auto"/>
        </w:rPr>
      </w:pPr>
      <w:r w:rsidRPr="00A25DF1">
        <w:rPr>
          <w:color w:val="auto"/>
        </w:rPr>
        <w:t xml:space="preserve">The state’s standard minimum wage will increase from $15.05 per hour to </w:t>
      </w:r>
      <w:r w:rsidRPr="00A25DF1">
        <w:rPr>
          <w:b/>
          <w:bCs/>
          <w:color w:val="auto"/>
        </w:rPr>
        <w:t>$15.55 per hour</w:t>
      </w:r>
      <w:r w:rsidRPr="00A25DF1">
        <w:rPr>
          <w:color w:val="auto"/>
        </w:rPr>
        <w:t>;</w:t>
      </w:r>
    </w:p>
    <w:p w14:paraId="632D82E0" w14:textId="77777777" w:rsidR="007A6367" w:rsidRPr="00A25DF1" w:rsidRDefault="007A6367" w:rsidP="007A6367">
      <w:pPr>
        <w:pStyle w:val="Bullet"/>
        <w:spacing w:after="80"/>
        <w:ind w:left="648"/>
        <w:rPr>
          <w:color w:val="auto"/>
        </w:rPr>
      </w:pPr>
      <w:r w:rsidRPr="00A25DF1">
        <w:rPr>
          <w:color w:val="auto"/>
        </w:rPr>
        <w:t xml:space="preserve">The Portland metropolitan area minimum wage will increase from $16.30 per hour to </w:t>
      </w:r>
      <w:r w:rsidRPr="00A25DF1">
        <w:rPr>
          <w:b/>
          <w:bCs/>
          <w:color w:val="auto"/>
        </w:rPr>
        <w:t>$16.80 per hour</w:t>
      </w:r>
      <w:r w:rsidRPr="00A25DF1">
        <w:rPr>
          <w:color w:val="auto"/>
        </w:rPr>
        <w:t>; and</w:t>
      </w:r>
    </w:p>
    <w:p w14:paraId="6402A9A2" w14:textId="77777777" w:rsidR="007A6367" w:rsidRPr="00A25DF1" w:rsidRDefault="007A6367" w:rsidP="007A6367">
      <w:pPr>
        <w:pStyle w:val="Bullet"/>
        <w:spacing w:after="80"/>
        <w:ind w:left="648"/>
        <w:rPr>
          <w:color w:val="auto"/>
        </w:rPr>
      </w:pPr>
      <w:r w:rsidRPr="00A25DF1">
        <w:rPr>
          <w:color w:val="auto"/>
        </w:rPr>
        <w:t xml:space="preserve">The minimum wage rate for nonurban counties will increase from $14.05 per hour to </w:t>
      </w:r>
      <w:r w:rsidRPr="00A25DF1">
        <w:rPr>
          <w:b/>
          <w:bCs/>
          <w:color w:val="auto"/>
        </w:rPr>
        <w:t>$14.55 per hour</w:t>
      </w:r>
      <w:r w:rsidRPr="00A25DF1">
        <w:rPr>
          <w:color w:val="auto"/>
        </w:rPr>
        <w:t>.</w:t>
      </w:r>
    </w:p>
    <w:p w14:paraId="55329905" w14:textId="77777777" w:rsidR="007A6367" w:rsidRDefault="007A6367" w:rsidP="007A6367">
      <w:r w:rsidRPr="00A25DF1">
        <w:t>The Oregon Bureau of Labor and Industries provides a</w:t>
      </w:r>
      <w:r>
        <w:t xml:space="preserve"> </w:t>
      </w:r>
      <w:hyperlink r:id="rId990" w:history="1">
        <w:r w:rsidRPr="000928E2">
          <w:rPr>
            <w:rStyle w:val="Hyperlink"/>
          </w:rPr>
          <w:t>map</w:t>
        </w:r>
      </w:hyperlink>
      <w:r>
        <w:t xml:space="preserve"> </w:t>
      </w:r>
      <w:r w:rsidRPr="00A25DF1">
        <w:t xml:space="preserve">that employers may use to determine which minimum wage rates apply to them.  Once the applicable labor notice is released, ETC will </w:t>
      </w:r>
      <w:r>
        <w:t>advise and provide access to the notice</w:t>
      </w:r>
      <w:r w:rsidRPr="00A25DF1">
        <w:t>.</w:t>
      </w:r>
    </w:p>
    <w:p w14:paraId="0D6501BC" w14:textId="77777777" w:rsidR="007A6367" w:rsidRDefault="007A6367" w:rsidP="00E4729E">
      <w:pPr>
        <w:spacing w:after="0" w:line="240" w:lineRule="auto"/>
        <w:jc w:val="center"/>
        <w:rPr>
          <w:rFonts w:ascii="Calibri" w:hAnsi="Calibri" w:cs="Calibri"/>
          <w:b/>
          <w:bCs/>
          <w:sz w:val="28"/>
          <w:szCs w:val="28"/>
          <w:shd w:val="clear" w:color="auto" w:fill="FFFFFF"/>
          <w:lang w:val="en"/>
        </w:rPr>
      </w:pPr>
    </w:p>
    <w:p w14:paraId="4199DF43" w14:textId="352FFF61" w:rsidR="00497BA6" w:rsidRPr="00DD7BD1" w:rsidRDefault="00497BA6" w:rsidP="00E4729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Workplace Violence Prevention for Healthcare Employers–</w:t>
      </w:r>
      <w:r w:rsidRPr="00DD7BD1">
        <w:rPr>
          <w:rFonts w:ascii="Calibri" w:hAnsi="Calibri" w:cs="Calibri"/>
          <w:b/>
          <w:bCs/>
          <w:color w:val="C00000"/>
          <w:sz w:val="28"/>
          <w:szCs w:val="28"/>
          <w:shd w:val="clear" w:color="auto" w:fill="FFFFFF"/>
          <w:lang w:val="en"/>
        </w:rPr>
        <w:t xml:space="preserve"> Eff Jan 1, 2026</w:t>
      </w:r>
    </w:p>
    <w:p w14:paraId="55AC9600" w14:textId="5AA0B33B"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ETC does not track or report on industry specific enacted regulations; however, enactments effective in 2026 do include </w:t>
      </w:r>
      <w:r w:rsidRPr="00DD7BD1">
        <w:rPr>
          <w:rFonts w:ascii="Calibri" w:hAnsi="Calibri" w:cs="Calibri"/>
          <w:shd w:val="clear" w:color="auto" w:fill="FFFFFF"/>
        </w:rPr>
        <w:t>the state’s workplace violence prevention law for healthcare employers which will be expanded significantly, including covering more types of employers and a wider range of conduct.</w:t>
      </w:r>
    </w:p>
    <w:p w14:paraId="73614157" w14:textId="30612C23"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Specifically, covered employers will be expanded to include home health agencies and home hospice programs, and covered conduct will be broadened to </w:t>
      </w:r>
      <w:r w:rsidRPr="00DD7BD1">
        <w:rPr>
          <w:rFonts w:ascii="Calibri" w:hAnsi="Calibri" w:cs="Calibri"/>
          <w:i/>
          <w:iCs/>
          <w:shd w:val="clear" w:color="auto" w:fill="FFFFFF"/>
        </w:rPr>
        <w:t>workplace violence</w:t>
      </w:r>
      <w:r w:rsidRPr="00DD7BD1">
        <w:rPr>
          <w:rFonts w:ascii="Calibri" w:hAnsi="Calibri" w:cs="Calibri"/>
          <w:shd w:val="clear" w:color="auto" w:fill="FFFFFF"/>
        </w:rPr>
        <w:t> that will include any act or threat of physical violence, harassment, intimidation, assault, homicide, or any other threatening behavior that occurs in the workplace (currently, the law only covers assault).</w:t>
      </w:r>
    </w:p>
    <w:p w14:paraId="751495B9"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few additional key changes include that employers will </w:t>
      </w:r>
      <w:proofErr w:type="gramStart"/>
      <w:r w:rsidRPr="00DD7BD1">
        <w:rPr>
          <w:rFonts w:ascii="Calibri" w:hAnsi="Calibri" w:cs="Calibri"/>
          <w:shd w:val="clear" w:color="auto" w:fill="FFFFFF"/>
        </w:rPr>
        <w:t>need to</w:t>
      </w:r>
      <w:proofErr w:type="gramEnd"/>
      <w:r w:rsidRPr="00DD7BD1">
        <w:rPr>
          <w:rFonts w:ascii="Calibri" w:hAnsi="Calibri" w:cs="Calibri"/>
          <w:shd w:val="clear" w:color="auto" w:fill="FFFFFF"/>
        </w:rPr>
        <w:t>:</w:t>
      </w:r>
    </w:p>
    <w:p w14:paraId="31C0C26F"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workplace violence prevention training annually to employees as well as contracted security personnel working onsite. New employees should be trained within 90 days of hire, and temporary employees within 14 days of their start date.</w:t>
      </w:r>
    </w:p>
    <w:p w14:paraId="4AEFE946"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Develop a detailed workplace violence prevention and response plan, including policies and procedures for conducting investigations and post-incident interviews and implementing post-incident response strategies.</w:t>
      </w:r>
    </w:p>
    <w:p w14:paraId="70D5112C"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each employee with a written copy of the plan, including a statement explaining that employees are protected from retaliation. New hires should receive this within 30 calendar days of their start date.</w:t>
      </w:r>
    </w:p>
    <w:p w14:paraId="3900B0A8" w14:textId="77777777" w:rsidR="00497BA6" w:rsidRPr="00DD7BD1" w:rsidRDefault="00497BA6" w:rsidP="00E4729E">
      <w:pPr>
        <w:spacing w:after="0" w:line="240" w:lineRule="auto"/>
        <w:rPr>
          <w:rFonts w:ascii="Calibri" w:hAnsi="Calibri" w:cs="Calibri"/>
          <w:sz w:val="16"/>
          <w:szCs w:val="16"/>
          <w:shd w:val="clear" w:color="auto" w:fill="FFFFFF"/>
        </w:rPr>
      </w:pPr>
    </w:p>
    <w:p w14:paraId="6A85F79E"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The updated law also includes additional provisions, such as safety measures and training requirements for home healthcare employees. Oregon OSHA is planning to create regulations to better define employer obligations, which will likely be accessible from its </w:t>
      </w:r>
      <w:hyperlink r:id="rId991" w:tgtFrame="_blank" w:history="1">
        <w:r w:rsidRPr="00DD7BD1">
          <w:rPr>
            <w:rStyle w:val="Hyperlink"/>
            <w:rFonts w:ascii="Calibri" w:hAnsi="Calibri" w:cs="Calibri"/>
            <w:color w:val="0070C0"/>
            <w:shd w:val="clear" w:color="auto" w:fill="FFFFFF"/>
          </w:rPr>
          <w:t>website</w:t>
        </w:r>
      </w:hyperlink>
      <w:r w:rsidRPr="00DD7BD1">
        <w:rPr>
          <w:rFonts w:ascii="Calibri" w:hAnsi="Calibri" w:cs="Calibri"/>
          <w:shd w:val="clear" w:color="auto" w:fill="FFFFFF"/>
        </w:rPr>
        <w:t> when finalized.  Impacted employers are urged to ensure they research and understand implications of these enactments.</w:t>
      </w:r>
    </w:p>
    <w:p w14:paraId="31103C6F" w14:textId="77777777" w:rsidR="0076708F" w:rsidRPr="00DD7BD1" w:rsidRDefault="0076708F" w:rsidP="00E4729E">
      <w:pPr>
        <w:spacing w:after="0" w:line="240" w:lineRule="auto"/>
        <w:rPr>
          <w:rFonts w:ascii="Calibri" w:hAnsi="Calibri" w:cs="Calibri"/>
          <w:shd w:val="clear" w:color="auto" w:fill="FFFFFF"/>
        </w:rPr>
      </w:pPr>
    </w:p>
    <w:p w14:paraId="75EAAA9A" w14:textId="77777777" w:rsidR="0076708F" w:rsidRPr="00DD7BD1" w:rsidRDefault="0076708F" w:rsidP="0076708F">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Expansion of Paid Sick Leave for Organ Donation –</w:t>
      </w:r>
      <w:r w:rsidRPr="00DD7BD1">
        <w:rPr>
          <w:rFonts w:ascii="Calibri" w:hAnsi="Calibri" w:cs="Calibri"/>
          <w:b/>
          <w:bCs/>
          <w:color w:val="C00000"/>
          <w:sz w:val="28"/>
          <w:szCs w:val="28"/>
          <w:shd w:val="clear" w:color="auto" w:fill="FFFFFF"/>
          <w:lang w:val="en"/>
        </w:rPr>
        <w:t xml:space="preserve"> Eff Jan 1, 2026</w:t>
      </w:r>
    </w:p>
    <w:p w14:paraId="469FCAC2" w14:textId="77777777" w:rsidR="0076708F" w:rsidRPr="00DD7BD1" w:rsidRDefault="0076708F" w:rsidP="003A0536">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Oregon's paid sick leave law expands to cover organ donation, allowing employees to use accrued sick time for donating organs or bone marrow, with specific amendments (SB 1108/HB 1616) adding this to existing leave for family/medical needs, ensuring job protection for donation-related time off under Paid Leave Oregon (PLO) and the Oregon Family Leave Act (OFLA). While OFLA provides job protection (unpaid), PLO offers paid benefits, and these changes integrate donation leave with sick leave, giving employees more flexibility for this important process.  With the Dec HR WIRE, the OR State Handbook Addendum has been updated to reflect these details.</w:t>
      </w:r>
    </w:p>
    <w:p w14:paraId="3FF18738" w14:textId="77777777" w:rsidR="003A0536" w:rsidRPr="00DD7BD1" w:rsidRDefault="003A0536" w:rsidP="003A0536">
      <w:pPr>
        <w:spacing w:after="0" w:line="240" w:lineRule="auto"/>
        <w:rPr>
          <w:rFonts w:ascii="Calibri" w:hAnsi="Calibri" w:cs="Calibri"/>
          <w:shd w:val="clear" w:color="auto" w:fill="FFFFFF"/>
        </w:rPr>
      </w:pPr>
    </w:p>
    <w:p w14:paraId="735CED6F" w14:textId="77777777" w:rsidR="003A0536" w:rsidRPr="00DD7BD1" w:rsidRDefault="003A0536" w:rsidP="003A05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D197934" w14:textId="0BF60EA0"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26, 2025, Oregon </w:t>
      </w:r>
      <w:hyperlink r:id="rId992"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54B9A8E" w14:textId="77777777"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0750B2F"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153ADC80"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 comprehensive list of all types of pay rates employees may be eligible for (including hourly pay, salary pay, shift differentials, piece-rate pay and commission-based pay), all benefit deductions and contributions, and every type of deduction that may apply;</w:t>
      </w:r>
    </w:p>
    <w:p w14:paraId="0E29C67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73B04E6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Allowances, if any, </w:t>
      </w:r>
      <w:proofErr w:type="gramStart"/>
      <w:r w:rsidRPr="00DD7BD1">
        <w:rPr>
          <w:rFonts w:ascii="Calibri" w:hAnsi="Calibri" w:cs="Calibri"/>
          <w:shd w:val="clear" w:color="auto" w:fill="FFFFFF"/>
        </w:rPr>
        <w:t>claimed</w:t>
      </w:r>
      <w:proofErr w:type="gramEnd"/>
      <w:r w:rsidRPr="00DD7BD1">
        <w:rPr>
          <w:rFonts w:ascii="Calibri" w:hAnsi="Calibri" w:cs="Calibri"/>
          <w:shd w:val="clear" w:color="auto" w:fill="FFFFFF"/>
        </w:rPr>
        <w:t xml:space="preserve"> as part of minimum wage;</w:t>
      </w:r>
    </w:p>
    <w:p w14:paraId="4DBD7B19"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17C3CCC6" w14:textId="77A81C48"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payroll codes </w:t>
      </w:r>
      <w:proofErr w:type="gramStart"/>
      <w:r w:rsidRPr="00DD7BD1">
        <w:rPr>
          <w:rFonts w:ascii="Calibri" w:hAnsi="Calibri" w:cs="Calibri"/>
          <w:shd w:val="clear" w:color="auto" w:fill="FFFFFF"/>
        </w:rPr>
        <w:t>used</w:t>
      </w:r>
      <w:proofErr w:type="gramEnd"/>
      <w:r w:rsidRPr="00DD7BD1">
        <w:rPr>
          <w:rFonts w:ascii="Calibri" w:hAnsi="Calibri" w:cs="Calibri"/>
          <w:shd w:val="clear" w:color="auto" w:fill="FFFFFF"/>
        </w:rPr>
        <w:t xml:space="preserve"> for pay rates and deductions, along with a detailed description or definition of each code.</w:t>
      </w:r>
    </w:p>
    <w:p w14:paraId="4D9384B2" w14:textId="77777777" w:rsidR="003A0536" w:rsidRPr="00DD7BD1" w:rsidRDefault="003A0536" w:rsidP="003A0536">
      <w:pPr>
        <w:pStyle w:val="BodyText"/>
        <w:spacing w:after="0" w:line="240" w:lineRule="auto"/>
        <w:contextualSpacing/>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993"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0BF0E1A8" w14:textId="77777777" w:rsidR="00A944BD" w:rsidRPr="00DD7BD1" w:rsidRDefault="00A944BD" w:rsidP="00A944BD">
      <w:pPr>
        <w:contextualSpacing/>
        <w:jc w:val="center"/>
        <w:rPr>
          <w:rFonts w:ascii="Calibri" w:hAnsi="Calibri" w:cs="Calibri"/>
          <w:b/>
          <w:bCs/>
          <w:color w:val="C00000"/>
          <w:shd w:val="clear" w:color="auto" w:fill="FFFFFF"/>
          <w:lang w:val="en"/>
        </w:rPr>
      </w:pPr>
    </w:p>
    <w:p w14:paraId="5AAB12CF" w14:textId="0720AF47" w:rsidR="00A944BD" w:rsidRPr="00DD7BD1" w:rsidRDefault="00A944BD" w:rsidP="00A944BD">
      <w:pPr>
        <w:contextualSpacing/>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Sick Leave for Blood Donation – </w:t>
      </w:r>
      <w:r w:rsidRPr="00DD7BD1">
        <w:rPr>
          <w:rFonts w:ascii="Calibri" w:hAnsi="Calibri" w:cs="Calibri"/>
          <w:b/>
          <w:bCs/>
          <w:color w:val="C00000"/>
          <w:sz w:val="28"/>
          <w:szCs w:val="28"/>
          <w:shd w:val="clear" w:color="auto" w:fill="FFFFFF"/>
          <w:lang w:val="en"/>
        </w:rPr>
        <w:t>Eff Jan 1, 2026</w:t>
      </w:r>
    </w:p>
    <w:p w14:paraId="79D6D442" w14:textId="4ECF70A1" w:rsidR="00497BA6" w:rsidRPr="00DD7BD1" w:rsidRDefault="00A944BD" w:rsidP="00A944BD">
      <w:pPr>
        <w:rPr>
          <w:rFonts w:ascii="Calibri" w:hAnsi="Calibri" w:cs="Calibri"/>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994"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With the Dec HR WIRE, the OR State Handbook Addendum has been updated to reflect these details.</w:t>
      </w:r>
    </w:p>
    <w:p w14:paraId="2BFDB3F5" w14:textId="51C47C06" w:rsidR="003D0CE0" w:rsidRPr="00DD7BD1" w:rsidRDefault="003D0CE0" w:rsidP="003D0CE0">
      <w:pPr>
        <w:spacing w:after="0" w:line="240" w:lineRule="auto"/>
        <w:ind w:right="-180"/>
        <w:jc w:val="center"/>
        <w:rPr>
          <w:rFonts w:ascii="Calibri" w:hAnsi="Calibri" w:cs="Calibri"/>
          <w:b/>
          <w:sz w:val="28"/>
        </w:rPr>
      </w:pPr>
      <w:r w:rsidRPr="00DD7BD1">
        <w:rPr>
          <w:rFonts w:ascii="Calibri" w:hAnsi="Calibri" w:cs="Calibri"/>
          <w:b/>
          <w:color w:val="C00000"/>
          <w:spacing w:val="-8"/>
          <w:sz w:val="28"/>
        </w:rPr>
        <w:t>Reminder:</w:t>
      </w:r>
      <w:r w:rsidRPr="00DD7BD1">
        <w:rPr>
          <w:rFonts w:ascii="Calibri" w:hAnsi="Calibri" w:cs="Calibri"/>
          <w:b/>
          <w:color w:val="C00000"/>
          <w:spacing w:val="-12"/>
          <w:sz w:val="28"/>
        </w:rPr>
        <w:t xml:space="preserve"> </w:t>
      </w:r>
      <w:r w:rsidRPr="00DD7BD1">
        <w:rPr>
          <w:rFonts w:ascii="Calibri" w:hAnsi="Calibri" w:cs="Calibri"/>
          <w:b/>
          <w:spacing w:val="-8"/>
          <w:sz w:val="28"/>
        </w:rPr>
        <w:t>State</w:t>
      </w:r>
      <w:r w:rsidRPr="00DD7BD1">
        <w:rPr>
          <w:rFonts w:ascii="Calibri" w:hAnsi="Calibri" w:cs="Calibri"/>
          <w:b/>
          <w:spacing w:val="-10"/>
          <w:sz w:val="28"/>
        </w:rPr>
        <w:t xml:space="preserve"> </w:t>
      </w:r>
      <w:r w:rsidRPr="00DD7BD1">
        <w:rPr>
          <w:rFonts w:ascii="Calibri" w:hAnsi="Calibri" w:cs="Calibri"/>
          <w:b/>
          <w:spacing w:val="-8"/>
          <w:sz w:val="28"/>
        </w:rPr>
        <w:t>Updates</w:t>
      </w:r>
      <w:r w:rsidRPr="00DD7BD1">
        <w:rPr>
          <w:rFonts w:ascii="Calibri" w:hAnsi="Calibri" w:cs="Calibri"/>
          <w:b/>
          <w:spacing w:val="-12"/>
          <w:sz w:val="28"/>
        </w:rPr>
        <w:t xml:space="preserve"> </w:t>
      </w:r>
      <w:r w:rsidRPr="00DD7BD1">
        <w:rPr>
          <w:rFonts w:ascii="Calibri" w:hAnsi="Calibri" w:cs="Calibri"/>
          <w:b/>
          <w:spacing w:val="-8"/>
          <w:sz w:val="28"/>
        </w:rPr>
        <w:t>OFLA,</w:t>
      </w:r>
      <w:r w:rsidRPr="00DD7BD1">
        <w:rPr>
          <w:rFonts w:ascii="Calibri" w:hAnsi="Calibri" w:cs="Calibri"/>
          <w:b/>
          <w:spacing w:val="-9"/>
          <w:sz w:val="28"/>
        </w:rPr>
        <w:t xml:space="preserve"> </w:t>
      </w:r>
      <w:r w:rsidRPr="00DD7BD1">
        <w:rPr>
          <w:rFonts w:ascii="Calibri" w:hAnsi="Calibri" w:cs="Calibri"/>
          <w:b/>
          <w:spacing w:val="-8"/>
          <w:sz w:val="28"/>
        </w:rPr>
        <w:t>PLO,</w:t>
      </w:r>
      <w:r w:rsidRPr="00DD7BD1">
        <w:rPr>
          <w:rFonts w:ascii="Calibri" w:hAnsi="Calibri" w:cs="Calibri"/>
          <w:b/>
          <w:spacing w:val="-11"/>
          <w:sz w:val="28"/>
        </w:rPr>
        <w:t xml:space="preserve"> </w:t>
      </w:r>
      <w:r w:rsidRPr="00DD7BD1">
        <w:rPr>
          <w:rFonts w:ascii="Calibri" w:hAnsi="Calibri" w:cs="Calibri"/>
          <w:b/>
          <w:spacing w:val="-8"/>
          <w:sz w:val="28"/>
        </w:rPr>
        <w:t>and</w:t>
      </w:r>
      <w:r w:rsidRPr="00DD7BD1">
        <w:rPr>
          <w:rFonts w:ascii="Calibri" w:hAnsi="Calibri" w:cs="Calibri"/>
          <w:b/>
          <w:spacing w:val="-10"/>
          <w:sz w:val="28"/>
        </w:rPr>
        <w:t xml:space="preserve"> </w:t>
      </w:r>
      <w:r w:rsidRPr="00DD7BD1">
        <w:rPr>
          <w:rFonts w:ascii="Calibri" w:hAnsi="Calibri" w:cs="Calibri"/>
          <w:b/>
          <w:spacing w:val="-8"/>
          <w:sz w:val="28"/>
        </w:rPr>
        <w:t>Sick</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7"/>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Sept 26,</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2025</w:t>
      </w:r>
    </w:p>
    <w:p w14:paraId="7DF69620"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has</w:t>
      </w:r>
      <w:r w:rsidRPr="00DD7BD1">
        <w:rPr>
          <w:rFonts w:cs="Calibri"/>
          <w:color w:val="auto"/>
          <w:spacing w:val="-11"/>
          <w:w w:val="110"/>
          <w:szCs w:val="22"/>
        </w:rPr>
        <w:t xml:space="preserve"> </w:t>
      </w:r>
      <w:r w:rsidRPr="00DD7BD1">
        <w:rPr>
          <w:rFonts w:cs="Calibri"/>
          <w:color w:val="auto"/>
          <w:spacing w:val="-2"/>
          <w:w w:val="110"/>
          <w:szCs w:val="22"/>
        </w:rPr>
        <w:t>updated</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Oregon</w:t>
      </w:r>
      <w:r w:rsidRPr="00DD7BD1">
        <w:rPr>
          <w:rFonts w:cs="Calibri"/>
          <w:color w:val="auto"/>
          <w:spacing w:val="-9"/>
          <w:w w:val="110"/>
          <w:szCs w:val="22"/>
        </w:rPr>
        <w:t xml:space="preserve"> </w:t>
      </w:r>
      <w:r w:rsidRPr="00DD7BD1">
        <w:rPr>
          <w:rFonts w:cs="Calibri"/>
          <w:color w:val="auto"/>
          <w:spacing w:val="-2"/>
          <w:w w:val="110"/>
          <w:szCs w:val="22"/>
        </w:rPr>
        <w:t>Family</w:t>
      </w:r>
      <w:r w:rsidRPr="00DD7BD1">
        <w:rPr>
          <w:rFonts w:cs="Calibri"/>
          <w:color w:val="auto"/>
          <w:spacing w:val="-12"/>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14"/>
          <w:w w:val="110"/>
          <w:szCs w:val="22"/>
        </w:rPr>
        <w:t xml:space="preserve"> </w:t>
      </w:r>
      <w:r w:rsidRPr="00DD7BD1">
        <w:rPr>
          <w:rFonts w:cs="Calibri"/>
          <w:color w:val="auto"/>
          <w:spacing w:val="-2"/>
          <w:w w:val="110"/>
          <w:szCs w:val="22"/>
        </w:rPr>
        <w:t>(OFLA),</w:t>
      </w:r>
      <w:r w:rsidRPr="00DD7BD1">
        <w:rPr>
          <w:rFonts w:cs="Calibri"/>
          <w:color w:val="auto"/>
          <w:spacing w:val="-11"/>
          <w:w w:val="110"/>
          <w:szCs w:val="22"/>
        </w:rPr>
        <w:t xml:space="preserve"> </w:t>
      </w:r>
      <w:r w:rsidRPr="00DD7BD1">
        <w:rPr>
          <w:rFonts w:cs="Calibri"/>
          <w:color w:val="auto"/>
          <w:spacing w:val="-2"/>
          <w:w w:val="110"/>
          <w:szCs w:val="22"/>
        </w:rPr>
        <w:t>Paid</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(PLO),</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its</w:t>
      </w:r>
      <w:r w:rsidRPr="00DD7BD1">
        <w:rPr>
          <w:rFonts w:cs="Calibri"/>
          <w:color w:val="auto"/>
          <w:spacing w:val="-13"/>
          <w:w w:val="110"/>
          <w:szCs w:val="22"/>
        </w:rPr>
        <w:t xml:space="preserve"> </w:t>
      </w:r>
      <w:r w:rsidRPr="00DD7BD1">
        <w:rPr>
          <w:rFonts w:cs="Calibri"/>
          <w:color w:val="auto"/>
          <w:spacing w:val="-2"/>
          <w:w w:val="110"/>
          <w:szCs w:val="22"/>
        </w:rPr>
        <w:t>sick</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law</w:t>
      </w:r>
      <w:r w:rsidRPr="00DD7BD1">
        <w:rPr>
          <w:rFonts w:cs="Calibri"/>
          <w:color w:val="auto"/>
          <w:spacing w:val="-7"/>
          <w:w w:val="110"/>
          <w:szCs w:val="22"/>
        </w:rPr>
        <w:t xml:space="preserve"> </w:t>
      </w:r>
      <w:r w:rsidRPr="00DD7BD1">
        <w:rPr>
          <w:rFonts w:cs="Calibri"/>
          <w:color w:val="auto"/>
          <w:spacing w:val="-2"/>
          <w:w w:val="110"/>
          <w:szCs w:val="22"/>
        </w:rPr>
        <w:t xml:space="preserve">under </w:t>
      </w:r>
      <w:r w:rsidRPr="00DD7BD1">
        <w:rPr>
          <w:rFonts w:cs="Calibri"/>
          <w:color w:val="auto"/>
          <w:w w:val="110"/>
          <w:szCs w:val="22"/>
        </w:rPr>
        <w:t xml:space="preserve">enacted </w:t>
      </w:r>
      <w:hyperlink r:id="rId995">
        <w:r w:rsidRPr="00DD7BD1">
          <w:rPr>
            <w:rFonts w:cs="Calibri"/>
            <w:color w:val="0000FF"/>
            <w:w w:val="110"/>
            <w:szCs w:val="22"/>
            <w:u w:val="single" w:color="0000FF"/>
          </w:rPr>
          <w:t>SB 69</w:t>
        </w:r>
      </w:hyperlink>
      <w:r w:rsidRPr="00DD7BD1">
        <w:rPr>
          <w:rFonts w:cs="Calibri"/>
          <w:w w:val="110"/>
          <w:szCs w:val="22"/>
        </w:rPr>
        <w:t>.</w:t>
      </w:r>
    </w:p>
    <w:p w14:paraId="77EA4D6C" w14:textId="77777777" w:rsidR="003D0CE0" w:rsidRPr="00DD7BD1" w:rsidRDefault="003D0CE0" w:rsidP="003D0CE0">
      <w:pPr>
        <w:pStyle w:val="Heading4"/>
        <w:spacing w:before="0"/>
        <w:ind w:right="-180"/>
        <w:rPr>
          <w:rFonts w:ascii="Calibri" w:hAnsi="Calibri" w:cs="Calibri"/>
          <w:spacing w:val="-4"/>
          <w:w w:val="95"/>
          <w:sz w:val="16"/>
          <w:szCs w:val="16"/>
        </w:rPr>
      </w:pPr>
    </w:p>
    <w:p w14:paraId="72A9158D"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4"/>
          <w:w w:val="95"/>
        </w:rPr>
        <w:t>OFLA</w:t>
      </w:r>
    </w:p>
    <w:p w14:paraId="5BACC306"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only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take</w:t>
      </w:r>
      <w:r w:rsidRPr="00DD7BD1">
        <w:rPr>
          <w:rFonts w:cs="Calibri"/>
          <w:color w:val="auto"/>
          <w:spacing w:val="-11"/>
          <w:w w:val="110"/>
          <w:szCs w:val="22"/>
        </w:rPr>
        <w:t xml:space="preserve"> </w:t>
      </w:r>
      <w:r w:rsidRPr="00DD7BD1">
        <w:rPr>
          <w:rFonts w:cs="Calibri"/>
          <w:color w:val="auto"/>
          <w:w w:val="110"/>
          <w:szCs w:val="22"/>
        </w:rPr>
        <w:t>OFLA</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care</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18</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substantially</w:t>
      </w:r>
      <w:r w:rsidRPr="00DD7BD1">
        <w:rPr>
          <w:rFonts w:cs="Calibri"/>
          <w:color w:val="auto"/>
          <w:spacing w:val="-11"/>
          <w:w w:val="110"/>
          <w:szCs w:val="22"/>
        </w:rPr>
        <w:t xml:space="preserve"> </w:t>
      </w:r>
      <w:r w:rsidRPr="00DD7BD1">
        <w:rPr>
          <w:rFonts w:cs="Calibri"/>
          <w:color w:val="auto"/>
          <w:w w:val="110"/>
          <w:szCs w:val="22"/>
        </w:rPr>
        <w:t xml:space="preserve">limited </w:t>
      </w:r>
      <w:r w:rsidRPr="00DD7BD1">
        <w:rPr>
          <w:rFonts w:cs="Calibri"/>
          <w:color w:val="auto"/>
          <w:w w:val="115"/>
          <w:szCs w:val="22"/>
        </w:rPr>
        <w:t>by</w:t>
      </w:r>
      <w:r w:rsidRPr="00DD7BD1">
        <w:rPr>
          <w:rFonts w:cs="Calibri"/>
          <w:color w:val="auto"/>
          <w:spacing w:val="-16"/>
          <w:w w:val="115"/>
          <w:szCs w:val="22"/>
        </w:rPr>
        <w:t xml:space="preserve"> </w:t>
      </w:r>
      <w:r w:rsidRPr="00DD7BD1">
        <w:rPr>
          <w:rFonts w:cs="Calibri"/>
          <w:color w:val="auto"/>
          <w:w w:val="115"/>
          <w:szCs w:val="22"/>
        </w:rPr>
        <w:t>an</w:t>
      </w:r>
      <w:r w:rsidRPr="00DD7BD1">
        <w:rPr>
          <w:rFonts w:cs="Calibri"/>
          <w:color w:val="auto"/>
          <w:spacing w:val="-14"/>
          <w:w w:val="115"/>
          <w:szCs w:val="22"/>
        </w:rPr>
        <w:t xml:space="preserve"> </w:t>
      </w:r>
      <w:r w:rsidRPr="00DD7BD1">
        <w:rPr>
          <w:rFonts w:cs="Calibri"/>
          <w:color w:val="auto"/>
          <w:w w:val="115"/>
          <w:szCs w:val="22"/>
        </w:rPr>
        <w:t>impairment</w:t>
      </w:r>
      <w:r w:rsidRPr="00DD7BD1">
        <w:rPr>
          <w:rFonts w:cs="Calibri"/>
          <w:color w:val="auto"/>
          <w:spacing w:val="-17"/>
          <w:w w:val="115"/>
          <w:szCs w:val="22"/>
        </w:rPr>
        <w:t xml:space="preserve"> </w:t>
      </w:r>
      <w:r w:rsidRPr="00DD7BD1">
        <w:rPr>
          <w:rFonts w:cs="Calibri"/>
          <w:color w:val="auto"/>
          <w:w w:val="115"/>
          <w:szCs w:val="22"/>
        </w:rPr>
        <w:t>for</w:t>
      </w:r>
      <w:r w:rsidRPr="00DD7BD1">
        <w:rPr>
          <w:rFonts w:cs="Calibri"/>
          <w:color w:val="auto"/>
          <w:spacing w:val="-15"/>
          <w:w w:val="115"/>
          <w:szCs w:val="22"/>
        </w:rPr>
        <w:t xml:space="preserve"> </w:t>
      </w:r>
      <w:r w:rsidRPr="00DD7BD1">
        <w:rPr>
          <w:rFonts w:cs="Calibri"/>
          <w:color w:val="auto"/>
          <w:w w:val="115"/>
          <w:szCs w:val="22"/>
        </w:rPr>
        <w:t>the</w:t>
      </w:r>
      <w:r w:rsidRPr="00DD7BD1">
        <w:rPr>
          <w:rFonts w:cs="Calibri"/>
          <w:color w:val="auto"/>
          <w:spacing w:val="-19"/>
          <w:w w:val="115"/>
          <w:szCs w:val="22"/>
        </w:rPr>
        <w:t xml:space="preserve"> </w:t>
      </w:r>
      <w:r w:rsidRPr="00DD7BD1">
        <w:rPr>
          <w:rFonts w:cs="Calibri"/>
          <w:color w:val="auto"/>
          <w:w w:val="115"/>
          <w:szCs w:val="22"/>
        </w:rPr>
        <w:t>following</w:t>
      </w:r>
      <w:r w:rsidRPr="00DD7BD1">
        <w:rPr>
          <w:rFonts w:cs="Calibri"/>
          <w:color w:val="auto"/>
          <w:spacing w:val="-14"/>
          <w:w w:val="115"/>
          <w:szCs w:val="22"/>
        </w:rPr>
        <w:t xml:space="preserve"> </w:t>
      </w:r>
      <w:r w:rsidRPr="00DD7BD1">
        <w:rPr>
          <w:rFonts w:cs="Calibri"/>
          <w:color w:val="auto"/>
          <w:w w:val="115"/>
          <w:szCs w:val="22"/>
        </w:rPr>
        <w:t>leave</w:t>
      </w:r>
      <w:r w:rsidRPr="00DD7BD1">
        <w:rPr>
          <w:rFonts w:cs="Calibri"/>
          <w:color w:val="auto"/>
          <w:spacing w:val="-14"/>
          <w:w w:val="115"/>
          <w:szCs w:val="22"/>
        </w:rPr>
        <w:t xml:space="preserve"> </w:t>
      </w:r>
      <w:r w:rsidRPr="00DD7BD1">
        <w:rPr>
          <w:rFonts w:cs="Calibri"/>
          <w:color w:val="auto"/>
          <w:w w:val="115"/>
          <w:szCs w:val="22"/>
        </w:rPr>
        <w:t>reasons:</w:t>
      </w:r>
    </w:p>
    <w:p w14:paraId="0DC2A050"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Calibri" w:hAnsi="Calibri" w:cs="Calibri"/>
        </w:rPr>
      </w:pPr>
      <w:r w:rsidRPr="00DD7BD1">
        <w:rPr>
          <w:rFonts w:ascii="Calibri" w:hAnsi="Calibri" w:cs="Calibri"/>
          <w:spacing w:val="-2"/>
          <w:w w:val="110"/>
        </w:rPr>
        <w:t>When</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child</w:t>
      </w:r>
      <w:r w:rsidRPr="00DD7BD1">
        <w:rPr>
          <w:rFonts w:ascii="Calibri" w:hAnsi="Calibri" w:cs="Calibri"/>
          <w:spacing w:val="-8"/>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sick</w:t>
      </w:r>
      <w:r w:rsidRPr="00DD7BD1">
        <w:rPr>
          <w:rFonts w:ascii="Calibri" w:hAnsi="Calibri" w:cs="Calibri"/>
          <w:spacing w:val="-12"/>
          <w:w w:val="110"/>
        </w:rPr>
        <w:t xml:space="preserve"> </w:t>
      </w:r>
      <w:r w:rsidRPr="00DD7BD1">
        <w:rPr>
          <w:rFonts w:ascii="Calibri" w:hAnsi="Calibri" w:cs="Calibri"/>
          <w:spacing w:val="-2"/>
          <w:w w:val="110"/>
        </w:rPr>
        <w:t>at</w:t>
      </w:r>
      <w:r w:rsidRPr="00DD7BD1">
        <w:rPr>
          <w:rFonts w:ascii="Calibri" w:hAnsi="Calibri" w:cs="Calibri"/>
          <w:spacing w:val="-12"/>
          <w:w w:val="110"/>
        </w:rPr>
        <w:t xml:space="preserve"> </w:t>
      </w:r>
      <w:r w:rsidRPr="00DD7BD1">
        <w:rPr>
          <w:rFonts w:ascii="Calibri" w:hAnsi="Calibri" w:cs="Calibri"/>
          <w:spacing w:val="-2"/>
          <w:w w:val="110"/>
        </w:rPr>
        <w:t>home,</w:t>
      </w:r>
      <w:r w:rsidRPr="00DD7BD1">
        <w:rPr>
          <w:rFonts w:ascii="Calibri" w:hAnsi="Calibri" w:cs="Calibri"/>
          <w:spacing w:val="-12"/>
          <w:w w:val="110"/>
        </w:rPr>
        <w:t xml:space="preserve"> </w:t>
      </w:r>
      <w:r w:rsidRPr="00DD7BD1">
        <w:rPr>
          <w:rFonts w:ascii="Calibri" w:hAnsi="Calibri" w:cs="Calibri"/>
          <w:spacing w:val="-5"/>
          <w:w w:val="110"/>
        </w:rPr>
        <w:t>or</w:t>
      </w:r>
    </w:p>
    <w:p w14:paraId="7E8CDC73"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Calibri" w:hAnsi="Calibri" w:cs="Calibri"/>
        </w:rPr>
      </w:pP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child</w:t>
      </w:r>
      <w:r w:rsidRPr="00DD7BD1">
        <w:rPr>
          <w:rFonts w:ascii="Calibri" w:hAnsi="Calibri" w:cs="Calibri"/>
          <w:spacing w:val="-11"/>
          <w:w w:val="110"/>
        </w:rPr>
        <w:t xml:space="preserve"> </w:t>
      </w:r>
      <w:r w:rsidRPr="00DD7BD1">
        <w:rPr>
          <w:rFonts w:ascii="Calibri" w:hAnsi="Calibri" w:cs="Calibri"/>
          <w:w w:val="110"/>
        </w:rPr>
        <w:t>requires</w:t>
      </w:r>
      <w:r w:rsidRPr="00DD7BD1">
        <w:rPr>
          <w:rFonts w:ascii="Calibri" w:hAnsi="Calibri" w:cs="Calibri"/>
          <w:spacing w:val="-15"/>
          <w:w w:val="110"/>
        </w:rPr>
        <w:t xml:space="preserve"> </w:t>
      </w:r>
      <w:r w:rsidRPr="00DD7BD1">
        <w:rPr>
          <w:rFonts w:ascii="Calibri" w:hAnsi="Calibri" w:cs="Calibri"/>
          <w:w w:val="110"/>
        </w:rPr>
        <w:t>home</w:t>
      </w:r>
      <w:r w:rsidRPr="00DD7BD1">
        <w:rPr>
          <w:rFonts w:ascii="Calibri" w:hAnsi="Calibri" w:cs="Calibri"/>
          <w:spacing w:val="-11"/>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because</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school</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place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is</w:t>
      </w:r>
      <w:r w:rsidRPr="00DD7BD1">
        <w:rPr>
          <w:rFonts w:ascii="Calibri" w:hAnsi="Calibri" w:cs="Calibri"/>
          <w:spacing w:val="-11"/>
          <w:w w:val="110"/>
        </w:rPr>
        <w:t xml:space="preserve"> </w:t>
      </w:r>
      <w:r w:rsidRPr="00DD7BD1">
        <w:rPr>
          <w:rFonts w:ascii="Calibri" w:hAnsi="Calibri" w:cs="Calibri"/>
          <w:w w:val="110"/>
        </w:rPr>
        <w:t>closed</w:t>
      </w:r>
      <w:r w:rsidRPr="00DD7BD1">
        <w:rPr>
          <w:rFonts w:ascii="Calibri" w:hAnsi="Calibri" w:cs="Calibri"/>
          <w:spacing w:val="-11"/>
          <w:w w:val="110"/>
        </w:rPr>
        <w:t xml:space="preserve"> </w:t>
      </w:r>
      <w:r w:rsidRPr="00DD7BD1">
        <w:rPr>
          <w:rFonts w:ascii="Calibri" w:hAnsi="Calibri" w:cs="Calibri"/>
          <w:w w:val="110"/>
        </w:rPr>
        <w:t>due</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3"/>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public</w:t>
      </w:r>
      <w:r w:rsidRPr="00DD7BD1">
        <w:rPr>
          <w:rFonts w:ascii="Calibri" w:hAnsi="Calibri" w:cs="Calibri"/>
          <w:spacing w:val="-14"/>
          <w:w w:val="110"/>
        </w:rPr>
        <w:t xml:space="preserve"> </w:t>
      </w:r>
      <w:r w:rsidRPr="00DD7BD1">
        <w:rPr>
          <w:rFonts w:ascii="Calibri" w:hAnsi="Calibri" w:cs="Calibri"/>
          <w:w w:val="110"/>
        </w:rPr>
        <w:t xml:space="preserve">health </w:t>
      </w:r>
      <w:r w:rsidRPr="00DD7BD1">
        <w:rPr>
          <w:rFonts w:ascii="Calibri" w:hAnsi="Calibri" w:cs="Calibri"/>
          <w:w w:val="115"/>
        </w:rPr>
        <w:t>emergency</w:t>
      </w:r>
      <w:r w:rsidRPr="00DD7BD1">
        <w:rPr>
          <w:rFonts w:ascii="Calibri" w:hAnsi="Calibri" w:cs="Calibri"/>
          <w:spacing w:val="-5"/>
          <w:w w:val="115"/>
        </w:rPr>
        <w:t xml:space="preserve"> </w:t>
      </w:r>
      <w:r w:rsidRPr="00DD7BD1">
        <w:rPr>
          <w:rFonts w:ascii="Calibri" w:hAnsi="Calibri" w:cs="Calibri"/>
          <w:w w:val="115"/>
        </w:rPr>
        <w:t>(PHE).</w:t>
      </w:r>
    </w:p>
    <w:p w14:paraId="7CF21B3D" w14:textId="77777777" w:rsidR="003D0CE0" w:rsidRPr="00DD7BD1" w:rsidRDefault="003D0CE0" w:rsidP="003D0CE0">
      <w:pPr>
        <w:pStyle w:val="Heading4"/>
        <w:spacing w:before="0"/>
        <w:ind w:right="-180"/>
        <w:rPr>
          <w:rFonts w:ascii="Calibri" w:hAnsi="Calibri" w:cs="Calibri"/>
          <w:spacing w:val="-5"/>
          <w:w w:val="95"/>
          <w:sz w:val="16"/>
          <w:szCs w:val="16"/>
        </w:rPr>
      </w:pPr>
    </w:p>
    <w:p w14:paraId="6F0BEFE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5"/>
          <w:w w:val="95"/>
        </w:rPr>
        <w:t>PLO</w:t>
      </w:r>
    </w:p>
    <w:p w14:paraId="37FFCE7B"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w w:val="110"/>
          <w:szCs w:val="22"/>
        </w:rPr>
        <w:t>Before</w:t>
      </w:r>
      <w:r w:rsidRPr="00DD7BD1">
        <w:rPr>
          <w:rFonts w:cs="Calibri"/>
          <w:color w:val="auto"/>
          <w:spacing w:val="-16"/>
          <w:w w:val="110"/>
          <w:szCs w:val="22"/>
        </w:rPr>
        <w:t xml:space="preserve"> </w:t>
      </w:r>
      <w:r w:rsidRPr="00DD7BD1">
        <w:rPr>
          <w:rFonts w:cs="Calibri"/>
          <w:color w:val="auto"/>
          <w:w w:val="110"/>
          <w:szCs w:val="22"/>
        </w:rPr>
        <w:t>an</w:t>
      </w:r>
      <w:r w:rsidRPr="00DD7BD1">
        <w:rPr>
          <w:rFonts w:cs="Calibri"/>
          <w:color w:val="auto"/>
          <w:spacing w:val="-15"/>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returns</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PLO</w:t>
      </w:r>
      <w:r w:rsidRPr="00DD7BD1">
        <w:rPr>
          <w:rFonts w:cs="Calibri"/>
          <w:color w:val="auto"/>
          <w:spacing w:val="-15"/>
          <w:w w:val="110"/>
          <w:szCs w:val="22"/>
        </w:rPr>
        <w:t xml:space="preserve"> </w:t>
      </w:r>
      <w:r w:rsidRPr="00DD7BD1">
        <w:rPr>
          <w:rFonts w:cs="Calibri"/>
          <w:color w:val="auto"/>
          <w:w w:val="110"/>
          <w:szCs w:val="22"/>
        </w:rPr>
        <w:t>medical</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5"/>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require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certification</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 xml:space="preserve">the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healthcare</w:t>
      </w:r>
      <w:r w:rsidRPr="00DD7BD1">
        <w:rPr>
          <w:rFonts w:cs="Calibri"/>
          <w:color w:val="auto"/>
          <w:spacing w:val="40"/>
          <w:szCs w:val="22"/>
        </w:rPr>
        <w:t xml:space="preserve"> </w:t>
      </w:r>
      <w:r w:rsidRPr="00DD7BD1">
        <w:rPr>
          <w:rFonts w:cs="Calibri"/>
          <w:color w:val="auto"/>
          <w:szCs w:val="22"/>
        </w:rPr>
        <w:t>provider</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they’re</w:t>
      </w:r>
      <w:r w:rsidRPr="00DD7BD1">
        <w:rPr>
          <w:rFonts w:cs="Calibri"/>
          <w:color w:val="auto"/>
          <w:spacing w:val="40"/>
          <w:szCs w:val="22"/>
        </w:rPr>
        <w:t xml:space="preserve"> </w:t>
      </w:r>
      <w:r w:rsidRPr="00DD7BD1">
        <w:rPr>
          <w:rFonts w:cs="Calibri"/>
          <w:color w:val="auto"/>
          <w:szCs w:val="22"/>
        </w:rPr>
        <w:t>fit</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resume</w:t>
      </w:r>
      <w:r w:rsidRPr="00DD7BD1">
        <w:rPr>
          <w:rFonts w:cs="Calibri"/>
          <w:color w:val="auto"/>
          <w:spacing w:val="40"/>
          <w:szCs w:val="22"/>
        </w:rPr>
        <w:t xml:space="preserve"> </w:t>
      </w:r>
      <w:r w:rsidRPr="00DD7BD1">
        <w:rPr>
          <w:rFonts w:cs="Calibri"/>
          <w:color w:val="auto"/>
          <w:szCs w:val="22"/>
        </w:rPr>
        <w:t>work.</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require</w:t>
      </w:r>
      <w:r w:rsidRPr="00DD7BD1">
        <w:rPr>
          <w:rFonts w:cs="Calibri"/>
          <w:color w:val="auto"/>
          <w:spacing w:val="40"/>
          <w:szCs w:val="22"/>
        </w:rPr>
        <w:t xml:space="preserve"> </w:t>
      </w:r>
      <w:r w:rsidRPr="00DD7BD1">
        <w:rPr>
          <w:rFonts w:cs="Calibri"/>
          <w:color w:val="auto"/>
          <w:szCs w:val="22"/>
        </w:rPr>
        <w:t>certification</w:t>
      </w:r>
      <w:r w:rsidRPr="00DD7BD1">
        <w:rPr>
          <w:rFonts w:cs="Calibri"/>
          <w:color w:val="auto"/>
          <w:spacing w:val="40"/>
          <w:szCs w:val="22"/>
        </w:rPr>
        <w:t xml:space="preserve"> </w:t>
      </w:r>
      <w:r w:rsidRPr="00DD7BD1">
        <w:rPr>
          <w:rFonts w:cs="Calibri"/>
          <w:color w:val="auto"/>
          <w:szCs w:val="22"/>
        </w:rPr>
        <w:t xml:space="preserve">need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have</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uniform</w:t>
      </w:r>
      <w:r w:rsidRPr="00DD7BD1">
        <w:rPr>
          <w:rFonts w:cs="Calibri"/>
          <w:color w:val="auto"/>
          <w:spacing w:val="-8"/>
          <w:w w:val="110"/>
          <w:szCs w:val="22"/>
        </w:rPr>
        <w:t xml:space="preserve"> </w:t>
      </w:r>
      <w:r w:rsidRPr="00DD7BD1">
        <w:rPr>
          <w:rFonts w:cs="Calibri"/>
          <w:color w:val="auto"/>
          <w:w w:val="110"/>
          <w:szCs w:val="22"/>
        </w:rPr>
        <w:t>practice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requiring</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returning</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9"/>
          <w:w w:val="110"/>
          <w:szCs w:val="22"/>
        </w:rPr>
        <w:t xml:space="preserve"> </w:t>
      </w:r>
      <w:r w:rsidRPr="00DD7BD1">
        <w:rPr>
          <w:rFonts w:cs="Calibri"/>
          <w:color w:val="auto"/>
          <w:w w:val="110"/>
          <w:szCs w:val="22"/>
        </w:rPr>
        <w:t>you’d</w:t>
      </w:r>
      <w:r w:rsidRPr="00DD7BD1">
        <w:rPr>
          <w:rFonts w:cs="Calibri"/>
          <w:color w:val="auto"/>
          <w:spacing w:val="-5"/>
          <w:w w:val="110"/>
          <w:szCs w:val="22"/>
        </w:rPr>
        <w:t xml:space="preserve"> </w:t>
      </w:r>
      <w:r w:rsidRPr="00DD7BD1">
        <w:rPr>
          <w:rFonts w:cs="Calibri"/>
          <w:color w:val="auto"/>
          <w:w w:val="110"/>
          <w:szCs w:val="22"/>
        </w:rPr>
        <w:t>like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learn</w:t>
      </w:r>
      <w:r w:rsidRPr="00DD7BD1">
        <w:rPr>
          <w:rFonts w:cs="Calibri"/>
          <w:color w:val="auto"/>
          <w:spacing w:val="-8"/>
          <w:w w:val="110"/>
          <w:szCs w:val="22"/>
        </w:rPr>
        <w:t xml:space="preserve"> </w:t>
      </w:r>
      <w:r w:rsidRPr="00DD7BD1">
        <w:rPr>
          <w:rFonts w:cs="Calibri"/>
          <w:color w:val="auto"/>
          <w:w w:val="110"/>
          <w:szCs w:val="22"/>
        </w:rPr>
        <w:t>more,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has</w:t>
      </w:r>
      <w:r w:rsidRPr="00DD7BD1">
        <w:rPr>
          <w:rFonts w:cs="Calibri"/>
          <w:color w:val="auto"/>
          <w:spacing w:val="-5"/>
          <w:w w:val="110"/>
          <w:szCs w:val="22"/>
        </w:rPr>
        <w:t xml:space="preserve"> </w:t>
      </w:r>
      <w:r w:rsidRPr="00DD7BD1">
        <w:rPr>
          <w:rFonts w:cs="Calibri"/>
          <w:color w:val="auto"/>
          <w:w w:val="110"/>
          <w:szCs w:val="22"/>
        </w:rPr>
        <w:t xml:space="preserve">a comprehensive website dedicated to </w:t>
      </w:r>
      <w:hyperlink r:id="rId996">
        <w:r w:rsidRPr="00DD7BD1">
          <w:rPr>
            <w:rFonts w:cs="Calibri"/>
            <w:color w:val="0000FF"/>
            <w:w w:val="110"/>
            <w:szCs w:val="22"/>
            <w:u w:val="single" w:color="0000FF"/>
          </w:rPr>
          <w:t>Paid Leave Oregon</w:t>
        </w:r>
      </w:hyperlink>
      <w:r w:rsidRPr="00DD7BD1">
        <w:rPr>
          <w:rFonts w:cs="Calibri"/>
          <w:color w:val="C00000"/>
          <w:w w:val="110"/>
          <w:szCs w:val="22"/>
        </w:rPr>
        <w:t>.</w:t>
      </w:r>
    </w:p>
    <w:p w14:paraId="6BA122DE" w14:textId="77777777" w:rsidR="003D0CE0" w:rsidRPr="00DD7BD1" w:rsidRDefault="003D0CE0" w:rsidP="003D0CE0">
      <w:pPr>
        <w:pStyle w:val="Heading4"/>
        <w:spacing w:before="0"/>
        <w:ind w:right="-180"/>
        <w:rPr>
          <w:rFonts w:ascii="Calibri" w:hAnsi="Calibri" w:cs="Calibri"/>
          <w:sz w:val="16"/>
          <w:szCs w:val="16"/>
        </w:rPr>
      </w:pPr>
    </w:p>
    <w:p w14:paraId="1FC384D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Sick</w:t>
      </w:r>
      <w:r w:rsidRPr="00DD7BD1">
        <w:rPr>
          <w:rFonts w:ascii="Calibri" w:hAnsi="Calibri" w:cs="Calibri"/>
          <w:b/>
          <w:bCs/>
          <w:i w:val="0"/>
          <w:iCs w:val="0"/>
          <w:color w:val="auto"/>
          <w:spacing w:val="-8"/>
        </w:rPr>
        <w:t xml:space="preserve"> </w:t>
      </w:r>
      <w:r w:rsidRPr="00DD7BD1">
        <w:rPr>
          <w:rFonts w:ascii="Calibri" w:hAnsi="Calibri" w:cs="Calibri"/>
          <w:b/>
          <w:bCs/>
          <w:i w:val="0"/>
          <w:iCs w:val="0"/>
          <w:color w:val="auto"/>
          <w:spacing w:val="-2"/>
        </w:rPr>
        <w:t>Leave</w:t>
      </w:r>
    </w:p>
    <w:p w14:paraId="2ACC6FBF"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9"/>
          <w:w w:val="110"/>
          <w:szCs w:val="22"/>
        </w:rPr>
        <w:t xml:space="preserve"> </w:t>
      </w:r>
      <w:r w:rsidRPr="00DD7BD1">
        <w:rPr>
          <w:rFonts w:cs="Calibri"/>
          <w:color w:val="auto"/>
          <w:w w:val="110"/>
          <w:szCs w:val="22"/>
        </w:rPr>
        <w:t>sick</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i/>
          <w:color w:val="auto"/>
          <w:w w:val="110"/>
          <w:szCs w:val="22"/>
        </w:rPr>
        <w:t>any</w:t>
      </w:r>
      <w:r w:rsidRPr="00DD7BD1">
        <w:rPr>
          <w:rFonts w:cs="Calibri"/>
          <w:i/>
          <w:color w:val="auto"/>
          <w:spacing w:val="-11"/>
          <w:w w:val="110"/>
          <w:szCs w:val="22"/>
        </w:rPr>
        <w:t xml:space="preserve"> </w:t>
      </w:r>
      <w:r w:rsidRPr="00DD7BD1">
        <w:rPr>
          <w:rFonts w:cs="Calibri"/>
          <w:color w:val="auto"/>
          <w:w w:val="110"/>
          <w:szCs w:val="22"/>
        </w:rPr>
        <w:t>reason</w:t>
      </w:r>
      <w:r w:rsidRPr="00DD7BD1">
        <w:rPr>
          <w:rFonts w:cs="Calibri"/>
          <w:color w:val="auto"/>
          <w:spacing w:val="-12"/>
          <w:w w:val="110"/>
          <w:szCs w:val="22"/>
        </w:rPr>
        <w:t xml:space="preserve"> </w:t>
      </w:r>
      <w:r w:rsidRPr="00DD7BD1">
        <w:rPr>
          <w:rFonts w:cs="Calibri"/>
          <w:color w:val="auto"/>
          <w:w w:val="110"/>
          <w:szCs w:val="22"/>
        </w:rPr>
        <w:t>that’s</w:t>
      </w:r>
      <w:r w:rsidRPr="00DD7BD1">
        <w:rPr>
          <w:rFonts w:cs="Calibri"/>
          <w:color w:val="auto"/>
          <w:spacing w:val="-9"/>
          <w:w w:val="110"/>
          <w:szCs w:val="22"/>
        </w:rPr>
        <w:t xml:space="preserve"> </w:t>
      </w:r>
      <w:r w:rsidRPr="00DD7BD1">
        <w:rPr>
          <w:rFonts w:cs="Calibri"/>
          <w:color w:val="auto"/>
          <w:w w:val="110"/>
          <w:szCs w:val="22"/>
        </w:rPr>
        <w:t>covered</w:t>
      </w:r>
      <w:r w:rsidRPr="00DD7BD1">
        <w:rPr>
          <w:rFonts w:cs="Calibri"/>
          <w:color w:val="auto"/>
          <w:spacing w:val="-13"/>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spacing w:val="-4"/>
          <w:w w:val="110"/>
          <w:szCs w:val="22"/>
        </w:rPr>
        <w:t>PLO.</w:t>
      </w:r>
    </w:p>
    <w:p w14:paraId="7FE7AFF9" w14:textId="77777777" w:rsidR="003D0CE0" w:rsidRPr="00DD7BD1" w:rsidRDefault="003D0CE0" w:rsidP="003D0CE0">
      <w:pPr>
        <w:ind w:right="-180"/>
        <w:rPr>
          <w:rFonts w:ascii="Calibri" w:hAnsi="Calibri" w:cs="Calibri"/>
          <w:b/>
          <w:color w:val="000000"/>
          <w:sz w:val="16"/>
          <w:szCs w:val="16"/>
          <w:highlight w:val="lightGray"/>
        </w:rPr>
      </w:pPr>
    </w:p>
    <w:p w14:paraId="7656EF7F" w14:textId="77777777" w:rsidR="003D0CE0" w:rsidRPr="00DD7BD1" w:rsidRDefault="003D0CE0" w:rsidP="003D0CE0">
      <w:pPr>
        <w:spacing w:after="0" w:line="240" w:lineRule="auto"/>
        <w:ind w:right="-180"/>
        <w:rPr>
          <w:rFonts w:ascii="Calibri" w:hAnsi="Calibri" w:cs="Calibri"/>
        </w:rPr>
      </w:pPr>
      <w:r w:rsidRPr="00DD7BD1">
        <w:rPr>
          <w:rFonts w:ascii="Calibri" w:hAnsi="Calibri" w:cs="Calibri"/>
          <w:b/>
          <w:color w:val="000000"/>
          <w:highlight w:val="lightGray"/>
        </w:rPr>
        <w:t>Employer</w:t>
      </w:r>
      <w:r w:rsidRPr="00DD7BD1">
        <w:rPr>
          <w:rFonts w:ascii="Calibri" w:hAnsi="Calibri" w:cs="Calibri"/>
          <w:b/>
          <w:color w:val="000000"/>
          <w:spacing w:val="21"/>
          <w:highlight w:val="lightGray"/>
        </w:rPr>
        <w:t xml:space="preserve"> </w:t>
      </w:r>
      <w:r w:rsidRPr="00DD7BD1">
        <w:rPr>
          <w:rFonts w:ascii="Calibri" w:hAnsi="Calibri" w:cs="Calibri"/>
          <w:b/>
          <w:color w:val="000000"/>
          <w:highlight w:val="lightGray"/>
        </w:rPr>
        <w:t>Takeaway</w:t>
      </w:r>
      <w:r w:rsidRPr="00DD7BD1">
        <w:rPr>
          <w:rFonts w:ascii="Calibri" w:hAnsi="Calibri" w:cs="Calibri"/>
          <w:b/>
          <w:color w:val="000000"/>
        </w:rPr>
        <w:t>:</w:t>
      </w:r>
      <w:r w:rsidRPr="00DD7BD1">
        <w:rPr>
          <w:rFonts w:ascii="Calibri" w:hAnsi="Calibri" w:cs="Calibri"/>
          <w:b/>
          <w:color w:val="000000"/>
          <w:spacing w:val="25"/>
        </w:rPr>
        <w:t xml:space="preserve"> </w:t>
      </w:r>
      <w:r w:rsidRPr="00DD7BD1">
        <w:rPr>
          <w:rFonts w:ascii="Calibri" w:hAnsi="Calibri" w:cs="Calibri"/>
          <w:color w:val="000000"/>
        </w:rPr>
        <w:t>ETC’s</w:t>
      </w:r>
      <w:r w:rsidRPr="00DD7BD1">
        <w:rPr>
          <w:rFonts w:ascii="Calibri" w:hAnsi="Calibri" w:cs="Calibri"/>
          <w:color w:val="000000"/>
          <w:spacing w:val="24"/>
        </w:rPr>
        <w:t xml:space="preserve"> </w:t>
      </w:r>
      <w:r w:rsidRPr="00DD7BD1">
        <w:rPr>
          <w:rFonts w:ascii="Calibri" w:hAnsi="Calibri" w:cs="Calibri"/>
          <w:color w:val="000000"/>
        </w:rPr>
        <w:t>July</w:t>
      </w:r>
      <w:r w:rsidRPr="00DD7BD1">
        <w:rPr>
          <w:rFonts w:ascii="Calibri" w:hAnsi="Calibri" w:cs="Calibri"/>
          <w:color w:val="000000"/>
          <w:spacing w:val="22"/>
        </w:rPr>
        <w:t xml:space="preserve"> </w:t>
      </w:r>
      <w:r w:rsidRPr="00DD7BD1">
        <w:rPr>
          <w:rFonts w:ascii="Calibri" w:hAnsi="Calibri" w:cs="Calibri"/>
          <w:color w:val="000000"/>
        </w:rPr>
        <w:t>2025</w:t>
      </w:r>
      <w:r w:rsidRPr="00DD7BD1">
        <w:rPr>
          <w:rFonts w:ascii="Calibri" w:hAnsi="Calibri" w:cs="Calibri"/>
          <w:color w:val="000000"/>
          <w:spacing w:val="20"/>
        </w:rPr>
        <w:t xml:space="preserve"> </w:t>
      </w:r>
      <w:r w:rsidRPr="00DD7BD1">
        <w:rPr>
          <w:rFonts w:ascii="Calibri" w:hAnsi="Calibri" w:cs="Calibri"/>
          <w:color w:val="000000"/>
        </w:rPr>
        <w:t>OR</w:t>
      </w:r>
      <w:r w:rsidRPr="00DD7BD1">
        <w:rPr>
          <w:rFonts w:ascii="Calibri" w:hAnsi="Calibri" w:cs="Calibri"/>
          <w:color w:val="000000"/>
          <w:spacing w:val="21"/>
        </w:rPr>
        <w:t xml:space="preserve"> </w:t>
      </w:r>
      <w:r w:rsidRPr="00DD7BD1">
        <w:rPr>
          <w:rFonts w:ascii="Calibri" w:hAnsi="Calibri" w:cs="Calibri"/>
          <w:color w:val="000000"/>
        </w:rPr>
        <w:t>State</w:t>
      </w:r>
      <w:r w:rsidRPr="00DD7BD1">
        <w:rPr>
          <w:rFonts w:ascii="Calibri" w:hAnsi="Calibri" w:cs="Calibri"/>
          <w:color w:val="000000"/>
          <w:spacing w:val="20"/>
        </w:rPr>
        <w:t xml:space="preserve"> </w:t>
      </w:r>
      <w:r w:rsidRPr="00DD7BD1">
        <w:rPr>
          <w:rFonts w:ascii="Calibri" w:hAnsi="Calibri" w:cs="Calibri"/>
          <w:color w:val="000000"/>
        </w:rPr>
        <w:t>Handbook</w:t>
      </w:r>
      <w:r w:rsidRPr="00DD7BD1">
        <w:rPr>
          <w:rFonts w:ascii="Calibri" w:hAnsi="Calibri" w:cs="Calibri"/>
          <w:color w:val="000000"/>
          <w:spacing w:val="21"/>
        </w:rPr>
        <w:t xml:space="preserve"> </w:t>
      </w:r>
      <w:r w:rsidRPr="00DD7BD1">
        <w:rPr>
          <w:rFonts w:ascii="Calibri" w:hAnsi="Calibri" w:cs="Calibri"/>
          <w:color w:val="000000"/>
        </w:rPr>
        <w:t>Addendum</w:t>
      </w:r>
      <w:r w:rsidRPr="00DD7BD1">
        <w:rPr>
          <w:rFonts w:ascii="Calibri" w:hAnsi="Calibri" w:cs="Calibri"/>
          <w:color w:val="000000"/>
          <w:spacing w:val="22"/>
        </w:rPr>
        <w:t xml:space="preserve"> </w:t>
      </w:r>
      <w:r w:rsidRPr="00DD7BD1">
        <w:rPr>
          <w:rFonts w:ascii="Calibri" w:hAnsi="Calibri" w:cs="Calibri"/>
          <w:color w:val="000000"/>
        </w:rPr>
        <w:t>reflects</w:t>
      </w:r>
      <w:r w:rsidRPr="00DD7BD1">
        <w:rPr>
          <w:rFonts w:ascii="Calibri" w:hAnsi="Calibri" w:cs="Calibri"/>
          <w:color w:val="000000"/>
          <w:spacing w:val="32"/>
        </w:rPr>
        <w:t xml:space="preserve"> </w:t>
      </w:r>
      <w:r w:rsidRPr="00DD7BD1">
        <w:rPr>
          <w:rFonts w:ascii="Calibri" w:hAnsi="Calibri" w:cs="Calibri"/>
          <w:color w:val="000000"/>
          <w:spacing w:val="-2"/>
        </w:rPr>
        <w:t>changes.</w:t>
      </w:r>
    </w:p>
    <w:p w14:paraId="32EFBEC1" w14:textId="77777777" w:rsidR="003D0CE0" w:rsidRPr="00DD7BD1" w:rsidRDefault="003D0CE0" w:rsidP="003D0CE0">
      <w:pPr>
        <w:spacing w:after="0" w:line="240" w:lineRule="auto"/>
        <w:ind w:right="-180"/>
        <w:jc w:val="center"/>
        <w:rPr>
          <w:rFonts w:ascii="Calibri" w:hAnsi="Calibri" w:cs="Calibri"/>
          <w:b/>
          <w:sz w:val="28"/>
        </w:rPr>
      </w:pPr>
    </w:p>
    <w:p w14:paraId="4C15A0EA" w14:textId="77777777" w:rsidR="003D0CE0" w:rsidRPr="00DD7BD1" w:rsidRDefault="003D0CE0" w:rsidP="003D0CE0">
      <w:pPr>
        <w:ind w:right="-90"/>
        <w:jc w:val="center"/>
        <w:rPr>
          <w:rFonts w:ascii="Calibri" w:hAnsi="Calibri" w:cs="Calibri"/>
          <w:b/>
          <w:sz w:val="28"/>
        </w:rPr>
      </w:pPr>
      <w:r w:rsidRPr="00DD7BD1">
        <w:rPr>
          <w:rFonts w:ascii="Calibri" w:hAnsi="Calibri" w:cs="Calibri"/>
          <w:b/>
          <w:color w:val="C00000"/>
          <w:spacing w:val="-6"/>
          <w:sz w:val="28"/>
        </w:rPr>
        <w:t>Reminder:</w:t>
      </w:r>
      <w:r w:rsidRPr="00DD7BD1">
        <w:rPr>
          <w:rFonts w:ascii="Calibri" w:hAnsi="Calibri" w:cs="Calibri"/>
          <w:b/>
          <w:color w:val="C00000"/>
          <w:spacing w:val="-10"/>
          <w:sz w:val="28"/>
        </w:rPr>
        <w:t xml:space="preserve"> </w:t>
      </w: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Expands</w:t>
      </w:r>
      <w:r w:rsidRPr="00DD7BD1">
        <w:rPr>
          <w:rFonts w:ascii="Calibri" w:hAnsi="Calibri" w:cs="Calibri"/>
          <w:b/>
          <w:spacing w:val="-12"/>
          <w:sz w:val="28"/>
        </w:rPr>
        <w:t xml:space="preserve"> </w:t>
      </w:r>
      <w:r w:rsidRPr="00DD7BD1">
        <w:rPr>
          <w:rFonts w:ascii="Calibri" w:hAnsi="Calibri" w:cs="Calibri"/>
          <w:b/>
          <w:spacing w:val="-6"/>
          <w:sz w:val="28"/>
        </w:rPr>
        <w:t>Age</w:t>
      </w:r>
      <w:r w:rsidRPr="00DD7BD1">
        <w:rPr>
          <w:rFonts w:ascii="Calibri" w:hAnsi="Calibri" w:cs="Calibri"/>
          <w:b/>
          <w:spacing w:val="-10"/>
          <w:sz w:val="28"/>
        </w:rPr>
        <w:t xml:space="preserve"> </w:t>
      </w:r>
      <w:r w:rsidRPr="00DD7BD1">
        <w:rPr>
          <w:rFonts w:ascii="Calibri" w:hAnsi="Calibri" w:cs="Calibri"/>
          <w:b/>
          <w:spacing w:val="-6"/>
          <w:sz w:val="28"/>
        </w:rPr>
        <w:t>Discrimination</w:t>
      </w:r>
      <w:r w:rsidRPr="00DD7BD1">
        <w:rPr>
          <w:rFonts w:ascii="Calibri" w:hAnsi="Calibri" w:cs="Calibri"/>
          <w:b/>
          <w:spacing w:val="-9"/>
          <w:sz w:val="28"/>
        </w:rPr>
        <w:t xml:space="preserve"> </w:t>
      </w:r>
      <w:r w:rsidRPr="00DD7BD1">
        <w:rPr>
          <w:rFonts w:ascii="Calibri" w:hAnsi="Calibri" w:cs="Calibri"/>
          <w:b/>
          <w:spacing w:val="-6"/>
          <w:sz w:val="28"/>
        </w:rPr>
        <w:t>Protections</w:t>
      </w:r>
      <w:r w:rsidRPr="00DD7BD1">
        <w:rPr>
          <w:rFonts w:ascii="Calibri" w:hAnsi="Calibri" w:cs="Calibri"/>
          <w:b/>
          <w:spacing w:val="-9"/>
          <w:sz w:val="28"/>
        </w:rPr>
        <w:t xml:space="preserve"> </w:t>
      </w:r>
      <w:r w:rsidRPr="00DD7BD1">
        <w:rPr>
          <w:rFonts w:ascii="Calibri" w:hAnsi="Calibri" w:cs="Calibri"/>
          <w:b/>
          <w:spacing w:val="-6"/>
          <w:sz w:val="28"/>
        </w:rPr>
        <w:t>–</w:t>
      </w:r>
      <w:r w:rsidRPr="00DD7BD1">
        <w:rPr>
          <w:rFonts w:ascii="Calibri" w:hAnsi="Calibri" w:cs="Calibri"/>
          <w:b/>
          <w:spacing w:val="-9"/>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28,</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2025</w:t>
      </w:r>
    </w:p>
    <w:p w14:paraId="6F3E8232" w14:textId="7A49F434"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Oregon</w:t>
      </w:r>
      <w:r w:rsidRPr="00DD7BD1">
        <w:rPr>
          <w:rFonts w:cs="Calibri"/>
          <w:spacing w:val="-17"/>
          <w:w w:val="110"/>
          <w:szCs w:val="22"/>
        </w:rPr>
        <w:t xml:space="preserve"> </w:t>
      </w:r>
      <w:hyperlink r:id="rId997">
        <w:r w:rsidRPr="00DD7BD1">
          <w:rPr>
            <w:rFonts w:cs="Calibri"/>
            <w:color w:val="0000FF"/>
            <w:w w:val="110"/>
            <w:szCs w:val="22"/>
            <w:u w:val="single" w:color="0000FF"/>
          </w:rPr>
          <w:t>amended</w:t>
        </w:r>
      </w:hyperlink>
      <w:r w:rsidRPr="00DD7BD1">
        <w:rPr>
          <w:rFonts w:cs="Calibri"/>
          <w:color w:val="auto"/>
          <w:spacing w:val="-17"/>
          <w:w w:val="110"/>
          <w:szCs w:val="22"/>
        </w:rPr>
        <w:t xml:space="preserve"> </w:t>
      </w:r>
      <w:r w:rsidRPr="00DD7BD1">
        <w:rPr>
          <w:rFonts w:cs="Calibri"/>
          <w:color w:val="auto"/>
          <w:w w:val="110"/>
          <w:szCs w:val="22"/>
        </w:rPr>
        <w:t>its</w:t>
      </w:r>
      <w:r w:rsidRPr="00DD7BD1">
        <w:rPr>
          <w:rFonts w:cs="Calibri"/>
          <w:color w:val="auto"/>
          <w:spacing w:val="-17"/>
          <w:w w:val="110"/>
          <w:szCs w:val="22"/>
        </w:rPr>
        <w:t xml:space="preserve"> </w:t>
      </w:r>
      <w:proofErr w:type="gramStart"/>
      <w:r w:rsidRPr="00DD7BD1">
        <w:rPr>
          <w:rFonts w:cs="Calibri"/>
          <w:color w:val="auto"/>
          <w:w w:val="110"/>
          <w:szCs w:val="22"/>
        </w:rPr>
        <w:t>antidiscrimination</w:t>
      </w:r>
      <w:proofErr w:type="gramEnd"/>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expand</w:t>
      </w:r>
      <w:r w:rsidRPr="00DD7BD1">
        <w:rPr>
          <w:rFonts w:cs="Calibri"/>
          <w:color w:val="auto"/>
          <w:spacing w:val="-17"/>
          <w:w w:val="110"/>
          <w:szCs w:val="22"/>
        </w:rPr>
        <w:t xml:space="preserve"> </w:t>
      </w:r>
      <w:r w:rsidRPr="00DD7BD1">
        <w:rPr>
          <w:rFonts w:cs="Calibri"/>
          <w:color w:val="auto"/>
          <w:w w:val="110"/>
          <w:szCs w:val="22"/>
        </w:rPr>
        <w:t>age</w:t>
      </w:r>
      <w:r w:rsidRPr="00DD7BD1">
        <w:rPr>
          <w:rFonts w:cs="Calibri"/>
          <w:color w:val="auto"/>
          <w:spacing w:val="-17"/>
          <w:w w:val="110"/>
          <w:szCs w:val="22"/>
        </w:rPr>
        <w:t xml:space="preserve"> </w:t>
      </w:r>
      <w:r w:rsidRPr="00DD7BD1">
        <w:rPr>
          <w:rFonts w:cs="Calibri"/>
          <w:color w:val="auto"/>
          <w:w w:val="110"/>
          <w:szCs w:val="22"/>
        </w:rPr>
        <w:t>discrimination</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prohibiting</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making</w:t>
      </w:r>
      <w:r w:rsidRPr="00DD7BD1">
        <w:rPr>
          <w:rFonts w:cs="Calibri"/>
          <w:color w:val="auto"/>
          <w:spacing w:val="-17"/>
          <w:w w:val="110"/>
          <w:szCs w:val="22"/>
        </w:rPr>
        <w:t xml:space="preserve"> </w:t>
      </w:r>
      <w:r w:rsidRPr="00DD7BD1">
        <w:rPr>
          <w:rFonts w:cs="Calibri"/>
          <w:color w:val="auto"/>
          <w:w w:val="110"/>
          <w:szCs w:val="22"/>
        </w:rPr>
        <w:t>age- related</w:t>
      </w:r>
      <w:r w:rsidRPr="00DD7BD1">
        <w:rPr>
          <w:rFonts w:cs="Calibri"/>
          <w:color w:val="auto"/>
          <w:spacing w:val="-9"/>
          <w:w w:val="110"/>
          <w:szCs w:val="22"/>
        </w:rPr>
        <w:t xml:space="preserve"> </w:t>
      </w:r>
      <w:r w:rsidRPr="00DD7BD1">
        <w:rPr>
          <w:rFonts w:cs="Calibri"/>
          <w:color w:val="auto"/>
          <w:w w:val="110"/>
          <w:szCs w:val="22"/>
        </w:rPr>
        <w:t>inquiries</w:t>
      </w:r>
      <w:r w:rsidRPr="00DD7BD1">
        <w:rPr>
          <w:rFonts w:cs="Calibri"/>
          <w:color w:val="auto"/>
          <w:spacing w:val="-8"/>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hiring</w:t>
      </w:r>
      <w:r w:rsidRPr="00DD7BD1">
        <w:rPr>
          <w:rFonts w:cs="Calibri"/>
          <w:color w:val="auto"/>
          <w:spacing w:val="-9"/>
          <w:w w:val="110"/>
          <w:szCs w:val="22"/>
        </w:rPr>
        <w:t xml:space="preserve"> </w:t>
      </w:r>
      <w:r w:rsidRPr="00DD7BD1">
        <w:rPr>
          <w:rFonts w:cs="Calibri"/>
          <w:color w:val="auto"/>
          <w:w w:val="110"/>
          <w:szCs w:val="22"/>
        </w:rPr>
        <w:t>process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restricting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age</w:t>
      </w:r>
      <w:r w:rsidRPr="00DD7BD1">
        <w:rPr>
          <w:rFonts w:cs="Calibri"/>
          <w:color w:val="auto"/>
          <w:spacing w:val="-9"/>
          <w:w w:val="110"/>
          <w:szCs w:val="22"/>
        </w:rPr>
        <w:t xml:space="preserve"> </w:t>
      </w:r>
      <w:r w:rsidRPr="00DD7BD1">
        <w:rPr>
          <w:rFonts w:cs="Calibri"/>
          <w:color w:val="auto"/>
          <w:w w:val="110"/>
          <w:szCs w:val="22"/>
        </w:rPr>
        <w:t>limits</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apprenticeships.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amended</w:t>
      </w:r>
      <w:r w:rsidRPr="00DD7BD1">
        <w:rPr>
          <w:rFonts w:cs="Calibri"/>
          <w:color w:val="auto"/>
          <w:spacing w:val="-9"/>
          <w:w w:val="110"/>
          <w:szCs w:val="22"/>
        </w:rPr>
        <w:t xml:space="preserve"> </w:t>
      </w:r>
      <w:r w:rsidRPr="00DD7BD1">
        <w:rPr>
          <w:rFonts w:cs="Calibri"/>
          <w:color w:val="auto"/>
          <w:w w:val="110"/>
          <w:szCs w:val="22"/>
        </w:rPr>
        <w:t>law takes effect on Sept. 28, 2025.</w:t>
      </w:r>
    </w:p>
    <w:p w14:paraId="31E6329A" w14:textId="77777777" w:rsidR="003D0CE0" w:rsidRPr="00DD7BD1" w:rsidRDefault="003D0CE0" w:rsidP="003D0CE0">
      <w:pPr>
        <w:pStyle w:val="BodyText"/>
        <w:spacing w:after="0" w:line="240" w:lineRule="auto"/>
        <w:ind w:right="-90"/>
        <w:jc w:val="left"/>
        <w:rPr>
          <w:rFonts w:cs="Calibri"/>
          <w:szCs w:val="22"/>
        </w:rPr>
      </w:pPr>
    </w:p>
    <w:p w14:paraId="27233AB3" w14:textId="394D8D9D"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96FD7CF" w14:textId="6CAF70BE"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26, 2025, Oregon </w:t>
      </w:r>
      <w:hyperlink r:id="rId998"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2B70979" w14:textId="77777777" w:rsidR="00406B06" w:rsidRPr="00DD7BD1" w:rsidRDefault="00406B06" w:rsidP="00406B06">
      <w:pPr>
        <w:rPr>
          <w:rFonts w:ascii="Calibri" w:hAnsi="Calibri" w:cs="Calibri"/>
          <w:shd w:val="clear" w:color="auto" w:fill="FFFFFF"/>
        </w:rPr>
      </w:pPr>
      <w:r w:rsidRPr="00DD7BD1">
        <w:rPr>
          <w:rFonts w:ascii="Calibri" w:hAnsi="Calibri" w:cs="Calibri"/>
          <w:shd w:val="clear" w:color="auto" w:fill="FFFFFF"/>
        </w:rPr>
        <w:lastRenderedPageBreak/>
        <w:t>The explanation must include general information on the following:</w:t>
      </w:r>
    </w:p>
    <w:p w14:paraId="32F348AA"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3A377634"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31FDC4E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Allowances, if any, </w:t>
      </w:r>
      <w:proofErr w:type="gramStart"/>
      <w:r w:rsidRPr="00DD7BD1">
        <w:rPr>
          <w:rFonts w:ascii="Calibri" w:hAnsi="Calibri" w:cs="Calibri"/>
          <w:shd w:val="clear" w:color="auto" w:fill="FFFFFF"/>
        </w:rPr>
        <w:t>claimed</w:t>
      </w:r>
      <w:proofErr w:type="gramEnd"/>
      <w:r w:rsidRPr="00DD7BD1">
        <w:rPr>
          <w:rFonts w:ascii="Calibri" w:hAnsi="Calibri" w:cs="Calibri"/>
          <w:shd w:val="clear" w:color="auto" w:fill="FFFFFF"/>
        </w:rPr>
        <w:t xml:space="preserve"> as part of minimum wage;</w:t>
      </w:r>
    </w:p>
    <w:p w14:paraId="6F769F1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6DFF5646" w14:textId="2C3C0046"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payroll codes </w:t>
      </w:r>
      <w:proofErr w:type="gramStart"/>
      <w:r w:rsidRPr="00DD7BD1">
        <w:rPr>
          <w:rFonts w:ascii="Calibri" w:hAnsi="Calibri" w:cs="Calibri"/>
          <w:shd w:val="clear" w:color="auto" w:fill="FFFFFF"/>
        </w:rPr>
        <w:t>used</w:t>
      </w:r>
      <w:proofErr w:type="gramEnd"/>
      <w:r w:rsidRPr="00DD7BD1">
        <w:rPr>
          <w:rFonts w:ascii="Calibri" w:hAnsi="Calibri" w:cs="Calibri"/>
          <w:shd w:val="clear" w:color="auto" w:fill="FFFFFF"/>
        </w:rPr>
        <w:t xml:space="preserve"> for pay rates and deductions, along with a detailed description or definition of each code.</w:t>
      </w:r>
    </w:p>
    <w:p w14:paraId="7EB955F3" w14:textId="14E33D32" w:rsidR="00406B06" w:rsidRPr="00DD7BD1" w:rsidRDefault="00406B06" w:rsidP="00406B06">
      <w:pPr>
        <w:pStyle w:val="BodyText"/>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999"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51717201"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Expands Age Discrimination Protections – </w:t>
      </w:r>
      <w:r w:rsidRPr="00DD7BD1">
        <w:rPr>
          <w:rFonts w:ascii="Calibri" w:hAnsi="Calibri" w:cs="Calibri"/>
          <w:b/>
          <w:bCs/>
          <w:color w:val="C00000"/>
          <w:sz w:val="28"/>
          <w:szCs w:val="28"/>
          <w:shd w:val="clear" w:color="auto" w:fill="FFFFFF"/>
          <w:lang w:val="en"/>
        </w:rPr>
        <w:t>Eff Sept 28, 2025</w:t>
      </w:r>
    </w:p>
    <w:p w14:paraId="3214579A" w14:textId="63827230"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22, 2025, Oregon </w:t>
      </w:r>
      <w:hyperlink r:id="rId1000"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antidiscrimination law to expand age discrimination by prohibiting employers from making age-related inquiries during the hiring process and restricting the use of age limits in apprenticeships. The amended law takes effect on Sept. 28, 2025.  Employers may wish to take this opportunity to ensure their current hiring </w:t>
      </w:r>
      <w:proofErr w:type="gramStart"/>
      <w:r w:rsidRPr="00DD7BD1">
        <w:rPr>
          <w:rFonts w:ascii="Calibri" w:hAnsi="Calibri" w:cs="Calibri"/>
          <w:shd w:val="clear" w:color="auto" w:fill="FFFFFF"/>
        </w:rPr>
        <w:t>practices to</w:t>
      </w:r>
      <w:proofErr w:type="gramEnd"/>
      <w:r w:rsidRPr="00DD7BD1">
        <w:rPr>
          <w:rFonts w:ascii="Calibri" w:hAnsi="Calibri" w:cs="Calibri"/>
          <w:shd w:val="clear" w:color="auto" w:fill="FFFFFF"/>
        </w:rPr>
        <w:t xml:space="preserve"> involve any age-related inquiries.</w:t>
      </w:r>
    </w:p>
    <w:p w14:paraId="2AFDA213"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Sick Leave for Blood Donation – </w:t>
      </w:r>
      <w:r w:rsidRPr="00DD7BD1">
        <w:rPr>
          <w:rFonts w:ascii="Calibri" w:hAnsi="Calibri" w:cs="Calibri"/>
          <w:b/>
          <w:bCs/>
          <w:color w:val="C00000"/>
          <w:sz w:val="28"/>
          <w:szCs w:val="28"/>
          <w:shd w:val="clear" w:color="auto" w:fill="FFFFFF"/>
          <w:lang w:val="en"/>
        </w:rPr>
        <w:t>Eff Jan 1, 2026</w:t>
      </w:r>
    </w:p>
    <w:p w14:paraId="07FA5E3B" w14:textId="12973B36" w:rsidR="00406B06" w:rsidRPr="00DD7BD1" w:rsidRDefault="00406B06" w:rsidP="00406B06">
      <w:pPr>
        <w:rPr>
          <w:rFonts w:ascii="Calibri" w:hAnsi="Calibri" w:cs="Calibri"/>
          <w:b/>
          <w:bCs/>
          <w:color w:val="C00000"/>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1001"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and allows.  ETC will provide an updated State Handbook Addendum ahead of the effective date.</w:t>
      </w:r>
    </w:p>
    <w:p w14:paraId="21C97C90" w14:textId="7BDD9566"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w:t>
      </w:r>
      <w:r w:rsidRPr="00DD7BD1">
        <w:rPr>
          <w:rFonts w:ascii="Calibri" w:hAnsi="Calibri" w:cs="Calibri"/>
          <w:b/>
          <w:bCs/>
          <w:color w:val="C00000"/>
          <w:sz w:val="28"/>
          <w:szCs w:val="28"/>
          <w:shd w:val="clear" w:color="auto" w:fill="FFFFFF"/>
          <w:lang w:val="en"/>
        </w:rPr>
        <w:t>– Eff July 1, 2025</w:t>
      </w:r>
    </w:p>
    <w:p w14:paraId="49BC656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1002" w:tgtFrame="_blank" w:history="1">
        <w:r w:rsidRPr="00DD7BD1">
          <w:rPr>
            <w:rStyle w:val="Hyperlink"/>
            <w:rFonts w:ascii="Calibri" w:hAnsi="Calibri" w:cs="Calibri"/>
            <w:shd w:val="clear" w:color="auto" w:fill="FFFFFF"/>
          </w:rPr>
          <w:t>BOLI’s website</w:t>
        </w:r>
      </w:hyperlink>
      <w:r w:rsidRPr="00DD7BD1">
        <w:rPr>
          <w:rFonts w:ascii="Calibri" w:hAnsi="Calibri" w:cs="Calibri"/>
          <w:color w:val="2E74B5" w:themeColor="accent5" w:themeShade="BF"/>
          <w:shd w:val="clear" w:color="auto" w:fill="FFFFFF"/>
        </w:rPr>
        <w:t>.</w:t>
      </w:r>
    </w:p>
    <w:p w14:paraId="6479BE0A" w14:textId="3C2A1FD7"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State Updates Administrative Rules for Paid Leave – </w:t>
      </w:r>
      <w:r w:rsidRPr="00DD7BD1">
        <w:rPr>
          <w:rFonts w:ascii="Calibri" w:hAnsi="Calibri" w:cs="Calibri"/>
          <w:b/>
          <w:bCs/>
          <w:color w:val="C00000"/>
          <w:sz w:val="28"/>
          <w:szCs w:val="28"/>
          <w:shd w:val="clear" w:color="auto" w:fill="FFFFFF"/>
          <w:lang w:val="en"/>
        </w:rPr>
        <w:t>Jan 1, 2025</w:t>
      </w:r>
    </w:p>
    <w:p w14:paraId="2D7C809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Oregon’s updated administrative rules for Paid Leave Oregon took effect on January 1, 2025. </w:t>
      </w:r>
    </w:p>
    <w:p w14:paraId="1C5DFD78" w14:textId="77777777" w:rsidR="00BD445F" w:rsidRPr="00DD7BD1" w:rsidRDefault="00BD445F" w:rsidP="00BD445F">
      <w:pPr>
        <w:spacing w:after="0" w:line="240" w:lineRule="auto"/>
        <w:rPr>
          <w:rFonts w:ascii="Calibri" w:hAnsi="Calibri" w:cs="Calibri"/>
          <w:sz w:val="16"/>
          <w:szCs w:val="16"/>
          <w:shd w:val="clear" w:color="auto" w:fill="FFFFFF"/>
        </w:rPr>
      </w:pPr>
    </w:p>
    <w:p w14:paraId="5CD1AB8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These updates align with the 2024 law changes and include, but aren’t limited to, the following:</w:t>
      </w:r>
    </w:p>
    <w:p w14:paraId="72AF1A95"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Revised definitions for terms such as “care” and “child.”</w:t>
      </w:r>
    </w:p>
    <w:p w14:paraId="429BC894"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Added definitions for “foster care” and “pre-placement leave.”</w:t>
      </w:r>
    </w:p>
    <w:p w14:paraId="6D6AB8BE"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Pre-placement leave for adoption or foster care is limited to intermittent use only.</w:t>
      </w:r>
    </w:p>
    <w:p w14:paraId="323E4F34" w14:textId="77777777" w:rsidR="00BD445F" w:rsidRPr="00DD7BD1" w:rsidRDefault="00BD445F" w:rsidP="00BD445F">
      <w:pPr>
        <w:spacing w:after="0" w:line="240" w:lineRule="auto"/>
        <w:rPr>
          <w:rFonts w:ascii="Calibri" w:hAnsi="Calibri" w:cs="Calibri"/>
          <w:sz w:val="16"/>
          <w:szCs w:val="16"/>
          <w:shd w:val="clear" w:color="auto" w:fill="FFFFFF"/>
        </w:rPr>
      </w:pPr>
    </w:p>
    <w:p w14:paraId="73CAE560" w14:textId="2C6377EB" w:rsidR="00A83553" w:rsidRPr="00DD7BD1" w:rsidRDefault="00BD445F" w:rsidP="00AD4A8E">
      <w:pPr>
        <w:spacing w:after="0" w:line="240" w:lineRule="auto"/>
        <w:rPr>
          <w:rFonts w:ascii="Calibri" w:hAnsi="Calibri" w:cs="Calibri"/>
          <w:shd w:val="clear" w:color="auto" w:fill="FFFFFF"/>
        </w:rPr>
      </w:pPr>
      <w:r w:rsidRPr="00DD7BD1">
        <w:rPr>
          <w:rFonts w:ascii="Calibri" w:hAnsi="Calibri" w:cs="Calibri"/>
          <w:shd w:val="clear" w:color="auto" w:fill="FFFFFF"/>
        </w:rPr>
        <w:t>The Oregon Employment Department filed this </w:t>
      </w:r>
      <w:hyperlink r:id="rId1003" w:tgtFrame="_blank" w:history="1">
        <w:r w:rsidRPr="00DD7BD1">
          <w:rPr>
            <w:rStyle w:val="Hyperlink"/>
            <w:rFonts w:ascii="Calibri" w:hAnsi="Calibri" w:cs="Calibri"/>
            <w:shd w:val="clear" w:color="auto" w:fill="FFFFFF"/>
          </w:rPr>
          <w:t>Permanent Administrative Order</w:t>
        </w:r>
      </w:hyperlink>
      <w:r w:rsidRPr="00DD7BD1">
        <w:rPr>
          <w:rFonts w:ascii="Calibri" w:hAnsi="Calibri" w:cs="Calibri"/>
          <w:shd w:val="clear" w:color="auto" w:fill="FFFFFF"/>
        </w:rPr>
        <w:t> on December 27, 2024.  The January 2025 State Handbook Addendum includes policy language edits to reflect needed changes.</w:t>
      </w:r>
    </w:p>
    <w:p w14:paraId="1202D865" w14:textId="77777777" w:rsidR="00A83553" w:rsidRPr="00DD7BD1" w:rsidRDefault="00A83553" w:rsidP="000B6BCC">
      <w:pPr>
        <w:spacing w:after="0" w:line="240" w:lineRule="auto"/>
        <w:jc w:val="center"/>
        <w:rPr>
          <w:rFonts w:ascii="Calibri" w:hAnsi="Calibri" w:cs="Calibri"/>
          <w:b/>
          <w:bCs/>
          <w:sz w:val="28"/>
          <w:szCs w:val="28"/>
          <w:shd w:val="clear" w:color="auto" w:fill="FFFFFF"/>
          <w:lang w:val="en"/>
        </w:rPr>
      </w:pPr>
    </w:p>
    <w:p w14:paraId="2F76E2C5" w14:textId="49CE7F9F" w:rsidR="000B6BCC" w:rsidRPr="00DD7BD1" w:rsidRDefault="000B6BCC" w:rsidP="000B6BC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34" w:name="_Hlk186728722"/>
      <w:r w:rsidRPr="00DD7BD1">
        <w:rPr>
          <w:rFonts w:ascii="Calibri" w:hAnsi="Calibri" w:cs="Calibri"/>
          <w:b/>
          <w:bCs/>
          <w:sz w:val="28"/>
          <w:szCs w:val="28"/>
          <w:shd w:val="clear" w:color="auto" w:fill="FFFFFF"/>
          <w:lang w:val="en"/>
        </w:rPr>
        <w:t xml:space="preserve">Paid Leave Oregon &amp; OFLA Leave Change - </w:t>
      </w:r>
      <w:r w:rsidRPr="00DD7BD1">
        <w:rPr>
          <w:rFonts w:ascii="Calibri" w:hAnsi="Calibri" w:cs="Calibri"/>
          <w:b/>
          <w:bCs/>
          <w:color w:val="C00000"/>
          <w:sz w:val="28"/>
          <w:szCs w:val="28"/>
          <w:shd w:val="clear" w:color="auto" w:fill="FFFFFF"/>
          <w:lang w:val="en"/>
        </w:rPr>
        <w:t>Jan 1, 2025</w:t>
      </w:r>
      <w:bookmarkEnd w:id="134"/>
    </w:p>
    <w:p w14:paraId="7EE67030" w14:textId="77777777" w:rsidR="000B6BCC" w:rsidRPr="00DD7BD1" w:rsidRDefault="000B6BCC" w:rsidP="000B6BCC">
      <w:pPr>
        <w:spacing w:after="0" w:line="240" w:lineRule="auto"/>
        <w:rPr>
          <w:rFonts w:ascii="Calibri" w:eastAsia="Times New Roman" w:hAnsi="Calibri" w:cs="Calibri"/>
          <w:szCs w:val="20"/>
        </w:rPr>
      </w:pPr>
      <w:r w:rsidRPr="00DD7BD1">
        <w:rPr>
          <w:rFonts w:ascii="Calibri" w:eastAsia="Times New Roman" w:hAnsi="Calibri" w:cs="Calibri"/>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  State Handbook Addendum verbiage changes forthcoming.</w:t>
      </w:r>
    </w:p>
    <w:p w14:paraId="75E0F6A5" w14:textId="77777777" w:rsidR="000B6BCC" w:rsidRPr="00DD7BD1" w:rsidRDefault="000B6BCC" w:rsidP="000B6BCC">
      <w:pPr>
        <w:spacing w:after="0" w:line="240" w:lineRule="auto"/>
        <w:rPr>
          <w:rFonts w:ascii="Calibri" w:eastAsia="Times New Roman" w:hAnsi="Calibri" w:cs="Calibri"/>
          <w:szCs w:val="20"/>
        </w:rPr>
      </w:pPr>
    </w:p>
    <w:p w14:paraId="0F308F2B" w14:textId="77777777"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lang w:val="en"/>
        </w:rPr>
      </w:pPr>
      <w:bookmarkStart w:id="135" w:name="_Hlk186728748"/>
      <w:r w:rsidRPr="00DD7BD1">
        <w:rPr>
          <w:rFonts w:ascii="Calibri" w:hAnsi="Calibri" w:cs="Calibri"/>
          <w:b/>
          <w:bCs/>
          <w:sz w:val="28"/>
          <w:szCs w:val="28"/>
          <w:shd w:val="clear" w:color="auto" w:fill="FFFFFF"/>
          <w:lang w:val="en"/>
        </w:rPr>
        <w:t xml:space="preserve">State Warehouse Quota Notification Requirements – </w:t>
      </w:r>
      <w:r w:rsidRPr="00DD7BD1">
        <w:rPr>
          <w:rFonts w:ascii="Calibri" w:hAnsi="Calibri" w:cs="Calibri"/>
          <w:b/>
          <w:bCs/>
          <w:color w:val="C00000"/>
          <w:sz w:val="28"/>
          <w:szCs w:val="28"/>
          <w:shd w:val="clear" w:color="auto" w:fill="FFFFFF"/>
          <w:lang w:val="en"/>
        </w:rPr>
        <w:t>Jan 1, 2025</w:t>
      </w:r>
    </w:p>
    <w:bookmarkEnd w:id="135"/>
    <w:p w14:paraId="54F1305F" w14:textId="77777777" w:rsidR="000B6BCC" w:rsidRPr="00DD7BD1" w:rsidRDefault="000B6BCC" w:rsidP="000B6BCC">
      <w:pPr>
        <w:pStyle w:val="BodyText"/>
        <w:rPr>
          <w:rFonts w:cs="Calibri"/>
          <w:color w:val="auto"/>
        </w:rPr>
      </w:pPr>
      <w:r w:rsidRPr="00DD7BD1">
        <w:rPr>
          <w:rFonts w:cs="Calibri"/>
          <w:color w:val="auto"/>
        </w:rPr>
        <w:t xml:space="preserve">Oregon enacted a new law </w:t>
      </w:r>
      <w:r w:rsidRPr="00DD7BD1">
        <w:rPr>
          <w:rFonts w:cs="Calibri"/>
        </w:rPr>
        <w:t>(</w:t>
      </w:r>
      <w:hyperlink r:id="rId1004" w:history="1">
        <w:r w:rsidRPr="00DD7BD1">
          <w:rPr>
            <w:rStyle w:val="Hyperlink"/>
            <w:rFonts w:cs="Calibri"/>
          </w:rPr>
          <w:t>HB 4127</w:t>
        </w:r>
      </w:hyperlink>
      <w:r w:rsidRPr="00DD7BD1">
        <w:rPr>
          <w:rFonts w:cs="Calibri"/>
        </w:rPr>
        <w:t>)</w:t>
      </w:r>
      <w:r w:rsidRPr="00DD7BD1">
        <w:rPr>
          <w:rFonts w:cs="Calibri"/>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w:t>
      </w:r>
      <w:proofErr w:type="gramStart"/>
      <w:r w:rsidRPr="00DD7BD1">
        <w:rPr>
          <w:rFonts w:cs="Calibri"/>
          <w:color w:val="auto"/>
        </w:rPr>
        <w:t>time period</w:t>
      </w:r>
      <w:proofErr w:type="gramEnd"/>
      <w:r w:rsidRPr="00DD7BD1">
        <w:rPr>
          <w:rFonts w:cs="Calibri"/>
          <w:color w:val="auto"/>
        </w:rPr>
        <w:t>,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DD7BD1" w:rsidRDefault="000B6BCC" w:rsidP="000B6BCC">
      <w:pPr>
        <w:pStyle w:val="BodyText"/>
        <w:rPr>
          <w:rFonts w:cs="Calibri"/>
          <w:color w:val="auto"/>
        </w:rPr>
      </w:pPr>
      <w:r w:rsidRPr="00DD7BD1">
        <w:rPr>
          <w:rFonts w:cs="Calibri"/>
          <w:color w:val="auto"/>
        </w:rPr>
        <w:t xml:space="preserve">Covered warehouse employers include any </w:t>
      </w:r>
      <w:proofErr w:type="gramStart"/>
      <w:r w:rsidRPr="00DD7BD1">
        <w:rPr>
          <w:rFonts w:cs="Calibri"/>
          <w:color w:val="auto"/>
        </w:rPr>
        <w:t>person who</w:t>
      </w:r>
      <w:proofErr w:type="gramEnd"/>
      <w:r w:rsidRPr="00DD7BD1">
        <w:rPr>
          <w:rFonts w:cs="Calibri"/>
          <w:color w:val="auto"/>
        </w:rPr>
        <w:t xml:space="preserve">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w:t>
      </w:r>
      <w:proofErr w:type="gramStart"/>
      <w:r w:rsidRPr="00DD7BD1">
        <w:rPr>
          <w:rFonts w:cs="Calibri"/>
          <w:color w:val="auto"/>
        </w:rPr>
        <w:t>similar to</w:t>
      </w:r>
      <w:proofErr w:type="gramEnd"/>
      <w:r w:rsidRPr="00DD7BD1">
        <w:rPr>
          <w:rFonts w:cs="Calibri"/>
          <w:color w:val="auto"/>
        </w:rPr>
        <w:t xml:space="preserve"> the rights afforded under the new law. </w:t>
      </w:r>
    </w:p>
    <w:p w14:paraId="262177D3" w14:textId="444397F9"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MINIMUM WAGE INCREASES 7.1.24</w:t>
      </w:r>
      <w:r w:rsidRPr="00DD7BD1">
        <w:rPr>
          <w:rFonts w:ascii="Calibri" w:eastAsia="Times New Roman" w:hAnsi="Calibri" w:cs="Calibri"/>
        </w:rPr>
        <w:br/>
        <w:t>The hourly minimum wage in Oregon will increase as follows:</w:t>
      </w:r>
    </w:p>
    <w:p w14:paraId="6CFE8F73"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Portland Metro (within Portland’s Urban Growth Boundary): $15.95</w:t>
      </w:r>
    </w:p>
    <w:p w14:paraId="7CD218A6"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Nonurban Counties: $13.70</w:t>
      </w:r>
    </w:p>
    <w:p w14:paraId="23088B79"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(“Standard”) Counties: $14.70</w:t>
      </w:r>
    </w:p>
    <w:p w14:paraId="19DB5B7B" w14:textId="77777777" w:rsidR="004B7569" w:rsidRPr="00DD7BD1" w:rsidRDefault="004B7569" w:rsidP="004B7569">
      <w:pPr>
        <w:shd w:val="clear" w:color="auto" w:fill="FFFFFF"/>
        <w:spacing w:after="0" w:line="240" w:lineRule="auto"/>
        <w:ind w:left="945"/>
        <w:rPr>
          <w:rFonts w:ascii="Calibri" w:eastAsia="Times New Roman" w:hAnsi="Calibri" w:cs="Calibri"/>
          <w:sz w:val="16"/>
          <w:szCs w:val="16"/>
        </w:rPr>
      </w:pPr>
    </w:p>
    <w:p w14:paraId="0F512BD8" w14:textId="6AC3513C" w:rsidR="004B7569" w:rsidRPr="00DD7BD1" w:rsidRDefault="004B7569" w:rsidP="003B29FD">
      <w:pPr>
        <w:pStyle w:val="NormalWeb"/>
        <w:shd w:val="clear" w:color="auto" w:fill="FFFFFF"/>
        <w:spacing w:before="0" w:beforeAutospacing="0" w:after="0" w:afterAutospacing="0"/>
        <w:rPr>
          <w:rFonts w:ascii="Calibri" w:hAnsi="Calibri" w:cs="Calibri"/>
          <w:b/>
          <w:bCs/>
          <w:kern w:val="36"/>
          <w:sz w:val="28"/>
          <w:szCs w:val="28"/>
        </w:rPr>
      </w:pPr>
      <w:r w:rsidRPr="00DD7BD1">
        <w:rPr>
          <w:rFonts w:ascii="Calibri" w:hAnsi="Calibri" w:cs="Calibri"/>
          <w:b/>
          <w:bCs/>
          <w:kern w:val="36"/>
          <w:sz w:val="28"/>
          <w:szCs w:val="28"/>
        </w:rPr>
        <w:t>Predictive Scheduling Exceptions Broadened</w:t>
      </w:r>
      <w:r w:rsidRPr="00DD7BD1">
        <w:rPr>
          <w:rFonts w:ascii="Calibri" w:hAnsi="Calibri" w:cs="Calibri"/>
          <w:color w:val="282828"/>
        </w:rPr>
        <w:br/>
      </w:r>
      <w:r w:rsidRPr="00DD7BD1">
        <w:rPr>
          <w:rFonts w:ascii="Calibri" w:hAnsi="Calibri" w:cs="Calibri"/>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Takeaways</w:t>
      </w:r>
      <w:r w:rsidRPr="00DD7BD1">
        <w:rPr>
          <w:rStyle w:val="Strong"/>
          <w:rFonts w:ascii="Calibri" w:hAnsi="Calibri" w:cs="Calibri"/>
          <w:sz w:val="22"/>
          <w:szCs w:val="22"/>
        </w:rPr>
        <w:t xml:space="preserve">:  </w:t>
      </w:r>
      <w:r w:rsidRPr="00DD7BD1">
        <w:rPr>
          <w:rFonts w:ascii="Calibri" w:hAnsi="Calibri" w:cs="Calibri"/>
          <w:sz w:val="22"/>
          <w:szCs w:val="22"/>
        </w:rPr>
        <w:t>If this law applies to you and your policy includes exceptions to required pay, update it to include this scenario.</w:t>
      </w:r>
    </w:p>
    <w:p w14:paraId="3493134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0"/>
          <w:szCs w:val="20"/>
        </w:rPr>
      </w:pPr>
    </w:p>
    <w:p w14:paraId="4E831487" w14:textId="77777777" w:rsidR="004B7569" w:rsidRPr="00DD7BD1" w:rsidRDefault="004B7569" w:rsidP="004B7569">
      <w:pPr>
        <w:shd w:val="clear" w:color="auto" w:fill="FFFFFF"/>
        <w:spacing w:after="0" w:line="240" w:lineRule="auto"/>
        <w:jc w:val="center"/>
        <w:rPr>
          <w:rFonts w:ascii="Calibri" w:eastAsia="Times New Roman" w:hAnsi="Calibri" w:cs="Calibri"/>
          <w:color w:val="000000" w:themeColor="text1"/>
        </w:rPr>
      </w:pPr>
      <w:r w:rsidRPr="00DD7BD1">
        <w:rPr>
          <w:rFonts w:ascii="Calibri" w:eastAsia="Times New Roman" w:hAnsi="Calibri" w:cs="Calibri"/>
          <w:b/>
          <w:bCs/>
          <w:kern w:val="36"/>
          <w:sz w:val="28"/>
          <w:szCs w:val="28"/>
        </w:rPr>
        <w:lastRenderedPageBreak/>
        <w:t xml:space="preserve">Oregon Family Leave Act – </w:t>
      </w:r>
      <w:r w:rsidRPr="00DD7BD1">
        <w:rPr>
          <w:rFonts w:ascii="Calibri" w:eastAsia="Times New Roman" w:hAnsi="Calibri" w:cs="Calibri"/>
          <w:b/>
          <w:bCs/>
          <w:color w:val="C00000"/>
          <w:kern w:val="36"/>
          <w:sz w:val="28"/>
          <w:szCs w:val="28"/>
        </w:rPr>
        <w:t>July 1</w:t>
      </w:r>
    </w:p>
    <w:p w14:paraId="15B75E9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covered by the Oregon Family Leave Act (OFLA) (those with 25 or more employees in Oregon) should be aware of the following significant changes to the law.</w:t>
      </w:r>
    </w:p>
    <w:p w14:paraId="36B41DF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Forward-Looking Leave Year Required</w:t>
      </w:r>
      <w:r w:rsidRPr="00DD7BD1">
        <w:rPr>
          <w:rFonts w:ascii="Calibri" w:hAnsi="Calibri" w:cs="Calibri"/>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DD7BD1">
        <w:rPr>
          <w:rFonts w:ascii="Calibri" w:hAnsi="Calibri" w:cs="Calibri"/>
          <w:color w:val="C00000"/>
          <w:sz w:val="22"/>
          <w:szCs w:val="22"/>
        </w:rPr>
        <w:t>July 1</w:t>
      </w:r>
      <w:r w:rsidRPr="00DD7BD1">
        <w:rPr>
          <w:rFonts w:ascii="Calibri" w:hAnsi="Calibri" w:cs="Calibri"/>
          <w:color w:val="282828"/>
          <w:sz w:val="22"/>
          <w:szCs w:val="22"/>
        </w:rPr>
        <w:t>.</w:t>
      </w:r>
    </w:p>
    <w:p w14:paraId="36EDA00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Many Covered Reasons for Leave Eliminated</w:t>
      </w:r>
      <w:r w:rsidRPr="00DD7BD1">
        <w:rPr>
          <w:rFonts w:ascii="Calibri" w:hAnsi="Calibri" w:cs="Calibri"/>
          <w:sz w:val="22"/>
          <w:szCs w:val="22"/>
        </w:rPr>
        <w:br/>
        <w:t>OFLA’s covered reasons for leave will be significantly reduced to limit overlap with Paid Leave Oregon (PLO). OFLA will </w:t>
      </w:r>
      <w:r w:rsidRPr="00DD7BD1">
        <w:rPr>
          <w:rFonts w:ascii="Calibri" w:hAnsi="Calibri" w:cs="Calibri"/>
          <w:i/>
          <w:iCs/>
          <w:sz w:val="22"/>
          <w:szCs w:val="22"/>
        </w:rPr>
        <w:t>no longer cover</w:t>
      </w:r>
      <w:r w:rsidRPr="00DD7BD1">
        <w:rPr>
          <w:rFonts w:ascii="Calibri" w:hAnsi="Calibri" w:cs="Calibri"/>
          <w:sz w:val="22"/>
          <w:szCs w:val="22"/>
        </w:rPr>
        <w:t> the following reasons for leave:</w:t>
      </w:r>
    </w:p>
    <w:p w14:paraId="5520576C"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an infant or newly adopted or foster child</w:t>
      </w:r>
    </w:p>
    <w:p w14:paraId="54C6BD40"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 family member with a serious health condition (except for caring for a sick or injured child at home)</w:t>
      </w:r>
    </w:p>
    <w:p w14:paraId="6757131E"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recover from, or seek treatment for, the employee’s own serious health condition</w:t>
      </w:r>
    </w:p>
    <w:p w14:paraId="1285620F"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220F8C1A"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leave entitlement under OFLA will be limited to the following:</w:t>
      </w:r>
    </w:p>
    <w:p w14:paraId="497E933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four </w:t>
      </w:r>
      <w:r w:rsidRPr="00DD7BD1">
        <w:rPr>
          <w:rFonts w:ascii="Calibri" w:hAnsi="Calibri" w:cs="Calibri"/>
          <w:i/>
          <w:iCs/>
        </w:rPr>
        <w:t>total</w:t>
      </w:r>
      <w:r w:rsidRPr="00DD7BD1">
        <w:rPr>
          <w:rFonts w:ascii="Calibri" w:hAnsi="Calibri" w:cs="Calibri"/>
        </w:rPr>
        <w:t> weeks of leave per year for bereavement (employees are still allowed to take two weeks of leave for each death, but the total amount of leave has been reduced from 12 weeks to four weeks).</w:t>
      </w:r>
    </w:p>
    <w:p w14:paraId="45A3B200"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14 days per deployment under the Oregon Military Family Leave Act.</w:t>
      </w:r>
    </w:p>
    <w:p w14:paraId="2AF0987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Additionally, from</w:t>
      </w:r>
      <w:r w:rsidRPr="00DD7BD1">
        <w:rPr>
          <w:rFonts w:ascii="Calibri" w:hAnsi="Calibri" w:cs="Calibri"/>
          <w:color w:val="282828"/>
          <w:sz w:val="22"/>
          <w:szCs w:val="22"/>
        </w:rPr>
        <w:t xml:space="preserve"> </w:t>
      </w:r>
      <w:r w:rsidRPr="00DD7BD1">
        <w:rPr>
          <w:rFonts w:ascii="Calibri" w:hAnsi="Calibri" w:cs="Calibri"/>
          <w:color w:val="C00000"/>
          <w:sz w:val="22"/>
          <w:szCs w:val="22"/>
        </w:rPr>
        <w:t>July 1, 2024, through December 31, 2024</w:t>
      </w:r>
      <w:r w:rsidRPr="00DD7BD1">
        <w:rPr>
          <w:rFonts w:ascii="Calibri" w:hAnsi="Calibri" w:cs="Calibri"/>
          <w:color w:val="282828"/>
          <w:sz w:val="22"/>
          <w:szCs w:val="22"/>
        </w:rPr>
        <w:t xml:space="preserve">, </w:t>
      </w:r>
      <w:r w:rsidRPr="00DD7BD1">
        <w:rPr>
          <w:rFonts w:ascii="Calibri" w:hAnsi="Calibri" w:cs="Calibri"/>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DD7BD1">
        <w:rPr>
          <w:rFonts w:ascii="Calibri" w:hAnsi="Calibri" w:cs="Calibri"/>
          <w:color w:val="C00000"/>
          <w:sz w:val="22"/>
          <w:szCs w:val="22"/>
        </w:rPr>
        <w:t>January 1, 2025</w:t>
      </w:r>
      <w:r w:rsidRPr="00DD7BD1">
        <w:rPr>
          <w:rFonts w:ascii="Calibri" w:hAnsi="Calibri" w:cs="Calibri"/>
          <w:color w:val="282828"/>
          <w:sz w:val="22"/>
          <w:szCs w:val="22"/>
        </w:rPr>
        <w:t xml:space="preserve">, </w:t>
      </w:r>
      <w:r w:rsidRPr="00DD7BD1">
        <w:rPr>
          <w:rFonts w:ascii="Calibri" w:hAnsi="Calibri" w:cs="Calibri"/>
          <w:sz w:val="22"/>
          <w:szCs w:val="22"/>
        </w:rPr>
        <w:t>this will be covered under PLO.</w:t>
      </w:r>
    </w:p>
    <w:p w14:paraId="6B1519B0"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rPr>
        <w:t>Rescinding Previously Designated OFLA Leaves</w:t>
      </w:r>
      <w:r w:rsidRPr="00DD7BD1">
        <w:rPr>
          <w:rFonts w:ascii="Calibri" w:hAnsi="Calibri" w:cs="Calibri"/>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1005" w:tgtFrame="_blank" w:history="1">
        <w:r w:rsidRPr="00DD7BD1">
          <w:rPr>
            <w:rStyle w:val="Hyperlink"/>
            <w:rFonts w:ascii="Calibri" w:eastAsiaTheme="minorHAnsi" w:hAnsi="Calibri" w:cs="Calibri"/>
            <w:sz w:val="22"/>
            <w:szCs w:val="22"/>
          </w:rPr>
          <w:t>model notice</w:t>
        </w:r>
      </w:hyperlink>
      <w:r w:rsidRPr="00DD7BD1">
        <w:rPr>
          <w:rFonts w:ascii="Calibri" w:hAnsi="Calibri" w:cs="Calibri"/>
          <w:color w:val="282828"/>
          <w:sz w:val="22"/>
          <w:szCs w:val="22"/>
        </w:rPr>
        <w:t> provided by the Oregon Employment Department for these communications. See the platform for more information or the recently updated</w:t>
      </w:r>
      <w:r w:rsidRPr="00DD7BD1">
        <w:rPr>
          <w:rStyle w:val="Hyperlink"/>
          <w:rFonts w:ascii="Calibri" w:eastAsiaTheme="minorHAnsi" w:hAnsi="Calibri" w:cs="Calibri"/>
        </w:rPr>
        <w:t> </w:t>
      </w:r>
      <w:hyperlink r:id="rId1006" w:tgtFrame="_blank" w:history="1">
        <w:r w:rsidRPr="00DD7BD1">
          <w:rPr>
            <w:rStyle w:val="Hyperlink"/>
            <w:rFonts w:ascii="Calibri" w:eastAsiaTheme="minorHAnsi" w:hAnsi="Calibri" w:cs="Calibri"/>
            <w:sz w:val="22"/>
            <w:szCs w:val="22"/>
          </w:rPr>
          <w:t>BOLI page</w:t>
        </w:r>
      </w:hyperlink>
      <w:r w:rsidRPr="00DD7BD1">
        <w:rPr>
          <w:rFonts w:ascii="Calibri" w:hAnsi="Calibri" w:cs="Calibri"/>
          <w:color w:val="282828"/>
          <w:sz w:val="22"/>
          <w:szCs w:val="22"/>
        </w:rPr>
        <w:t> covering the changes.</w:t>
      </w:r>
    </w:p>
    <w:p w14:paraId="238771B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highlight w:val="lightGray"/>
        </w:rPr>
      </w:pPr>
      <w:r w:rsidRPr="00DD7BD1">
        <w:rPr>
          <w:rStyle w:val="Strong"/>
          <w:rFonts w:ascii="Calibri" w:hAnsi="Calibri" w:cs="Calibri"/>
          <w:color w:val="282828"/>
          <w:sz w:val="22"/>
          <w:szCs w:val="22"/>
        </w:rPr>
        <w:t>OFLA and PLO Won’t Run Concurrently</w:t>
      </w:r>
      <w:r w:rsidRPr="00DD7BD1">
        <w:rPr>
          <w:rFonts w:ascii="Calibri" w:hAnsi="Calibri" w:cs="Calibri"/>
          <w:color w:val="282828"/>
          <w:sz w:val="22"/>
          <w:szCs w:val="22"/>
        </w:rPr>
        <w:br/>
      </w:r>
      <w:r w:rsidRPr="00DD7BD1">
        <w:rPr>
          <w:rFonts w:ascii="Calibri" w:hAnsi="Calibri" w:cs="Calibri"/>
          <w:color w:val="282828"/>
          <w:sz w:val="22"/>
          <w:szCs w:val="22"/>
          <w:u w:val="single"/>
        </w:rPr>
        <w:t>OFLA and PLO will no longer run concurrently</w:t>
      </w:r>
      <w:r w:rsidRPr="00DD7BD1">
        <w:rPr>
          <w:rFonts w:ascii="Calibri" w:hAnsi="Calibri" w:cs="Calibri"/>
          <w:color w:val="282828"/>
          <w:sz w:val="22"/>
          <w:szCs w:val="22"/>
        </w:rPr>
        <w:t>. This means that any leave taken under one law will be </w:t>
      </w:r>
      <w:r w:rsidRPr="00DD7BD1">
        <w:rPr>
          <w:rFonts w:ascii="Calibri" w:hAnsi="Calibri" w:cs="Calibri"/>
          <w:i/>
          <w:iCs/>
          <w:color w:val="282828"/>
          <w:sz w:val="22"/>
          <w:szCs w:val="22"/>
        </w:rPr>
        <w:t>in addition to</w:t>
      </w:r>
      <w:r w:rsidRPr="00DD7BD1">
        <w:rPr>
          <w:rFonts w:ascii="Calibri" w:hAnsi="Calibri" w:cs="Calibri"/>
          <w:color w:val="282828"/>
          <w:sz w:val="22"/>
          <w:szCs w:val="22"/>
        </w:rPr>
        <w:t> any leave taken under the other.</w:t>
      </w:r>
    </w:p>
    <w:p w14:paraId="1E217DC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p>
    <w:p w14:paraId="05E2F30B"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Update your OFLA policies if still needed</w:t>
      </w:r>
    </w:p>
    <w:p w14:paraId="6E92A5DD"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Prepare for the new forward-looking OFLA leave year</w:t>
      </w:r>
    </w:p>
    <w:p w14:paraId="0AF20A52"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Provide necessary notices for leaves that will no longer be covered by OFLA</w:t>
      </w:r>
    </w:p>
    <w:p w14:paraId="0282A929"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69A0344D" w14:textId="48B134F8" w:rsidR="004B7569" w:rsidRPr="00DD7BD1" w:rsidRDefault="004B7569" w:rsidP="004B7569">
      <w:pPr>
        <w:pStyle w:val="NormalWeb"/>
        <w:shd w:val="clear" w:color="auto" w:fill="FFFFFF"/>
        <w:spacing w:before="0" w:beforeAutospacing="0" w:after="0" w:afterAutospacing="0"/>
        <w:jc w:val="center"/>
        <w:rPr>
          <w:rFonts w:ascii="Calibri" w:hAnsi="Calibri" w:cs="Calibri"/>
          <w:kern w:val="36"/>
          <w:sz w:val="28"/>
          <w:szCs w:val="28"/>
        </w:rPr>
      </w:pPr>
      <w:r w:rsidRPr="00DD7BD1">
        <w:rPr>
          <w:rFonts w:ascii="Calibri" w:hAnsi="Calibri" w:cs="Calibri"/>
          <w:b/>
          <w:bCs/>
          <w:kern w:val="36"/>
          <w:sz w:val="28"/>
          <w:szCs w:val="28"/>
        </w:rPr>
        <w:t>PLO &amp; Use of Accrued Paid Leave</w:t>
      </w:r>
    </w:p>
    <w:p w14:paraId="420366D6"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on PLO leave will be entitled to use any accrued paid leave in conjunction with PLO benefits, up to the amount that would result in full wage replacement. Employers will also have the</w:t>
      </w:r>
      <w:r w:rsidRPr="00DD7BD1">
        <w:rPr>
          <w:rFonts w:ascii="Calibri" w:hAnsi="Calibri" w:cs="Calibri"/>
          <w:i/>
          <w:iCs/>
          <w:sz w:val="22"/>
          <w:szCs w:val="22"/>
        </w:rPr>
        <w:t> option</w:t>
      </w:r>
      <w:r w:rsidRPr="00DD7BD1">
        <w:rPr>
          <w:rFonts w:ascii="Calibri" w:hAnsi="Calibri" w:cs="Calibri"/>
          <w:sz w:val="22"/>
          <w:szCs w:val="22"/>
        </w:rPr>
        <w:t> of allowing the use of accrued paid leave in an amount that would result in the employee getting </w:t>
      </w:r>
      <w:r w:rsidRPr="00DD7BD1">
        <w:rPr>
          <w:rFonts w:ascii="Calibri" w:hAnsi="Calibri" w:cs="Calibri"/>
          <w:i/>
          <w:iCs/>
          <w:sz w:val="22"/>
          <w:szCs w:val="22"/>
        </w:rPr>
        <w:t>more </w:t>
      </w:r>
      <w:r w:rsidRPr="00DD7BD1">
        <w:rPr>
          <w:rFonts w:ascii="Calibri" w:hAnsi="Calibri" w:cs="Calibri"/>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r w:rsidRPr="00DD7BD1">
        <w:rPr>
          <w:rStyle w:val="Strong"/>
          <w:rFonts w:ascii="Calibri" w:hAnsi="Calibri" w:cs="Calibri"/>
          <w:color w:val="282828"/>
          <w:sz w:val="22"/>
          <w:szCs w:val="22"/>
        </w:rPr>
        <w:t xml:space="preserve">:  </w:t>
      </w:r>
      <w:r w:rsidRPr="00DD7BD1">
        <w:rPr>
          <w:rFonts w:ascii="Calibri" w:hAnsi="Calibri" w:cs="Calibri"/>
          <w:sz w:val="22"/>
          <w:szCs w:val="22"/>
        </w:rPr>
        <w:t>Update your PLO policy to state that employees have the option to use any accrued paid leave they have available to make themselves whole and specify whether they will be permitted to use accrued paid leave to </w:t>
      </w:r>
      <w:r w:rsidRPr="00DD7BD1">
        <w:rPr>
          <w:rFonts w:ascii="Calibri" w:hAnsi="Calibri" w:cs="Calibri"/>
          <w:i/>
          <w:iCs/>
          <w:sz w:val="22"/>
          <w:szCs w:val="22"/>
        </w:rPr>
        <w:t>exceed</w:t>
      </w:r>
      <w:r w:rsidRPr="00DD7BD1">
        <w:rPr>
          <w:rFonts w:ascii="Calibri" w:hAnsi="Calibri" w:cs="Calibri"/>
          <w:sz w:val="22"/>
          <w:szCs w:val="22"/>
        </w:rPr>
        <w:t> full wage replacement.</w:t>
      </w:r>
    </w:p>
    <w:p w14:paraId="5CA7A2E8" w14:textId="77777777" w:rsidR="004B7569" w:rsidRPr="00DD7BD1" w:rsidRDefault="004B7569" w:rsidP="00837139">
      <w:pPr>
        <w:pStyle w:val="Heading1"/>
        <w:shd w:val="clear" w:color="auto" w:fill="FFFFFF"/>
        <w:spacing w:before="0" w:beforeAutospacing="0" w:after="0" w:afterAutospacing="0"/>
        <w:rPr>
          <w:rFonts w:ascii="Calibri" w:hAnsi="Calibri" w:cs="Calibri"/>
          <w:sz w:val="22"/>
          <w:szCs w:val="22"/>
          <w:shd w:val="clear" w:color="auto" w:fill="FFFFFF"/>
          <w:lang w:val="en"/>
        </w:rPr>
      </w:pPr>
    </w:p>
    <w:p w14:paraId="5D982658" w14:textId="0FDAEC4B" w:rsidR="00213EB3" w:rsidRPr="00DD7BD1" w:rsidRDefault="00213EB3" w:rsidP="00213EB3">
      <w:pPr>
        <w:pStyle w:val="Heading1"/>
        <w:shd w:val="clear" w:color="auto" w:fill="FFFFFF"/>
        <w:spacing w:before="0" w:beforeAutospacing="0" w:after="0" w:afterAutospacing="0"/>
        <w:jc w:val="center"/>
        <w:rPr>
          <w:rFonts w:ascii="Calibri" w:hAnsi="Calibri" w:cs="Calibri"/>
          <w:color w:val="C00000"/>
          <w:sz w:val="28"/>
          <w:szCs w:val="28"/>
          <w:shd w:val="clear" w:color="auto" w:fill="FFFFFF"/>
          <w:lang w:val="en"/>
        </w:rPr>
      </w:pPr>
      <w:r w:rsidRPr="00DD7BD1">
        <w:rPr>
          <w:rFonts w:ascii="Calibri" w:hAnsi="Calibri" w:cs="Calibri"/>
          <w:sz w:val="28"/>
          <w:szCs w:val="28"/>
          <w:shd w:val="clear" w:color="auto" w:fill="FFFFFF"/>
          <w:lang w:val="en"/>
        </w:rPr>
        <w:lastRenderedPageBreak/>
        <w:t xml:space="preserve">State’s </w:t>
      </w:r>
      <w:r w:rsidRPr="00DD7BD1">
        <w:rPr>
          <w:rStyle w:val="Strong"/>
          <w:rFonts w:ascii="Calibri" w:hAnsi="Calibri" w:cs="Calibri"/>
          <w:b/>
          <w:bCs/>
          <w:sz w:val="28"/>
          <w:szCs w:val="28"/>
        </w:rPr>
        <w:t>OFLA, PLO &amp; Sick Time Changes</w:t>
      </w:r>
    </w:p>
    <w:p w14:paraId="3103E9B8" w14:textId="77777777" w:rsidR="00213EB3" w:rsidRPr="00DD7BD1" w:rsidRDefault="00213EB3" w:rsidP="00213EB3">
      <w:pPr>
        <w:shd w:val="clear" w:color="auto" w:fill="FFFFFF"/>
        <w:spacing w:after="0" w:line="240" w:lineRule="auto"/>
        <w:rPr>
          <w:rFonts w:ascii="Calibri" w:eastAsia="Times New Roman" w:hAnsi="Calibri" w:cs="Calibri"/>
        </w:rPr>
      </w:pPr>
      <w:r w:rsidRPr="00DD7BD1">
        <w:rPr>
          <w:rFonts w:ascii="Calibri" w:hAnsi="Calibri" w:cs="Calibri"/>
          <w:b/>
          <w:bCs/>
          <w:u w:val="single"/>
        </w:rPr>
        <w:t>NOTE:</w:t>
      </w:r>
      <w:r w:rsidRPr="00DD7BD1">
        <w:rPr>
          <w:rFonts w:ascii="Calibri" w:eastAsia="Times New Roman" w:hAnsi="Calibri" w:cs="Calibri"/>
        </w:rPr>
        <w:t xml:space="preserve"> Under a temporary rule, Oregon employers have until </w:t>
      </w:r>
      <w:r w:rsidRPr="00DD7BD1">
        <w:rPr>
          <w:rFonts w:ascii="Calibri" w:eastAsia="Times New Roman" w:hAnsi="Calibri" w:cs="Calibri"/>
          <w:b/>
          <w:bCs/>
          <w:color w:val="C00000"/>
          <w:u w:val="single"/>
        </w:rPr>
        <w:t>June 1, 2024</w:t>
      </w:r>
      <w:r w:rsidRPr="00DD7BD1">
        <w:rPr>
          <w:rFonts w:ascii="Calibri" w:eastAsia="Times New Roman" w:hAnsi="Calibri" w:cs="Calibri"/>
        </w:rPr>
        <w:t xml:space="preserve">, to inform workers if their previously approved leave will not meet the requirements of the Oregon Family Leave Act (OFLA) as of July 1, 2024.  </w:t>
      </w:r>
      <w:r w:rsidRPr="00DD7BD1">
        <w:rPr>
          <w:rFonts w:ascii="Calibri" w:hAnsi="Calibri" w:cs="Calibri"/>
          <w:spacing w:val="3"/>
          <w:shd w:val="clear" w:color="auto" w:fill="FFFFFF"/>
        </w:rPr>
        <w:t xml:space="preserve">On March 20, 2024, Governor Tina Kotek signed into law Senate Bill 1515, which eliminated some qualifying reasons for leave under the Oregon Family Leave Act (OFLA) that overlapped with qualifying reasons for leave under Paid Leave Oregon, effective July 1, 2024.  </w:t>
      </w:r>
      <w:r w:rsidRPr="00DD7BD1">
        <w:rPr>
          <w:rFonts w:ascii="Calibri" w:hAnsi="Calibri" w:cs="Calibri"/>
          <w:color w:val="292929"/>
          <w:spacing w:val="3"/>
          <w:shd w:val="clear" w:color="auto" w:fill="FFFFFF"/>
        </w:rPr>
        <w:t xml:space="preserve">On </w:t>
      </w:r>
      <w:r w:rsidRPr="00DD7BD1">
        <w:rPr>
          <w:rFonts w:ascii="Calibri" w:hAnsi="Calibri" w:cs="Calibri"/>
          <w:b/>
          <w:bCs/>
          <w:color w:val="292929"/>
          <w:spacing w:val="3"/>
          <w:shd w:val="clear" w:color="auto" w:fill="FFFFFF"/>
        </w:rPr>
        <w:t>May 8, 2024</w:t>
      </w:r>
      <w:r w:rsidRPr="00DD7BD1">
        <w:rPr>
          <w:rFonts w:ascii="Calibri" w:hAnsi="Calibri" w:cs="Calibri"/>
          <w:color w:val="292929"/>
          <w:spacing w:val="3"/>
          <w:shd w:val="clear" w:color="auto" w:fill="FFFFFF"/>
        </w:rPr>
        <w:t>, the Oregon Bureau of Labor and Industries issued a </w:t>
      </w:r>
      <w:hyperlink r:id="rId1007" w:history="1">
        <w:r w:rsidRPr="00DD7BD1">
          <w:rPr>
            <w:rStyle w:val="Hyperlink"/>
            <w:rFonts w:ascii="Calibri" w:hAnsi="Calibri" w:cs="Calibri"/>
          </w:rPr>
          <w:t>temporary administrative order</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to address the fact that some employers will have approved employees take OFLA leave for reasons that, as of July 1, 2024</w:t>
      </w:r>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will no longer qualify for OFLA leave but that will qualify for Paid Leave Oregon.</w:t>
      </w:r>
    </w:p>
    <w:p w14:paraId="7E29F2F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DD7BD1" w:rsidRDefault="00213EB3" w:rsidP="00213EB3">
      <w:pPr>
        <w:pStyle w:val="NormalWeb"/>
        <w:shd w:val="clear" w:color="auto" w:fill="FFFFFF"/>
        <w:spacing w:before="0" w:beforeAutospacing="0" w:after="0" w:afterAutospacing="0"/>
        <w:rPr>
          <w:rFonts w:ascii="Calibri" w:hAnsi="Calibri" w:cs="Calibri"/>
          <w:sz w:val="12"/>
          <w:szCs w:val="12"/>
        </w:rPr>
      </w:pPr>
    </w:p>
    <w:p w14:paraId="73B60B1A"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Definition of Family Member</w:t>
      </w:r>
    </w:p>
    <w:p w14:paraId="29D4D8E3"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definition of </w:t>
      </w:r>
      <w:r w:rsidRPr="00DD7BD1">
        <w:rPr>
          <w:rStyle w:val="Strong"/>
          <w:rFonts w:ascii="Calibri" w:hAnsi="Calibri" w:cs="Calibri"/>
          <w:i/>
          <w:iCs/>
          <w:sz w:val="22"/>
          <w:szCs w:val="22"/>
        </w:rPr>
        <w:t>family member</w:t>
      </w:r>
      <w:r w:rsidRPr="00DD7BD1">
        <w:rPr>
          <w:rFonts w:ascii="Calibri" w:hAnsi="Calibri" w:cs="Calibri"/>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6" w:name="_Hlk158020216"/>
      <w:r w:rsidRPr="00DD7BD1">
        <w:rPr>
          <w:rFonts w:ascii="Calibri" w:hAnsi="Calibri" w:cs="Calibri"/>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6"/>
    <w:p w14:paraId="65913A6E"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0F7B701F"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Leaves Run Concurrently</w:t>
      </w:r>
    </w:p>
    <w:p w14:paraId="0D8906CB"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OFLA must run concurrently with PLO—not in addition to it—when the leave reason qualifies under both laws.</w:t>
      </w:r>
    </w:p>
    <w:p w14:paraId="5CD64FB1"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24BC311D"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Mandatory Forward-Looking OFLA Benefit Year in 2024</w:t>
      </w:r>
    </w:p>
    <w:p w14:paraId="62B4EA0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on </w:t>
      </w:r>
      <w:r w:rsidRPr="00DD7BD1">
        <w:rPr>
          <w:rFonts w:ascii="Calibri" w:hAnsi="Calibri" w:cs="Calibri"/>
          <w:color w:val="C00000"/>
          <w:sz w:val="22"/>
          <w:szCs w:val="22"/>
        </w:rPr>
        <w:t xml:space="preserve">July 1, 2024, </w:t>
      </w:r>
      <w:r w:rsidRPr="00DD7BD1">
        <w:rPr>
          <w:rFonts w:ascii="Calibri" w:hAnsi="Calibri" w:cs="Calibri"/>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1AB70C6A"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Employer Action Items</w:t>
      </w:r>
    </w:p>
    <w:p w14:paraId="7B63EEAF"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Ensure that you are running OFLA concurrently with PLO when the absence qualifies for both types of leave</w:t>
      </w:r>
    </w:p>
    <w:p w14:paraId="03DE64B3"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 xml:space="preserve">Implement a forward-looking benefit year for OFLA by </w:t>
      </w:r>
      <w:r w:rsidRPr="00DD7BD1">
        <w:rPr>
          <w:rFonts w:ascii="Calibri" w:hAnsi="Calibri" w:cs="Calibri"/>
          <w:color w:val="C00000"/>
        </w:rPr>
        <w:t xml:space="preserve">July 1, 2024 </w:t>
      </w:r>
      <w:r w:rsidRPr="00DD7BD1">
        <w:rPr>
          <w:rFonts w:ascii="Calibri" w:hAnsi="Calibri" w:cs="Calibri"/>
        </w:rPr>
        <w:t>(if you don’t already use that method), and consider changing your FMLA benefit year to match</w:t>
      </w:r>
    </w:p>
    <w:p w14:paraId="05C9CC58" w14:textId="77777777" w:rsidR="00213EB3" w:rsidRPr="00DD7BD1" w:rsidRDefault="00213EB3" w:rsidP="00213EB3">
      <w:pPr>
        <w:pStyle w:val="Heading2"/>
        <w:shd w:val="clear" w:color="auto" w:fill="FFFFFF"/>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Resources:</w:t>
      </w:r>
    </w:p>
    <w:p w14:paraId="29B110FB"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1008" w:anchor=":~:text=659A.150%20Definitions%20for%20ORS%20659A.150%20to%20659A.186." w:history="1">
        <w:r w:rsidRPr="00DD7BD1">
          <w:rPr>
            <w:rStyle w:val="Hyperlink"/>
            <w:rFonts w:ascii="Calibri" w:hAnsi="Calibri" w:cs="Calibri"/>
          </w:rPr>
          <w:t>Family Leave Act</w:t>
        </w:r>
      </w:hyperlink>
      <w:r w:rsidRPr="00DD7BD1">
        <w:rPr>
          <w:rFonts w:ascii="Calibri" w:hAnsi="Calibri" w:cs="Calibri"/>
        </w:rPr>
        <w:t xml:space="preserve"> (OFLA)</w:t>
      </w:r>
    </w:p>
    <w:p w14:paraId="08E52BD4"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1009" w:history="1">
        <w:r w:rsidRPr="00DD7BD1">
          <w:rPr>
            <w:rStyle w:val="Hyperlink"/>
            <w:rFonts w:ascii="Calibri" w:hAnsi="Calibri" w:cs="Calibri"/>
          </w:rPr>
          <w:t>Paid Leave Oregon</w:t>
        </w:r>
      </w:hyperlink>
      <w:r w:rsidRPr="00DD7BD1">
        <w:rPr>
          <w:rFonts w:ascii="Calibri" w:hAnsi="Calibri" w:cs="Calibri"/>
        </w:rPr>
        <w:t xml:space="preserve"> (PLO)</w:t>
      </w:r>
    </w:p>
    <w:p w14:paraId="5ACF11CC"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1010" w:history="1">
        <w:r w:rsidRPr="00DD7BD1">
          <w:rPr>
            <w:rStyle w:val="Hyperlink"/>
            <w:rFonts w:ascii="Calibri" w:hAnsi="Calibri" w:cs="Calibri"/>
          </w:rPr>
          <w:t>SB 1515</w:t>
        </w:r>
      </w:hyperlink>
    </w:p>
    <w:p w14:paraId="4DC01951" w14:textId="77777777" w:rsidR="00213EB3" w:rsidRPr="00DD7BD1" w:rsidRDefault="00213EB3" w:rsidP="00427CA7">
      <w:pPr>
        <w:pStyle w:val="NormalWeb"/>
        <w:shd w:val="clear" w:color="auto" w:fill="FFFFFF"/>
        <w:spacing w:before="0" w:beforeAutospacing="0" w:after="0" w:afterAutospacing="0"/>
        <w:jc w:val="center"/>
        <w:rPr>
          <w:rFonts w:ascii="Calibri" w:hAnsi="Calibri" w:cs="Calibri"/>
          <w:b/>
          <w:bCs/>
          <w:sz w:val="16"/>
          <w:szCs w:val="16"/>
          <w:shd w:val="clear" w:color="auto" w:fill="FFFFFF"/>
        </w:rPr>
      </w:pPr>
    </w:p>
    <w:p w14:paraId="6DE25DF0" w14:textId="6455E1B0" w:rsidR="00427CA7" w:rsidRPr="00DD7BD1" w:rsidRDefault="00427CA7" w:rsidP="00427CA7">
      <w:pPr>
        <w:pStyle w:val="NormalWeb"/>
        <w:shd w:val="clear" w:color="auto" w:fill="FFFFFF"/>
        <w:spacing w:before="0" w:beforeAutospacing="0" w:after="0" w:afterAutospacing="0"/>
        <w:jc w:val="center"/>
        <w:rPr>
          <w:rFonts w:ascii="Calibri" w:hAnsi="Calibri" w:cs="Calibri"/>
          <w:color w:val="282828"/>
          <w:sz w:val="54"/>
          <w:szCs w:val="54"/>
          <w:shd w:val="clear" w:color="auto" w:fill="FFFFFF"/>
        </w:rPr>
      </w:pPr>
      <w:r w:rsidRPr="00DD7BD1">
        <w:rPr>
          <w:rFonts w:ascii="Calibri" w:hAnsi="Calibri" w:cs="Calibri"/>
          <w:b/>
          <w:bCs/>
          <w:sz w:val="28"/>
          <w:szCs w:val="28"/>
          <w:shd w:val="clear" w:color="auto" w:fill="FFFFFF"/>
        </w:rPr>
        <w:t>Oregon Updates Leave Regulations</w:t>
      </w:r>
    </w:p>
    <w:p w14:paraId="203AB813"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February 29, 2024, Oregon finalized regulations affecting the Oregon Family Leave Act (OFLA) and the Sick Time law—(</w:t>
      </w:r>
      <w:hyperlink r:id="rId1011" w:tgtFrame="_blank" w:history="1">
        <w:r w:rsidRPr="00DD7BD1">
          <w:rPr>
            <w:rStyle w:val="Hyperlink"/>
            <w:rFonts w:ascii="Calibri" w:hAnsi="Calibri" w:cs="Calibri"/>
            <w:color w:val="3052DA"/>
            <w:sz w:val="22"/>
            <w:szCs w:val="22"/>
          </w:rPr>
          <w:t>BLI 9-2024</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took effect just a few days </w:t>
      </w:r>
      <w:proofErr w:type="gramStart"/>
      <w:r w:rsidRPr="00DD7BD1">
        <w:rPr>
          <w:rFonts w:ascii="Calibri" w:hAnsi="Calibri" w:cs="Calibri"/>
          <w:sz w:val="22"/>
          <w:szCs w:val="22"/>
        </w:rPr>
        <w:t>later on</w:t>
      </w:r>
      <w:proofErr w:type="gramEnd"/>
      <w:r w:rsidRPr="00DD7BD1">
        <w:rPr>
          <w:rFonts w:ascii="Calibri" w:hAnsi="Calibri" w:cs="Calibri"/>
          <w:sz w:val="22"/>
          <w:szCs w:val="22"/>
        </w:rPr>
        <w:t xml:space="preserve"> </w:t>
      </w:r>
      <w:r w:rsidRPr="00DD7BD1">
        <w:rPr>
          <w:rFonts w:ascii="Calibri" w:hAnsi="Calibri" w:cs="Calibri"/>
          <w:color w:val="C00000"/>
          <w:sz w:val="22"/>
          <w:szCs w:val="22"/>
        </w:rPr>
        <w:t>March 2, 2024</w:t>
      </w:r>
      <w:r w:rsidRPr="00DD7BD1">
        <w:rPr>
          <w:rFonts w:ascii="Calibri" w:hAnsi="Calibri" w:cs="Calibri"/>
          <w:color w:val="282828"/>
          <w:sz w:val="22"/>
          <w:szCs w:val="22"/>
        </w:rPr>
        <w:t xml:space="preserve">. </w:t>
      </w:r>
      <w:r w:rsidRPr="00DD7BD1">
        <w:rPr>
          <w:rFonts w:ascii="Calibri" w:hAnsi="Calibri" w:cs="Calibri"/>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color w:val="282828"/>
          <w:sz w:val="12"/>
          <w:szCs w:val="12"/>
        </w:rPr>
      </w:pPr>
    </w:p>
    <w:p w14:paraId="32138587"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The updated regulations</w:t>
      </w:r>
      <w:r w:rsidRPr="00DD7BD1">
        <w:rPr>
          <w:rFonts w:ascii="Calibri" w:hAnsi="Calibri" w:cs="Calibri"/>
          <w:sz w:val="22"/>
          <w:szCs w:val="22"/>
        </w:rPr>
        <w:t>:</w:t>
      </w:r>
    </w:p>
    <w:p w14:paraId="31F6570C"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employers to require that employees document the existence of an “affinity” relationship when using sick leave or OFLA leave to care for or grieve a family member and provide sample language.</w:t>
      </w:r>
    </w:p>
    <w:p w14:paraId="52763A61"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Eliminate the requirement, under both laws, that a domestic partner (as a type of family member) be of the same sex as the employee.</w:t>
      </w:r>
    </w:p>
    <w:p w14:paraId="1CAA7EF8"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lastRenderedPageBreak/>
        <w:t>Require employers to count any hours of protected leave the employee has taken when calculating an employee’s average hours per week for OFLA eligibility purposes.</w:t>
      </w:r>
    </w:p>
    <w:p w14:paraId="53D5C0DE"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Expand OFLA’s definition of </w:t>
      </w:r>
      <w:r w:rsidRPr="00DD7BD1">
        <w:rPr>
          <w:rFonts w:ascii="Calibri" w:hAnsi="Calibri" w:cs="Calibri"/>
          <w:i/>
          <w:iCs/>
        </w:rPr>
        <w:t>serious health condition</w:t>
      </w:r>
      <w:r w:rsidRPr="00DD7BD1">
        <w:rPr>
          <w:rFonts w:ascii="Calibri" w:hAnsi="Calibri" w:cs="Calibri"/>
        </w:rPr>
        <w:t xml:space="preserve"> to include disability resulting from the </w:t>
      </w:r>
      <w:bookmarkStart w:id="137" w:name="_Hlk163136665"/>
      <w:r w:rsidRPr="00DD7BD1">
        <w:rPr>
          <w:rFonts w:ascii="Calibri" w:hAnsi="Calibri" w:cs="Calibri"/>
        </w:rPr>
        <w:t xml:space="preserve">termination of a pregnancy </w:t>
      </w:r>
      <w:bookmarkEnd w:id="137"/>
      <w:r w:rsidRPr="00DD7BD1">
        <w:rPr>
          <w:rFonts w:ascii="Calibri" w:hAnsi="Calibri" w:cs="Calibri"/>
        </w:rPr>
        <w:t xml:space="preserve">and </w:t>
      </w:r>
      <w:bookmarkStart w:id="138" w:name="_Hlk163136336"/>
      <w:r w:rsidRPr="00DD7BD1">
        <w:rPr>
          <w:rFonts w:ascii="Calibri" w:hAnsi="Calibri" w:cs="Calibri"/>
        </w:rPr>
        <w:t>absences due to fertility or infertility treatments (reasons employees can take pregnancy disability leave)</w:t>
      </w:r>
      <w:bookmarkEnd w:id="138"/>
      <w:r w:rsidRPr="00DD7BD1">
        <w:rPr>
          <w:rFonts w:ascii="Calibri" w:hAnsi="Calibri" w:cs="Calibri"/>
        </w:rPr>
        <w:t>.</w:t>
      </w:r>
    </w:p>
    <w:p w14:paraId="4A54D725"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employees who qualify for leave under both OFLA and Paid Leave Oregon (PLO) to use any available paid time off during that dual-coverage leave.</w:t>
      </w:r>
    </w:p>
    <w:p w14:paraId="33CE7FC2"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 xml:space="preserve">Require employers that transition to a rolling-forward, one-year period to provide all eligible employees with a new, </w:t>
      </w:r>
      <w:proofErr w:type="gramStart"/>
      <w:r w:rsidRPr="00DD7BD1">
        <w:rPr>
          <w:rFonts w:ascii="Calibri" w:hAnsi="Calibri" w:cs="Calibri"/>
        </w:rPr>
        <w:t>full leave</w:t>
      </w:r>
      <w:proofErr w:type="gramEnd"/>
      <w:r w:rsidRPr="00DD7BD1">
        <w:rPr>
          <w:rFonts w:ascii="Calibri" w:hAnsi="Calibri" w:cs="Calibri"/>
        </w:rPr>
        <w:t xml:space="preserve"> bank at the beginning of the new OFLA leave year.</w:t>
      </w:r>
    </w:p>
    <w:p w14:paraId="1407FCBD"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Clarify that when an employer receives notice (from any source) that an employee has applied for PLO, they have sufficient information to temporarily designate the absence as OFLA leave.</w:t>
      </w:r>
    </w:p>
    <w:p w14:paraId="1177882C" w14:textId="77777777" w:rsidR="00427CA7" w:rsidRPr="00DD7BD1" w:rsidRDefault="00427CA7" w:rsidP="00427CA7">
      <w:pPr>
        <w:pStyle w:val="Heading1"/>
        <w:shd w:val="clear" w:color="auto" w:fill="FFFFFF"/>
        <w:spacing w:before="0" w:beforeAutospacing="0" w:after="0" w:afterAutospacing="0"/>
        <w:rPr>
          <w:rFonts w:ascii="Calibri" w:hAnsi="Calibri" w:cs="Calibri"/>
          <w:sz w:val="16"/>
          <w:szCs w:val="16"/>
          <w:highlight w:val="lightGray"/>
        </w:rPr>
      </w:pPr>
    </w:p>
    <w:p w14:paraId="31AFCB97" w14:textId="77777777" w:rsidR="00427CA7" w:rsidRPr="00DD7BD1" w:rsidRDefault="00427CA7" w:rsidP="00427CA7">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Update your leave policies to include these details if they are topics you have covered within those policies</w:t>
      </w:r>
    </w:p>
    <w:p w14:paraId="5BE7FD04" w14:textId="77777777" w:rsidR="00427CA7" w:rsidRPr="00DD7BD1" w:rsidRDefault="00427CA7" w:rsidP="00022BF0">
      <w:pPr>
        <w:pStyle w:val="NormalWeb"/>
        <w:shd w:val="clear" w:color="auto" w:fill="FFFFFF"/>
        <w:spacing w:before="0" w:beforeAutospacing="0" w:after="0" w:afterAutospacing="0"/>
        <w:jc w:val="both"/>
        <w:rPr>
          <w:rFonts w:ascii="Calibri" w:hAnsi="Calibri" w:cs="Calibri"/>
          <w:spacing w:val="3"/>
          <w:sz w:val="16"/>
          <w:szCs w:val="16"/>
        </w:rPr>
      </w:pPr>
    </w:p>
    <w:p w14:paraId="5547B8D3" w14:textId="77777777" w:rsidR="00837139" w:rsidRPr="00DD7BD1" w:rsidRDefault="00837139" w:rsidP="0083713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Pennsylvania</w:t>
      </w:r>
    </w:p>
    <w:p w14:paraId="077269A3" w14:textId="77777777" w:rsidR="008B508A" w:rsidRPr="00DD7BD1" w:rsidRDefault="008B508A" w:rsidP="008B508A">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Reminder:</w:t>
      </w: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Criminal History Protections – Eff </w:t>
      </w:r>
      <w:r w:rsidRPr="00DD7BD1">
        <w:rPr>
          <w:rFonts w:ascii="Calibri" w:hAnsi="Calibri" w:cs="Calibri"/>
          <w:b/>
          <w:bCs/>
          <w:color w:val="C00000"/>
          <w:sz w:val="28"/>
          <w:szCs w:val="28"/>
          <w:shd w:val="clear" w:color="auto" w:fill="FFFFFF"/>
          <w:lang w:val="en"/>
        </w:rPr>
        <w:t>Jan 6, 2026</w:t>
      </w:r>
    </w:p>
    <w:p w14:paraId="086B0885" w14:textId="05198407" w:rsidR="00625397" w:rsidRPr="00DD7BD1" w:rsidRDefault="00A03ECA" w:rsidP="001940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Reminder:</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u w:val="single"/>
          <w:shd w:val="clear" w:color="auto" w:fill="FFFFFF"/>
        </w:rPr>
        <w:t>Pittsburg</w:t>
      </w:r>
      <w:r w:rsidRPr="00DD7BD1">
        <w:rPr>
          <w:rFonts w:ascii="Calibri" w:hAnsi="Calibri" w:cs="Calibri"/>
          <w:b/>
          <w:bCs/>
          <w:sz w:val="28"/>
          <w:szCs w:val="28"/>
          <w:shd w:val="clear" w:color="auto" w:fill="FFFFFF"/>
        </w:rPr>
        <w:t xml:space="preserve">’s Amended Paid Sick Leave Updates in Effect – </w:t>
      </w:r>
      <w:r w:rsidRPr="00DD7BD1">
        <w:rPr>
          <w:rFonts w:ascii="Calibri" w:hAnsi="Calibri" w:cs="Calibri"/>
          <w:b/>
          <w:bCs/>
          <w:color w:val="C00000"/>
          <w:sz w:val="28"/>
          <w:szCs w:val="28"/>
          <w:shd w:val="clear" w:color="auto" w:fill="FFFFFF"/>
        </w:rPr>
        <w:t>Jan 1, 2026</w:t>
      </w:r>
    </w:p>
    <w:p w14:paraId="78C480B4" w14:textId="77777777" w:rsidR="00A03ECA" w:rsidRPr="00DD7BD1" w:rsidRDefault="00A03ECA" w:rsidP="001940D8">
      <w:pPr>
        <w:spacing w:after="0" w:line="240" w:lineRule="auto"/>
        <w:jc w:val="center"/>
        <w:rPr>
          <w:rFonts w:ascii="Calibri" w:hAnsi="Calibri" w:cs="Calibri"/>
          <w:b/>
          <w:bCs/>
          <w:shd w:val="clear" w:color="auto" w:fill="FFFFFF"/>
          <w:lang w:val="en"/>
        </w:rPr>
      </w:pPr>
    </w:p>
    <w:p w14:paraId="3C25DA8B" w14:textId="1BFE5E0E" w:rsidR="001940D8" w:rsidRPr="00DD7BD1" w:rsidRDefault="001940D8" w:rsidP="001940D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Amends “Crown Act” Regulations /Expanded Protections for Race &amp; Religion –</w:t>
      </w:r>
      <w:r w:rsidRPr="00DD7BD1">
        <w:rPr>
          <w:rFonts w:ascii="Calibri" w:hAnsi="Calibri" w:cs="Calibri"/>
          <w:b/>
          <w:bCs/>
          <w:color w:val="C00000"/>
          <w:sz w:val="28"/>
          <w:szCs w:val="28"/>
          <w:shd w:val="clear" w:color="auto" w:fill="FFFFFF"/>
          <w:lang w:val="en"/>
        </w:rPr>
        <w:t xml:space="preserve"> Eff Jan 24, 2026</w:t>
      </w:r>
    </w:p>
    <w:p w14:paraId="133DC7B0" w14:textId="77777777" w:rsidR="001940D8" w:rsidRPr="00DD7BD1" w:rsidRDefault="001940D8" w:rsidP="001940D8">
      <w:pPr>
        <w:spacing w:after="0" w:line="240" w:lineRule="auto"/>
        <w:jc w:val="both"/>
        <w:rPr>
          <w:rFonts w:ascii="Calibri" w:hAnsi="Calibri" w:cs="Calibri"/>
        </w:rPr>
      </w:pPr>
      <w:r w:rsidRPr="00DD7BD1">
        <w:rPr>
          <w:rFonts w:ascii="Calibri" w:hAnsi="Calibri" w:cs="Calibri"/>
        </w:rPr>
        <w:t xml:space="preserve">On Nov. 25, 2025, Pennsylvania </w:t>
      </w:r>
      <w:hyperlink r:id="rId1012" w:history="1">
        <w:r w:rsidRPr="00DD7BD1">
          <w:rPr>
            <w:rStyle w:val="Hyperlink"/>
            <w:rFonts w:ascii="Calibri" w:hAnsi="Calibri" w:cs="Calibri"/>
          </w:rPr>
          <w:t>amended</w:t>
        </w:r>
      </w:hyperlink>
      <w:r w:rsidRPr="00DD7BD1">
        <w:rPr>
          <w:rFonts w:ascii="Calibri" w:hAnsi="Calibri" w:cs="Calibri"/>
        </w:rPr>
        <w:t xml:space="preserve"> the Pennsylvania Human Relations Act (PHRA) to prohibit employers from discriminating against individuals </w:t>
      </w:r>
      <w:proofErr w:type="gramStart"/>
      <w:r w:rsidRPr="00DD7BD1">
        <w:rPr>
          <w:rFonts w:ascii="Calibri" w:hAnsi="Calibri" w:cs="Calibri"/>
        </w:rPr>
        <w:t>on the basis of</w:t>
      </w:r>
      <w:proofErr w:type="gramEnd"/>
      <w:r w:rsidRPr="00DD7BD1">
        <w:rPr>
          <w:rFonts w:ascii="Calibri" w:hAnsi="Calibri" w:cs="Calibri"/>
          <w:u w:val="single"/>
        </w:rPr>
        <w:t xml:space="preserve"> traits historically associated with race or religious creed</w:t>
      </w:r>
      <w:r w:rsidRPr="00DD7BD1">
        <w:rPr>
          <w:rFonts w:ascii="Calibri" w:hAnsi="Calibri" w:cs="Calibri"/>
        </w:rPr>
        <w:t xml:space="preserve">, such as </w:t>
      </w:r>
      <w:r w:rsidRPr="00DD7BD1">
        <w:rPr>
          <w:rFonts w:ascii="Calibri" w:hAnsi="Calibri" w:cs="Calibri"/>
          <w:u w:val="single"/>
        </w:rPr>
        <w:t>hairstyles and head coverings</w:t>
      </w:r>
      <w:r w:rsidRPr="00DD7BD1">
        <w:rPr>
          <w:rFonts w:ascii="Calibri" w:hAnsi="Calibri" w:cs="Calibri"/>
        </w:rPr>
        <w:t xml:space="preserve">. The amendment takes effect on </w:t>
      </w:r>
      <w:r w:rsidRPr="00DD7BD1">
        <w:rPr>
          <w:rFonts w:ascii="Calibri" w:hAnsi="Calibri" w:cs="Calibri"/>
          <w:b/>
          <w:bCs/>
        </w:rPr>
        <w:t>Jan. 24, 2026</w:t>
      </w:r>
      <w:r w:rsidRPr="00DD7BD1">
        <w:rPr>
          <w:rFonts w:ascii="Calibri" w:hAnsi="Calibri" w:cs="Calibri"/>
        </w:rPr>
        <w:t>.</w:t>
      </w:r>
    </w:p>
    <w:p w14:paraId="44225F76" w14:textId="77777777" w:rsidR="001940D8" w:rsidRPr="00DD7BD1" w:rsidRDefault="001940D8" w:rsidP="001940D8">
      <w:pPr>
        <w:pStyle w:val="Heading2"/>
        <w:spacing w:before="0" w:line="240" w:lineRule="auto"/>
        <w:rPr>
          <w:rFonts w:ascii="Calibri" w:hAnsi="Calibri" w:cs="Calibri"/>
          <w:sz w:val="16"/>
          <w:szCs w:val="16"/>
        </w:rPr>
      </w:pPr>
    </w:p>
    <w:p w14:paraId="75B5185E" w14:textId="77777777" w:rsidR="001940D8" w:rsidRPr="00DD7BD1" w:rsidRDefault="001940D8" w:rsidP="001940D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Amendment Overview</w:t>
      </w:r>
    </w:p>
    <w:p w14:paraId="3F74BA92" w14:textId="77777777" w:rsidR="001940D8" w:rsidRPr="00DD7BD1" w:rsidRDefault="001940D8" w:rsidP="001940D8">
      <w:pPr>
        <w:spacing w:after="0" w:line="240" w:lineRule="auto"/>
        <w:rPr>
          <w:rFonts w:ascii="Calibri" w:hAnsi="Calibri" w:cs="Calibri"/>
        </w:rPr>
      </w:pPr>
      <w:r w:rsidRPr="00DD7BD1">
        <w:rPr>
          <w:rFonts w:ascii="Calibri" w:hAnsi="Calibri" w:cs="Calibri"/>
        </w:rPr>
        <w:t xml:space="preserve">The PHRA prohibits employers with </w:t>
      </w:r>
      <w:r w:rsidRPr="00DD7BD1">
        <w:rPr>
          <w:rFonts w:ascii="Calibri" w:hAnsi="Calibri" w:cs="Calibri"/>
          <w:b/>
          <w:bCs/>
        </w:rPr>
        <w:t xml:space="preserve">4 or more employees </w:t>
      </w:r>
      <w:r w:rsidRPr="00DD7BD1">
        <w:rPr>
          <w:rFonts w:ascii="Calibri" w:hAnsi="Calibri" w:cs="Calibri"/>
        </w:rPr>
        <w:t xml:space="preserve">from refusing to hire, discharging or discriminating against an individual with respect to terms and conditions of employment </w:t>
      </w:r>
      <w:proofErr w:type="gramStart"/>
      <w:r w:rsidRPr="00DD7BD1">
        <w:rPr>
          <w:rFonts w:ascii="Calibri" w:hAnsi="Calibri" w:cs="Calibri"/>
        </w:rPr>
        <w:t>on the basis of</w:t>
      </w:r>
      <w:proofErr w:type="gramEnd"/>
      <w:r w:rsidRPr="00DD7BD1">
        <w:rPr>
          <w:rFonts w:ascii="Calibri" w:hAnsi="Calibri" w:cs="Calibri"/>
        </w:rPr>
        <w:t xml:space="preserve"> a protected trait (including race and religious creed). </w:t>
      </w:r>
    </w:p>
    <w:p w14:paraId="7C264695" w14:textId="77777777" w:rsidR="001940D8" w:rsidRPr="00DD7BD1" w:rsidRDefault="001940D8" w:rsidP="001940D8">
      <w:pPr>
        <w:spacing w:after="0" w:line="240" w:lineRule="auto"/>
        <w:rPr>
          <w:rFonts w:ascii="Calibri" w:hAnsi="Calibri" w:cs="Calibri"/>
          <w:sz w:val="16"/>
          <w:szCs w:val="16"/>
        </w:rPr>
      </w:pPr>
    </w:p>
    <w:p w14:paraId="636EB046" w14:textId="77777777" w:rsidR="001940D8" w:rsidRPr="00DD7BD1" w:rsidRDefault="001940D8" w:rsidP="001940D8">
      <w:pPr>
        <w:spacing w:after="0" w:line="240" w:lineRule="auto"/>
        <w:rPr>
          <w:rFonts w:ascii="Calibri" w:hAnsi="Calibri" w:cs="Calibri"/>
        </w:rPr>
      </w:pPr>
      <w:r w:rsidRPr="00DD7BD1">
        <w:rPr>
          <w:rFonts w:ascii="Calibri" w:hAnsi="Calibri" w:cs="Calibri"/>
        </w:rPr>
        <w:t>The amendment expands the definition of “</w:t>
      </w:r>
      <w:r w:rsidRPr="00DD7BD1">
        <w:rPr>
          <w:rFonts w:ascii="Calibri" w:hAnsi="Calibri" w:cs="Calibri"/>
          <w:b/>
          <w:bCs/>
        </w:rPr>
        <w:t>race</w:t>
      </w:r>
      <w:r w:rsidRPr="00DD7BD1">
        <w:rPr>
          <w:rFonts w:ascii="Calibri" w:hAnsi="Calibri" w:cs="Calibri"/>
        </w:rPr>
        <w:t>” to include traits historically associated with race, including but not limited to hair texture and protected hairstyles (e.g., locs, braids, twists, coils, Bantu knots, afros and extensions). The amendment also expands the definition of “</w:t>
      </w:r>
      <w:r w:rsidRPr="00DD7BD1">
        <w:rPr>
          <w:rFonts w:ascii="Calibri" w:hAnsi="Calibri" w:cs="Calibri"/>
          <w:b/>
          <w:bCs/>
        </w:rPr>
        <w:t>religious creed</w:t>
      </w:r>
      <w:r w:rsidRPr="00DD7BD1">
        <w:rPr>
          <w:rFonts w:ascii="Calibri" w:hAnsi="Calibri" w:cs="Calibri"/>
        </w:rPr>
        <w:t xml:space="preserve">” to include head coverings and hairstyles historically associated with religious creeds. </w:t>
      </w:r>
    </w:p>
    <w:p w14:paraId="286D47DF" w14:textId="77777777" w:rsidR="001940D8" w:rsidRPr="00DD7BD1" w:rsidRDefault="001940D8" w:rsidP="001940D8">
      <w:pPr>
        <w:spacing w:after="0" w:line="240" w:lineRule="auto"/>
        <w:rPr>
          <w:rFonts w:ascii="Calibri" w:hAnsi="Calibri" w:cs="Calibri"/>
        </w:rPr>
      </w:pPr>
    </w:p>
    <w:p w14:paraId="036AF2B5" w14:textId="77777777" w:rsidR="001940D8" w:rsidRPr="00DD7BD1" w:rsidRDefault="001940D8" w:rsidP="001940D8">
      <w:pPr>
        <w:spacing w:after="0" w:line="240" w:lineRule="auto"/>
        <w:rPr>
          <w:rFonts w:ascii="Calibri" w:hAnsi="Calibri" w:cs="Calibri"/>
        </w:rPr>
      </w:pPr>
      <w:r w:rsidRPr="00DD7BD1">
        <w:rPr>
          <w:rFonts w:ascii="Calibri" w:hAnsi="Calibri" w:cs="Calibri"/>
        </w:rPr>
        <w:t>However, employers may adopt or enforce otherwise valid workplace health and safety rules or policies justified as bona fide occupational qualifications or policies to prevent a hostile work environment if such policies are nondiscriminatory, necessary, narrowly tailored and applied equally.</w:t>
      </w:r>
    </w:p>
    <w:p w14:paraId="38EDC22D" w14:textId="77777777" w:rsidR="001940D8" w:rsidRPr="00DD7BD1" w:rsidRDefault="001940D8" w:rsidP="001940D8">
      <w:pPr>
        <w:spacing w:after="0" w:line="240" w:lineRule="auto"/>
        <w:jc w:val="both"/>
        <w:rPr>
          <w:rFonts w:ascii="Calibri" w:hAnsi="Calibri" w:cs="Calibri"/>
          <w:b/>
          <w:bCs/>
          <w:color w:val="C00000"/>
          <w:sz w:val="16"/>
          <w:szCs w:val="16"/>
          <w:shd w:val="clear" w:color="auto" w:fill="FFFFFF"/>
          <w:lang w:val="en"/>
        </w:rPr>
      </w:pPr>
    </w:p>
    <w:p w14:paraId="143F0993" w14:textId="77777777" w:rsidR="001940D8" w:rsidRPr="00DD7BD1" w:rsidRDefault="001940D8" w:rsidP="001940D8">
      <w:pPr>
        <w:spacing w:after="0" w:line="240" w:lineRule="auto"/>
        <w:rPr>
          <w:rFonts w:ascii="Calibri" w:hAnsi="Calibri" w:cs="Calibri"/>
        </w:rPr>
      </w:pPr>
      <w:r w:rsidRPr="00DD7BD1">
        <w:rPr>
          <w:rFonts w:ascii="Calibri" w:hAnsi="Calibri" w:cs="Calibri"/>
          <w:b/>
          <w:bCs/>
          <w:highlight w:val="lightGray"/>
          <w:shd w:val="clear" w:color="auto" w:fill="FFFFFF"/>
          <w:lang w:val="en"/>
        </w:rPr>
        <w:t>Employer Takeaway:</w:t>
      </w:r>
      <w:r w:rsidRPr="00DD7BD1">
        <w:rPr>
          <w:rFonts w:ascii="Calibri" w:hAnsi="Calibri" w:cs="Calibri"/>
          <w:b/>
          <w:bCs/>
          <w:color w:val="C00000"/>
          <w:shd w:val="clear" w:color="auto" w:fill="FFFFFF"/>
          <w:lang w:val="en"/>
        </w:rPr>
        <w:t xml:space="preserve"> </w:t>
      </w:r>
      <w:r w:rsidRPr="00DD7BD1">
        <w:rPr>
          <w:rFonts w:ascii="Calibri" w:hAnsi="Calibri" w:cs="Calibri"/>
        </w:rPr>
        <w:t xml:space="preserve">Prior to the amendment, the Pennsylvania Human Relations Commission had already included protections against discrimination against individuals </w:t>
      </w:r>
      <w:proofErr w:type="gramStart"/>
      <w:r w:rsidRPr="00DD7BD1">
        <w:rPr>
          <w:rFonts w:ascii="Calibri" w:hAnsi="Calibri" w:cs="Calibri"/>
        </w:rPr>
        <w:t>on the basis of</w:t>
      </w:r>
      <w:proofErr w:type="gramEnd"/>
      <w:r w:rsidRPr="00DD7BD1">
        <w:rPr>
          <w:rFonts w:ascii="Calibri" w:hAnsi="Calibri" w:cs="Calibri"/>
        </w:rPr>
        <w:t xml:space="preserve"> hair texture and protective hairstyles associated with race in agency guidance. Therefore, </w:t>
      </w:r>
      <w:r w:rsidRPr="00DD7BD1">
        <w:rPr>
          <w:rFonts w:ascii="Calibri" w:hAnsi="Calibri" w:cs="Calibri"/>
          <w:u w:val="single"/>
        </w:rPr>
        <w:t xml:space="preserve">covered Pennsylvania employers should already </w:t>
      </w:r>
      <w:proofErr w:type="gramStart"/>
      <w:r w:rsidRPr="00DD7BD1">
        <w:rPr>
          <w:rFonts w:ascii="Calibri" w:hAnsi="Calibri" w:cs="Calibri"/>
          <w:u w:val="single"/>
        </w:rPr>
        <w:t>be in compliance with</w:t>
      </w:r>
      <w:proofErr w:type="gramEnd"/>
      <w:r w:rsidRPr="00DD7BD1">
        <w:rPr>
          <w:rFonts w:ascii="Calibri" w:hAnsi="Calibri" w:cs="Calibri"/>
          <w:u w:val="single"/>
        </w:rPr>
        <w:t xml:space="preserve"> the amendment’s updated definition of race.</w:t>
      </w:r>
      <w:r w:rsidRPr="00DD7BD1">
        <w:rPr>
          <w:rFonts w:ascii="Calibri" w:hAnsi="Calibri" w:cs="Calibri"/>
        </w:rPr>
        <w:t xml:space="preserve"> However,</w:t>
      </w:r>
      <w:r w:rsidRPr="00DD7BD1">
        <w:rPr>
          <w:rFonts w:ascii="Calibri" w:hAnsi="Calibri" w:cs="Calibri"/>
          <w:u w:val="single"/>
        </w:rPr>
        <w:t xml:space="preserve"> employers may consider reviewing employment policies to ensure they do not discriminate</w:t>
      </w:r>
      <w:r w:rsidRPr="00DD7BD1">
        <w:rPr>
          <w:rFonts w:ascii="Calibri" w:hAnsi="Calibri" w:cs="Calibri"/>
        </w:rPr>
        <w:t xml:space="preserve"> </w:t>
      </w:r>
      <w:proofErr w:type="gramStart"/>
      <w:r w:rsidRPr="00DD7BD1">
        <w:rPr>
          <w:rFonts w:ascii="Calibri" w:hAnsi="Calibri" w:cs="Calibri"/>
        </w:rPr>
        <w:t>on the basis of</w:t>
      </w:r>
      <w:proofErr w:type="gramEnd"/>
      <w:r w:rsidRPr="00DD7BD1">
        <w:rPr>
          <w:rFonts w:ascii="Calibri" w:hAnsi="Calibri" w:cs="Calibri"/>
        </w:rPr>
        <w:t xml:space="preserve"> traits historically associated with either race or religious creed. ETC’s EEO policy addresses both hairstyles and head coverings.</w:t>
      </w:r>
    </w:p>
    <w:p w14:paraId="04B202E6" w14:textId="77777777" w:rsidR="001940D8" w:rsidRPr="00DD7BD1" w:rsidRDefault="001940D8" w:rsidP="001940D8">
      <w:pPr>
        <w:spacing w:after="0" w:line="240" w:lineRule="auto"/>
        <w:jc w:val="center"/>
        <w:rPr>
          <w:rFonts w:ascii="Calibri" w:hAnsi="Calibri" w:cs="Calibri"/>
          <w:b/>
          <w:bCs/>
          <w:u w:val="single"/>
          <w:shd w:val="clear" w:color="auto" w:fill="FFFFFF"/>
          <w:lang w:val="en"/>
        </w:rPr>
      </w:pPr>
    </w:p>
    <w:p w14:paraId="4AD5CF99" w14:textId="7433E565" w:rsidR="00B83B7F" w:rsidRPr="00DD7BD1" w:rsidRDefault="00B83B7F" w:rsidP="001940D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w:t>
      </w:r>
      <w:r w:rsidR="00572C14" w:rsidRPr="00DD7BD1">
        <w:rPr>
          <w:rFonts w:ascii="Calibri" w:hAnsi="Calibri" w:cs="Calibri"/>
          <w:b/>
          <w:bCs/>
          <w:sz w:val="28"/>
          <w:szCs w:val="28"/>
          <w:shd w:val="clear" w:color="auto" w:fill="FFFFFF"/>
          <w:lang w:val="en"/>
        </w:rPr>
        <w:t xml:space="preserve">(Criminal History Protections) </w:t>
      </w:r>
      <w:r w:rsidRPr="00DD7BD1">
        <w:rPr>
          <w:rFonts w:ascii="Calibri" w:hAnsi="Calibri" w:cs="Calibri"/>
          <w:b/>
          <w:bCs/>
          <w:sz w:val="28"/>
          <w:szCs w:val="28"/>
          <w:shd w:val="clear" w:color="auto" w:fill="FFFFFF"/>
          <w:lang w:val="en"/>
        </w:rPr>
        <w:t xml:space="preserve">Restrictions – Eff </w:t>
      </w:r>
      <w:r w:rsidRPr="00DD7BD1">
        <w:rPr>
          <w:rFonts w:ascii="Calibri" w:hAnsi="Calibri" w:cs="Calibri"/>
          <w:b/>
          <w:bCs/>
          <w:color w:val="C00000"/>
          <w:sz w:val="28"/>
          <w:szCs w:val="28"/>
          <w:shd w:val="clear" w:color="auto" w:fill="FFFFFF"/>
          <w:lang w:val="en"/>
        </w:rPr>
        <w:t>Jan 6, 2026</w:t>
      </w:r>
    </w:p>
    <w:p w14:paraId="5119ECC5" w14:textId="041B84A4" w:rsidR="00B83B7F" w:rsidRPr="00DD7BD1" w:rsidRDefault="00B83B7F" w:rsidP="0031050B">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City of Philadelphia recently amended its Fair Criminal Record Screening Standards Ordinance (FCRSS), commonly known as Philadelphia’s “Ban the Box” law, to make it </w:t>
      </w:r>
      <w:r w:rsidRPr="00DD7BD1">
        <w:rPr>
          <w:rFonts w:ascii="Calibri" w:hAnsi="Calibri" w:cs="Calibri"/>
          <w:u w:val="single"/>
          <w:shd w:val="clear" w:color="auto" w:fill="FFFFFF"/>
        </w:rPr>
        <w:t>more difficult for employers to consider criminal history information in employment actions.</w:t>
      </w:r>
      <w:r w:rsidRPr="00DD7BD1">
        <w:rPr>
          <w:rFonts w:ascii="Calibri" w:hAnsi="Calibri" w:cs="Calibri"/>
          <w:shd w:val="clear" w:color="auto" w:fill="FFFFFF"/>
        </w:rPr>
        <w:t xml:space="preserve"> The amendments, which were signed into law on Oct. 8, 2025, will go into effect on Jan. 6, 2026. </w:t>
      </w:r>
    </w:p>
    <w:p w14:paraId="6A9D2D89" w14:textId="77777777"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w:t>
      </w:r>
      <w:hyperlink r:id="rId1013" w:tgtFrame="_blank" w:history="1">
        <w:r w:rsidRPr="00DD7BD1">
          <w:rPr>
            <w:rStyle w:val="Hyperlink"/>
            <w:rFonts w:ascii="Calibri" w:hAnsi="Calibri" w:cs="Calibri"/>
            <w:shd w:val="clear" w:color="auto" w:fill="FFFFFF"/>
          </w:rPr>
          <w:t> amendments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make three critical changes to the FCRSS: </w:t>
      </w:r>
    </w:p>
    <w:p w14:paraId="2AE8D728" w14:textId="77777777" w:rsidR="00B83B7F" w:rsidRPr="00DD7BD1" w:rsidRDefault="00B83B7F" w:rsidP="00B83B7F">
      <w:pPr>
        <w:pStyle w:val="ListParagraph"/>
        <w:numPr>
          <w:ilvl w:val="0"/>
          <w:numId w:val="267"/>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they further limit the convictions that employers may consider in hiring and other employment decisions, </w:t>
      </w:r>
    </w:p>
    <w:p w14:paraId="4192F312" w14:textId="77777777"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lastRenderedPageBreak/>
        <w:t xml:space="preserve">they expand the notices that candidates must receive concerning criminal background checks, and </w:t>
      </w:r>
    </w:p>
    <w:p w14:paraId="05AA1DE8" w14:textId="0F58F812"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they add a strong antiretaliation provision.</w:t>
      </w:r>
    </w:p>
    <w:p w14:paraId="3214DAC8" w14:textId="03450D6D"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30F1FBE8" w14:textId="5ADFF471"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646163FA" w14:textId="7CF1D882"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0B86E5C8" w14:textId="13B85404"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79EB16C7" w14:textId="146CDBA8" w:rsidR="00B83B7F" w:rsidRPr="00DD7BD1" w:rsidRDefault="00B83B7F" w:rsidP="0031050B">
      <w:pPr>
        <w:jc w:val="both"/>
        <w:rPr>
          <w:rFonts w:ascii="Calibri" w:hAnsi="Calibri" w:cs="Calibri"/>
          <w:shd w:val="clear" w:color="auto" w:fill="FFFFFF"/>
        </w:rPr>
      </w:pPr>
      <w:r w:rsidRPr="00DD7BD1">
        <w:rPr>
          <w:rFonts w:ascii="Calibri" w:hAnsi="Calibri" w:cs="Calibri"/>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591A0054" w14:textId="2B01AA32"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Philadelphia Enacts POWER Act Expanding Worker Protections </w:t>
      </w:r>
      <w:r w:rsidRPr="00DD7BD1">
        <w:rPr>
          <w:rFonts w:ascii="Calibri" w:hAnsi="Calibri" w:cs="Calibri"/>
          <w:b/>
          <w:bCs/>
          <w:color w:val="C00000"/>
          <w:sz w:val="28"/>
          <w:szCs w:val="28"/>
          <w:shd w:val="clear" w:color="auto" w:fill="FFFFFF"/>
          <w:lang w:val="en"/>
        </w:rPr>
        <w:t>– Eff May 27, 2025</w:t>
      </w:r>
    </w:p>
    <w:p w14:paraId="558B85A2"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27, 2025, Philadelphia enacted the </w:t>
      </w:r>
      <w:hyperlink r:id="rId1014" w:history="1">
        <w:r w:rsidRPr="00DD7BD1">
          <w:rPr>
            <w:rStyle w:val="Hyperlink"/>
            <w:rFonts w:ascii="Calibri" w:hAnsi="Calibri" w:cs="Calibri"/>
            <w:shd w:val="clear" w:color="auto" w:fill="FFFFFF"/>
          </w:rPr>
          <w:t>Protect Our Workers, Enforce Rights (POWER) Act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DD7BD1" w:rsidRDefault="00406B06" w:rsidP="00406B06">
      <w:pPr>
        <w:spacing w:after="0" w:line="240" w:lineRule="auto"/>
        <w:rPr>
          <w:rFonts w:ascii="Calibri" w:hAnsi="Calibri" w:cs="Calibri"/>
          <w:b/>
          <w:color w:val="C00000"/>
          <w:shd w:val="clear" w:color="auto" w:fill="FFFFFF"/>
        </w:rPr>
      </w:pPr>
      <w:r w:rsidRPr="00DD7BD1">
        <w:rPr>
          <w:rFonts w:ascii="Calibri" w:hAnsi="Calibri" w:cs="Calibri"/>
          <w:b/>
          <w:color w:val="C00000"/>
          <w:shd w:val="clear" w:color="auto" w:fill="FFFFFF"/>
        </w:rPr>
        <w:t>Changes to Paid Sick Requirements</w:t>
      </w:r>
    </w:p>
    <w:p w14:paraId="4924C5BE"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POWER Act revised the </w:t>
      </w:r>
      <w:hyperlink r:id="rId1015" w:history="1">
        <w:r w:rsidRPr="00DD7BD1">
          <w:rPr>
            <w:rStyle w:val="Hyperlink"/>
            <w:rFonts w:ascii="Calibri" w:hAnsi="Calibri" w:cs="Calibri"/>
            <w:shd w:val="clear" w:color="auto" w:fill="FFFFFF"/>
          </w:rPr>
          <w:t>Promoting Healthy Families and Workplaces Act</w:t>
        </w:r>
      </w:hyperlink>
      <w:r w:rsidRPr="00DD7BD1">
        <w:rPr>
          <w:rFonts w:ascii="Calibri" w:hAnsi="Calibri" w:cs="Calibri"/>
          <w:shd w:val="clear" w:color="auto" w:fill="FFFFFF"/>
        </w:rPr>
        <w:t>, the city’s paid sick leave law. Key revisions include those discussed below.</w:t>
      </w:r>
    </w:p>
    <w:p w14:paraId="22C2E6DD" w14:textId="77777777" w:rsidR="00406B06" w:rsidRPr="00DD7BD1" w:rsidRDefault="00406B06" w:rsidP="00406B06">
      <w:pPr>
        <w:spacing w:after="0" w:line="240" w:lineRule="auto"/>
        <w:rPr>
          <w:rFonts w:ascii="Calibri" w:hAnsi="Calibri" w:cs="Calibri"/>
          <w:b/>
          <w:bCs/>
          <w:i/>
          <w:iCs/>
          <w:shd w:val="clear" w:color="auto" w:fill="FFFFFF"/>
        </w:rPr>
      </w:pPr>
    </w:p>
    <w:p w14:paraId="2A1F61C9" w14:textId="77777777" w:rsidR="00406B06" w:rsidRPr="00DD7BD1" w:rsidRDefault="00406B06" w:rsidP="00406B06">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Notice Requirements</w:t>
      </w:r>
    </w:p>
    <w:p w14:paraId="10F72A06"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Pr="00DD7BD1" w:rsidRDefault="00406B06" w:rsidP="00406B06">
      <w:pPr>
        <w:spacing w:after="0" w:line="240" w:lineRule="auto"/>
        <w:rPr>
          <w:rFonts w:ascii="Calibri" w:hAnsi="Calibri" w:cs="Calibri"/>
          <w:shd w:val="clear" w:color="auto" w:fill="FFFFFF"/>
        </w:rPr>
      </w:pPr>
    </w:p>
    <w:p w14:paraId="165FE7E3"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new workplace poster from the </w:t>
      </w:r>
      <w:hyperlink r:id="rId1016" w:history="1">
        <w:r w:rsidRPr="00DD7BD1">
          <w:rPr>
            <w:rStyle w:val="Hyperlink"/>
            <w:rFonts w:ascii="Calibri" w:hAnsi="Calibri" w:cs="Calibri"/>
            <w:shd w:val="clear" w:color="auto" w:fill="FFFFFF"/>
          </w:rPr>
          <w:t>Philadelphia DOL</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has yet to be released. </w:t>
      </w:r>
    </w:p>
    <w:p w14:paraId="784FA8EF" w14:textId="77777777" w:rsidR="00406B06" w:rsidRPr="00DD7BD1" w:rsidRDefault="00406B06" w:rsidP="00406B06">
      <w:pPr>
        <w:spacing w:after="0" w:line="240" w:lineRule="auto"/>
        <w:rPr>
          <w:rFonts w:ascii="Calibri" w:hAnsi="Calibri" w:cs="Calibri"/>
          <w:shd w:val="clear" w:color="auto" w:fill="FFFFFF"/>
        </w:rPr>
      </w:pPr>
    </w:p>
    <w:p w14:paraId="2310BEE1"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Enforcement of Worker Protection Ordinances</w:t>
      </w:r>
    </w:p>
    <w:p w14:paraId="5477808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also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DD7BD1" w:rsidRDefault="00406B06" w:rsidP="00406B06">
      <w:pPr>
        <w:pStyle w:val="SubHeader"/>
        <w:spacing w:line="240" w:lineRule="auto"/>
        <w:rPr>
          <w:rFonts w:cs="Calibri"/>
          <w:color w:val="auto"/>
          <w:sz w:val="22"/>
          <w:szCs w:val="22"/>
        </w:rPr>
      </w:pPr>
    </w:p>
    <w:p w14:paraId="521A530A" w14:textId="77777777" w:rsidR="00406B06" w:rsidRPr="00DD7BD1" w:rsidRDefault="00406B06" w:rsidP="00406B06">
      <w:pPr>
        <w:pStyle w:val="SubHeader"/>
        <w:spacing w:line="240" w:lineRule="auto"/>
        <w:rPr>
          <w:rFonts w:cs="Calibri"/>
          <w:color w:val="auto"/>
        </w:rPr>
      </w:pPr>
      <w:r w:rsidRPr="00DD7BD1">
        <w:rPr>
          <w:rFonts w:cs="Calibri"/>
          <w:color w:val="auto"/>
        </w:rPr>
        <w:t>Amendments to Wage Theft Provisions</w:t>
      </w:r>
    </w:p>
    <w:p w14:paraId="56F07CE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The POWER Act changed the definition of “employee” under </w:t>
      </w:r>
      <w:r w:rsidRPr="00DD7BD1">
        <w:rPr>
          <w:rFonts w:cs="Calibri"/>
          <w:szCs w:val="22"/>
        </w:rPr>
        <w:t xml:space="preserve">the </w:t>
      </w:r>
      <w:hyperlink r:id="rId1017" w:history="1">
        <w:r w:rsidRPr="00DD7BD1">
          <w:rPr>
            <w:rStyle w:val="Hyperlink"/>
            <w:rFonts w:cs="Calibri"/>
            <w:szCs w:val="22"/>
          </w:rPr>
          <w:t>Wage Theft Complaints law</w:t>
        </w:r>
      </w:hyperlink>
      <w:r w:rsidRPr="00DD7BD1">
        <w:rPr>
          <w:rFonts w:cs="Calibri"/>
          <w:szCs w:val="22"/>
        </w:rPr>
        <w:t xml:space="preserve">. </w:t>
      </w:r>
      <w:r w:rsidRPr="00DD7BD1">
        <w:rPr>
          <w:rFonts w:cs="Calibri"/>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Pr="00DD7BD1" w:rsidRDefault="00406B06" w:rsidP="00406B06">
      <w:pPr>
        <w:pStyle w:val="BodyText"/>
        <w:spacing w:after="0" w:line="240" w:lineRule="auto"/>
        <w:rPr>
          <w:rFonts w:cs="Calibri"/>
          <w:b/>
          <w:bCs/>
          <w:i/>
          <w:iCs/>
          <w:color w:val="auto"/>
          <w:szCs w:val="22"/>
        </w:rPr>
      </w:pPr>
    </w:p>
    <w:p w14:paraId="62F379D6" w14:textId="23526419"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Employer Notice Requirements</w:t>
      </w:r>
    </w:p>
    <w:p w14:paraId="3195E621"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Pr="00DD7BD1" w:rsidRDefault="00406B06" w:rsidP="00406B06">
      <w:pPr>
        <w:pStyle w:val="BodyText"/>
        <w:spacing w:after="0" w:line="240" w:lineRule="auto"/>
        <w:rPr>
          <w:rFonts w:cs="Calibri"/>
          <w:b/>
          <w:bCs/>
          <w:i/>
          <w:iCs/>
          <w:color w:val="auto"/>
          <w:szCs w:val="22"/>
        </w:rPr>
      </w:pPr>
    </w:p>
    <w:p w14:paraId="5EAA3C3B" w14:textId="0D41457A"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Recordkeeping Requirements When Resolving Disputes</w:t>
      </w:r>
    </w:p>
    <w:p w14:paraId="43D57EC5"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DD7BD1" w:rsidRDefault="00406B06" w:rsidP="00406B06">
      <w:pPr>
        <w:pStyle w:val="SubHeader"/>
        <w:spacing w:line="240" w:lineRule="auto"/>
        <w:rPr>
          <w:rFonts w:cs="Calibri"/>
          <w:sz w:val="22"/>
          <w:szCs w:val="22"/>
        </w:rPr>
      </w:pPr>
      <w:r w:rsidRPr="00DD7BD1">
        <w:rPr>
          <w:rFonts w:cs="Calibri"/>
          <w:sz w:val="22"/>
          <w:szCs w:val="22"/>
        </w:rPr>
        <w:t>Retaliation Protections</w:t>
      </w:r>
    </w:p>
    <w:p w14:paraId="3DDFA21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Seeking information about their rights; </w:t>
      </w:r>
    </w:p>
    <w:p w14:paraId="73D7FAD3"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Communicating with another person about their rights or an alleged violation;</w:t>
      </w:r>
    </w:p>
    <w:p w14:paraId="3FBE7760"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Opposing or refusing to participate in any practice that violates any worker protection ordinance;</w:t>
      </w:r>
    </w:p>
    <w:p w14:paraId="08F66822"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Making an oral or written complaint to an employer; </w:t>
      </w:r>
    </w:p>
    <w:p w14:paraId="7005940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Filing a complaint with the OWP or a court of competent jurisdiction; or </w:t>
      </w:r>
    </w:p>
    <w:p w14:paraId="210D9D4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Providing evidence or participating in a proceeding related to a formal or informal complaint. </w:t>
      </w:r>
    </w:p>
    <w:p w14:paraId="22586013" w14:textId="77777777" w:rsidR="00406B06" w:rsidRPr="00DD7BD1" w:rsidRDefault="00406B06" w:rsidP="00406B06">
      <w:pPr>
        <w:pStyle w:val="BodyText"/>
        <w:spacing w:after="0" w:line="240" w:lineRule="auto"/>
        <w:rPr>
          <w:rFonts w:cs="Calibri"/>
          <w:color w:val="auto"/>
          <w:sz w:val="16"/>
          <w:szCs w:val="16"/>
        </w:rPr>
      </w:pPr>
    </w:p>
    <w:p w14:paraId="366C5B68" w14:textId="303DA250"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1C0A6B95"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lastRenderedPageBreak/>
        <w:t xml:space="preserve">Pittsburg Increases Paid Sick Leave – </w:t>
      </w:r>
      <w:r w:rsidRPr="00DD7BD1">
        <w:rPr>
          <w:rFonts w:ascii="Calibri" w:hAnsi="Calibri" w:cs="Calibri"/>
          <w:b/>
          <w:bCs/>
          <w:color w:val="C00000"/>
          <w:sz w:val="28"/>
          <w:szCs w:val="28"/>
          <w:shd w:val="clear" w:color="auto" w:fill="FFFFFF"/>
          <w:lang w:val="en"/>
        </w:rPr>
        <w:t>Eff Jan 1, 2026</w:t>
      </w:r>
    </w:p>
    <w:p w14:paraId="56CDEDB9" w14:textId="77777777" w:rsidR="00406B06" w:rsidRPr="00DD7BD1" w:rsidRDefault="00406B06" w:rsidP="00406B06">
      <w:pPr>
        <w:pStyle w:val="BodyText"/>
        <w:spacing w:after="0" w:line="240" w:lineRule="auto"/>
        <w:rPr>
          <w:rFonts w:cs="Calibri"/>
          <w:szCs w:val="22"/>
        </w:rPr>
      </w:pPr>
      <w:r w:rsidRPr="00DD7BD1">
        <w:rPr>
          <w:rFonts w:cs="Calibri"/>
          <w:b/>
          <w:bCs/>
          <w:color w:val="auto"/>
          <w:szCs w:val="22"/>
        </w:rPr>
        <w:t>Pittsburgh</w:t>
      </w:r>
      <w:r w:rsidRPr="00DD7BD1">
        <w:rPr>
          <w:rFonts w:cs="Calibri"/>
          <w:color w:val="auto"/>
          <w:szCs w:val="22"/>
        </w:rPr>
        <w:t xml:space="preserve"> has </w:t>
      </w:r>
      <w:hyperlink r:id="rId1018"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the city’s Paid Sick Days Act to provide faster accrual of sick time and increase paid sick leave hours. The amendments take effect </w:t>
      </w:r>
      <w:r w:rsidRPr="00DD7BD1">
        <w:rPr>
          <w:rFonts w:cs="Calibri"/>
          <w:b/>
          <w:bCs/>
          <w:color w:val="auto"/>
          <w:szCs w:val="22"/>
        </w:rPr>
        <w:t>Jan. 1, 2026</w:t>
      </w:r>
      <w:r w:rsidRPr="00DD7BD1">
        <w:rPr>
          <w:rFonts w:cs="Calibri"/>
          <w:color w:val="auto"/>
          <w:szCs w:val="22"/>
        </w:rPr>
        <w:t>.</w:t>
      </w:r>
    </w:p>
    <w:p w14:paraId="3525ADB2" w14:textId="77777777" w:rsidR="00406B06" w:rsidRPr="00DD7BD1" w:rsidRDefault="00406B06" w:rsidP="00406B06">
      <w:pPr>
        <w:pStyle w:val="SubHeader"/>
        <w:spacing w:line="240" w:lineRule="auto"/>
        <w:rPr>
          <w:rFonts w:cs="Calibri"/>
          <w:sz w:val="22"/>
          <w:szCs w:val="22"/>
        </w:rPr>
      </w:pPr>
    </w:p>
    <w:p w14:paraId="01855731" w14:textId="77777777" w:rsidR="00406B06" w:rsidRPr="00DD7BD1" w:rsidRDefault="00406B06" w:rsidP="00406B06">
      <w:pPr>
        <w:pStyle w:val="SubHeader"/>
        <w:spacing w:line="240" w:lineRule="auto"/>
        <w:rPr>
          <w:rFonts w:cs="Calibri"/>
          <w:color w:val="auto"/>
          <w:sz w:val="22"/>
          <w:szCs w:val="22"/>
        </w:rPr>
      </w:pPr>
      <w:bookmarkStart w:id="139" w:name="_Hlk201582690"/>
      <w:r w:rsidRPr="00DD7BD1">
        <w:rPr>
          <w:rFonts w:cs="Calibri"/>
          <w:color w:val="auto"/>
          <w:sz w:val="22"/>
          <w:szCs w:val="22"/>
        </w:rPr>
        <w:t>New Accrual Rate and Maximum</w:t>
      </w:r>
    </w:p>
    <w:p w14:paraId="736E97E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under the amendments, employers will have to allow a maximum accrual of at least the following amounts:</w:t>
      </w:r>
    </w:p>
    <w:p w14:paraId="65A1262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per year (or at any time); and</w:t>
      </w:r>
    </w:p>
    <w:p w14:paraId="7241783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 per year (or at any time).</w:t>
      </w:r>
    </w:p>
    <w:p w14:paraId="54ADABD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br/>
      </w:r>
      <w:r w:rsidRPr="00DD7BD1">
        <w:rPr>
          <w:rStyle w:val="BodyTextChar"/>
          <w:rFonts w:cs="Calibri"/>
          <w:color w:val="auto"/>
          <w:szCs w:val="22"/>
        </w:rPr>
        <w:t xml:space="preserve">Previously, employers with at least 15 employees </w:t>
      </w:r>
      <w:proofErr w:type="gramStart"/>
      <w:r w:rsidRPr="00DD7BD1">
        <w:rPr>
          <w:rStyle w:val="BodyTextChar"/>
          <w:rFonts w:cs="Calibri"/>
          <w:color w:val="auto"/>
          <w:szCs w:val="22"/>
        </w:rPr>
        <w:t>could cap</w:t>
      </w:r>
      <w:proofErr w:type="gramEnd"/>
      <w:r w:rsidRPr="00DD7BD1">
        <w:rPr>
          <w:rStyle w:val="BodyTextChar"/>
          <w:rFonts w:cs="Calibri"/>
          <w:color w:val="auto"/>
          <w:szCs w:val="22"/>
        </w:rPr>
        <w:t xml:space="preserve"> accrual at 40 hours, while smaller employers could set the maximum at 24 hours</w:t>
      </w:r>
      <w:r w:rsidRPr="00DD7BD1">
        <w:rPr>
          <w:rFonts w:cs="Calibri"/>
          <w:color w:val="auto"/>
          <w:szCs w:val="22"/>
        </w:rPr>
        <w:t xml:space="preserve">. </w:t>
      </w:r>
    </w:p>
    <w:p w14:paraId="25A683F8"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Carryover and Front-loading</w:t>
      </w:r>
    </w:p>
    <w:p w14:paraId="0021764C"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and</w:t>
      </w:r>
    </w:p>
    <w:p w14:paraId="5E6A60FE"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w:t>
      </w:r>
    </w:p>
    <w:bookmarkEnd w:id="139"/>
    <w:p w14:paraId="3217D581" w14:textId="77777777" w:rsidR="00406B06" w:rsidRPr="00DD7BD1" w:rsidRDefault="00406B06" w:rsidP="00406B06">
      <w:pPr>
        <w:pStyle w:val="SubHeader"/>
        <w:rPr>
          <w:rFonts w:cs="Calibri"/>
          <w:color w:val="auto"/>
          <w:sz w:val="22"/>
          <w:szCs w:val="22"/>
        </w:rPr>
      </w:pPr>
    </w:p>
    <w:p w14:paraId="5766788C" w14:textId="77777777" w:rsidR="00406B06" w:rsidRPr="00DD7BD1" w:rsidRDefault="00406B06" w:rsidP="00406B06">
      <w:pPr>
        <w:pStyle w:val="SubHeader"/>
        <w:rPr>
          <w:rFonts w:cs="Calibri"/>
          <w:color w:val="auto"/>
          <w:sz w:val="22"/>
          <w:szCs w:val="22"/>
        </w:rPr>
      </w:pPr>
      <w:r w:rsidRPr="00DD7BD1">
        <w:rPr>
          <w:rFonts w:cs="Calibri"/>
          <w:color w:val="auto"/>
          <w:sz w:val="22"/>
          <w:szCs w:val="22"/>
        </w:rPr>
        <w:t>ETC will release an updated State Handbook Addendum in advance of the effective date.</w:t>
      </w:r>
    </w:p>
    <w:p w14:paraId="3D05A151"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6F219FA8" w14:textId="3444588B" w:rsidR="003B29FD" w:rsidRPr="00DD7BD1" w:rsidRDefault="003B29FD" w:rsidP="00406B06">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color w:val="000000" w:themeColor="text1"/>
          <w:sz w:val="28"/>
          <w:szCs w:val="28"/>
          <w:shd w:val="clear" w:color="auto" w:fill="FFFFFF"/>
        </w:rPr>
        <w:t>PA Now Permits Direct Deposit Payment of Workers’ Compensation Benefits</w:t>
      </w:r>
    </w:p>
    <w:p w14:paraId="77F6E55E"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Oct. 29, 2024, Pennsylvania amended its workers’ compensation laws to provide </w:t>
      </w:r>
      <w:hyperlink r:id="rId1019" w:history="1">
        <w:r w:rsidRPr="00DD7BD1">
          <w:rPr>
            <w:rStyle w:val="Hyperlink"/>
            <w:rFonts w:ascii="Calibri" w:hAnsi="Calibri" w:cs="Calibri"/>
            <w:color w:val="auto"/>
            <w:shd w:val="clear" w:color="auto" w:fill="FFFFFF"/>
          </w:rPr>
          <w:t>standards</w:t>
        </w:r>
      </w:hyperlink>
      <w:r w:rsidRPr="00DD7BD1">
        <w:rPr>
          <w:rFonts w:ascii="Calibri" w:hAnsi="Calibri" w:cs="Calibri"/>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goes into effect on Dec. 29, 2024. However, on Dec. 29, 2025, all self-insured employers must permit payment by direct deposit.  Interested employers are advised to check out the state’s website to learn more.</w:t>
      </w:r>
    </w:p>
    <w:p w14:paraId="469BFA5D" w14:textId="77777777" w:rsidR="003B29FD" w:rsidRPr="00DD7BD1" w:rsidRDefault="003B29FD" w:rsidP="00837139">
      <w:pPr>
        <w:spacing w:after="0" w:line="240" w:lineRule="auto"/>
        <w:jc w:val="center"/>
        <w:rPr>
          <w:rFonts w:ascii="Calibri" w:hAnsi="Calibri" w:cs="Calibri"/>
          <w:b/>
          <w:bCs/>
          <w:shd w:val="clear" w:color="auto" w:fill="FFFFFF"/>
          <w:lang w:val="en"/>
        </w:rPr>
      </w:pPr>
    </w:p>
    <w:p w14:paraId="3B8A6BB1" w14:textId="0E82AFB9" w:rsidR="00837139" w:rsidRPr="00DD7BD1" w:rsidRDefault="00837139" w:rsidP="0083713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Amends Data Breach Reporting Law –</w:t>
      </w:r>
      <w:r w:rsidRPr="00DD7BD1">
        <w:rPr>
          <w:rFonts w:ascii="Calibri" w:hAnsi="Calibri" w:cs="Calibri"/>
          <w:b/>
          <w:bCs/>
          <w:color w:val="C00000"/>
          <w:sz w:val="28"/>
          <w:szCs w:val="28"/>
          <w:shd w:val="clear" w:color="auto" w:fill="FFFFFF"/>
          <w:lang w:val="en"/>
        </w:rPr>
        <w:t xml:space="preserve"> Sept 26, 2024</w:t>
      </w:r>
    </w:p>
    <w:p w14:paraId="4852348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 June 28, 2024, Pennsylvania enacted </w:t>
      </w:r>
      <w:hyperlink r:id="rId1020" w:history="1">
        <w:r w:rsidRPr="00DD7BD1">
          <w:rPr>
            <w:rStyle w:val="Hyperlink"/>
            <w:rFonts w:ascii="Calibri" w:hAnsi="Calibri" w:cs="Calibri"/>
          </w:rPr>
          <w:t>Senate Bill 824</w:t>
        </w:r>
      </w:hyperlink>
      <w:r w:rsidRPr="00DD7BD1">
        <w:rPr>
          <w:rFonts w:ascii="Calibri" w:hAnsi="Calibri" w:cs="Calibri"/>
        </w:rPr>
        <w:t xml:space="preserve"> (SB 824), which makes significant changes to the state’s </w:t>
      </w:r>
      <w:hyperlink r:id="rId1021" w:history="1">
        <w:r w:rsidRPr="00DD7BD1">
          <w:rPr>
            <w:rStyle w:val="Hyperlink"/>
            <w:rFonts w:ascii="Calibri" w:hAnsi="Calibri" w:cs="Calibri"/>
          </w:rPr>
          <w:t>Breach of Personal Information Act</w:t>
        </w:r>
      </w:hyperlink>
      <w:r w:rsidRPr="00DD7BD1">
        <w:rPr>
          <w:rFonts w:ascii="Calibri" w:hAnsi="Calibri" w:cs="Calibri"/>
        </w:rPr>
        <w:t xml:space="preserve"> (the Act). SB 824 establishes </w:t>
      </w:r>
      <w:r w:rsidRPr="00DD7BD1">
        <w:rPr>
          <w:rFonts w:ascii="Calibri" w:hAnsi="Calibri" w:cs="Calibri"/>
          <w:u w:val="single"/>
        </w:rPr>
        <w:t>new requirements to notify the Office of the Attorney General</w:t>
      </w:r>
      <w:r w:rsidRPr="00DD7BD1">
        <w:rPr>
          <w:rFonts w:ascii="Calibri" w:hAnsi="Calibri" w:cs="Calibri"/>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DD7BD1" w:rsidRDefault="00837139" w:rsidP="00837139">
      <w:pPr>
        <w:spacing w:after="0" w:line="240" w:lineRule="auto"/>
        <w:rPr>
          <w:rFonts w:ascii="Calibri" w:hAnsi="Calibri" w:cs="Calibri"/>
          <w:sz w:val="16"/>
          <w:szCs w:val="16"/>
        </w:rPr>
      </w:pPr>
    </w:p>
    <w:p w14:paraId="7BD2F7A9" w14:textId="77777777" w:rsidR="00837139" w:rsidRPr="00DD7BD1" w:rsidRDefault="00837139" w:rsidP="00837139">
      <w:pPr>
        <w:spacing w:after="0" w:line="240" w:lineRule="auto"/>
        <w:rPr>
          <w:rFonts w:ascii="Calibri" w:eastAsiaTheme="majorEastAsia" w:hAnsi="Calibri" w:cs="Calibri"/>
          <w:b/>
          <w:bCs/>
          <w:highlight w:val="lightGray"/>
        </w:rPr>
      </w:pPr>
      <w:r w:rsidRPr="00DD7BD1">
        <w:rPr>
          <w:rFonts w:ascii="Calibri" w:eastAsiaTheme="majorEastAsia" w:hAnsi="Calibri" w:cs="Calibri"/>
          <w:b/>
          <w:bCs/>
          <w:highlight w:val="lightGray"/>
        </w:rPr>
        <w:t xml:space="preserve">Employer Takeaway: </w:t>
      </w:r>
      <w:r w:rsidRPr="00DD7BD1">
        <w:rPr>
          <w:rFonts w:ascii="Calibri" w:eastAsiaTheme="majorEastAsia" w:hAnsi="Calibri" w:cs="Calibri"/>
        </w:rPr>
        <w:t xml:space="preserve">Organizations that are covered by the Act </w:t>
      </w:r>
      <w:r w:rsidRPr="00DD7BD1">
        <w:rPr>
          <w:rFonts w:ascii="Calibri" w:hAnsi="Calibri" w:cs="Calibri"/>
        </w:rPr>
        <w:t xml:space="preserve">should evaluate and update their data breach response plans and procedures to ensure that the new requirements are met. Additionally, organizations are advised to assess their cyber insurance policies and the corresponding limits to determine if they are adequate </w:t>
      </w:r>
      <w:proofErr w:type="gramStart"/>
      <w:r w:rsidRPr="00DD7BD1">
        <w:rPr>
          <w:rFonts w:ascii="Calibri" w:hAnsi="Calibri" w:cs="Calibri"/>
        </w:rPr>
        <w:t>in light of</w:t>
      </w:r>
      <w:proofErr w:type="gramEnd"/>
      <w:r w:rsidRPr="00DD7BD1">
        <w:rPr>
          <w:rFonts w:ascii="Calibri" w:hAnsi="Calibri" w:cs="Calibri"/>
        </w:rPr>
        <w:t xml:space="preserve"> the new requirements. </w:t>
      </w:r>
    </w:p>
    <w:p w14:paraId="67741A82"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6C29E0D7" w14:textId="77777777" w:rsidR="00837139" w:rsidRPr="00DD7BD1" w:rsidRDefault="00837139" w:rsidP="00837139">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Changes to Regulatory Notification</w:t>
      </w:r>
    </w:p>
    <w:p w14:paraId="1DA37C5D"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organization’s name and location;</w:t>
      </w:r>
    </w:p>
    <w:p w14:paraId="6417EC6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date of the breach;</w:t>
      </w:r>
    </w:p>
    <w:p w14:paraId="04D5E54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 summary of the breach incident;</w:t>
      </w:r>
    </w:p>
    <w:p w14:paraId="1CCA43F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An estimated total number of individuals affected by the breach; and</w:t>
      </w:r>
    </w:p>
    <w:p w14:paraId="169E2CC8" w14:textId="77777777" w:rsidR="00837139" w:rsidRPr="00DD7BD1" w:rsidRDefault="00837139" w:rsidP="00A83553">
      <w:pPr>
        <w:pStyle w:val="Bullet"/>
        <w:spacing w:line="240" w:lineRule="auto"/>
        <w:ind w:left="576" w:hanging="288"/>
        <w:rPr>
          <w:rFonts w:cs="Calibri"/>
          <w:color w:val="auto"/>
          <w:szCs w:val="22"/>
        </w:rPr>
      </w:pPr>
      <w:r w:rsidRPr="00DD7BD1">
        <w:rPr>
          <w:rFonts w:cs="Calibri"/>
          <w:color w:val="auto"/>
          <w:szCs w:val="22"/>
        </w:rPr>
        <w:t xml:space="preserve">An estimated total number of individuals in Pennsylvania </w:t>
      </w:r>
      <w:proofErr w:type="gramStart"/>
      <w:r w:rsidRPr="00DD7BD1">
        <w:rPr>
          <w:rFonts w:cs="Calibri"/>
          <w:color w:val="auto"/>
          <w:szCs w:val="22"/>
        </w:rPr>
        <w:t>affected</w:t>
      </w:r>
      <w:proofErr w:type="gramEnd"/>
      <w:r w:rsidRPr="00DD7BD1">
        <w:rPr>
          <w:rFonts w:cs="Calibri"/>
          <w:color w:val="auto"/>
          <w:szCs w:val="22"/>
        </w:rPr>
        <w:t xml:space="preserve"> by the breach.</w:t>
      </w:r>
    </w:p>
    <w:p w14:paraId="4D28A429" w14:textId="77777777" w:rsidR="00837139" w:rsidRPr="00DD7BD1" w:rsidRDefault="00837139" w:rsidP="00A83553">
      <w:pPr>
        <w:pStyle w:val="Heading2"/>
        <w:spacing w:before="0" w:line="240" w:lineRule="auto"/>
        <w:rPr>
          <w:rFonts w:ascii="Calibri" w:hAnsi="Calibri" w:cs="Calibri"/>
          <w:b/>
          <w:bCs/>
          <w:color w:val="auto"/>
          <w:sz w:val="16"/>
          <w:szCs w:val="16"/>
          <w:highlight w:val="lightGray"/>
        </w:rPr>
      </w:pPr>
    </w:p>
    <w:p w14:paraId="2B2E98E1" w14:textId="77777777" w:rsidR="00837139" w:rsidRPr="00DD7BD1" w:rsidRDefault="00837139" w:rsidP="00A83553">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Changes to the Threshold for Notice to Credit Reporting Agencies</w:t>
      </w:r>
    </w:p>
    <w:p w14:paraId="35ABBD5D"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The Act currently requires any organization providing notice of a data breach to 1,000 or more Pennsylvania residents to </w:t>
      </w:r>
      <w:r w:rsidRPr="00DD7BD1">
        <w:rPr>
          <w:rFonts w:ascii="Calibri" w:hAnsi="Calibri" w:cs="Calibri"/>
          <w:b/>
          <w:bCs/>
          <w:i/>
          <w:iCs/>
          <w:color w:val="auto"/>
          <w:sz w:val="22"/>
          <w:szCs w:val="22"/>
        </w:rPr>
        <w:t>also</w:t>
      </w:r>
      <w:r w:rsidRPr="00DD7BD1">
        <w:rPr>
          <w:rFonts w:ascii="Calibri" w:hAnsi="Calibri" w:cs="Calibri"/>
          <w:color w:val="auto"/>
          <w:sz w:val="22"/>
          <w:szCs w:val="22"/>
        </w:rPr>
        <w:t xml:space="preserve"> provide notice to the consumer reporting agencies that compile and maintain files on consumers on a nationwide basis. </w:t>
      </w:r>
    </w:p>
    <w:p w14:paraId="188C7985"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SB 824 lowers that threshold from 1,000 to 500. </w:t>
      </w:r>
    </w:p>
    <w:p w14:paraId="601EA9E6" w14:textId="77777777" w:rsidR="00837139" w:rsidRPr="00DD7BD1" w:rsidRDefault="00837139">
      <w:pPr>
        <w:pStyle w:val="Heading2"/>
        <w:numPr>
          <w:ilvl w:val="0"/>
          <w:numId w:val="91"/>
        </w:numPr>
        <w:tabs>
          <w:tab w:val="num" w:pos="720"/>
        </w:tabs>
        <w:spacing w:before="0" w:line="240" w:lineRule="auto"/>
        <w:rPr>
          <w:rFonts w:ascii="Calibri" w:hAnsi="Calibri" w:cs="Calibri"/>
          <w:b/>
          <w:color w:val="auto"/>
          <w:sz w:val="22"/>
          <w:szCs w:val="22"/>
        </w:rPr>
      </w:pPr>
      <w:r w:rsidRPr="00DD7BD1">
        <w:rPr>
          <w:rFonts w:ascii="Calibri" w:hAnsi="Calibri" w:cs="Calibri"/>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33C54B61" w14:textId="77777777" w:rsidR="00837139" w:rsidRPr="00DD7BD1" w:rsidRDefault="00837139" w:rsidP="00837139">
      <w:pPr>
        <w:pStyle w:val="Heading2"/>
        <w:spacing w:before="0" w:line="240" w:lineRule="auto"/>
        <w:rPr>
          <w:rFonts w:ascii="Calibri" w:hAnsi="Calibri" w:cs="Calibri"/>
          <w:sz w:val="22"/>
          <w:szCs w:val="22"/>
        </w:rPr>
      </w:pPr>
      <w:r w:rsidRPr="00DD7BD1">
        <w:rPr>
          <w:rFonts w:ascii="Calibri" w:hAnsi="Calibri" w:cs="Calibri"/>
          <w:b/>
          <w:bCs/>
          <w:color w:val="auto"/>
          <w:sz w:val="22"/>
          <w:szCs w:val="22"/>
          <w:highlight w:val="lightGray"/>
        </w:rPr>
        <w:t>New Credit Reporting and Credit Monitoring Requirements</w:t>
      </w:r>
    </w:p>
    <w:p w14:paraId="32E9A946" w14:textId="77777777" w:rsidR="00837139" w:rsidRPr="00DD7BD1" w:rsidRDefault="00837139" w:rsidP="00837139">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SB 824, organizations will be required to provide impacted Pennsylvania residents with free access to credit reporting and credit monitoring services if:</w:t>
      </w:r>
    </w:p>
    <w:p w14:paraId="490F9E86"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 xml:space="preserve">There was a data breach as defined by Pennsylvania law; and </w:t>
      </w:r>
    </w:p>
    <w:p w14:paraId="77414814"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DD7BD1" w:rsidRDefault="00837139" w:rsidP="00837139">
      <w:pPr>
        <w:pStyle w:val="Bullet"/>
        <w:numPr>
          <w:ilvl w:val="0"/>
          <w:numId w:val="0"/>
        </w:numPr>
        <w:spacing w:line="240" w:lineRule="auto"/>
        <w:rPr>
          <w:rFonts w:cs="Calibri"/>
          <w:color w:val="auto"/>
          <w:sz w:val="16"/>
          <w:szCs w:val="16"/>
        </w:rPr>
      </w:pPr>
    </w:p>
    <w:p w14:paraId="5A187073" w14:textId="77777777" w:rsidR="00837139" w:rsidRPr="00DD7BD1" w:rsidRDefault="00837139" w:rsidP="00837139">
      <w:pPr>
        <w:pStyle w:val="Bullet"/>
        <w:numPr>
          <w:ilvl w:val="0"/>
          <w:numId w:val="0"/>
        </w:numPr>
        <w:spacing w:line="240" w:lineRule="auto"/>
        <w:rPr>
          <w:rFonts w:cs="Calibri"/>
          <w:color w:val="auto"/>
          <w:szCs w:val="22"/>
        </w:rPr>
      </w:pPr>
      <w:r w:rsidRPr="00DD7BD1">
        <w:rPr>
          <w:rFonts w:cs="Calibri"/>
          <w:color w:val="auto"/>
          <w:szCs w:val="22"/>
        </w:rPr>
        <w:t xml:space="preserve">If these two conditions are met, organizations must provide the impacted individuals with: </w:t>
      </w:r>
    </w:p>
    <w:p w14:paraId="769EC889"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DD7BD1" w:rsidRDefault="00837139" w:rsidP="009040C5">
      <w:pPr>
        <w:spacing w:after="0" w:line="240" w:lineRule="auto"/>
        <w:jc w:val="both"/>
        <w:rPr>
          <w:rFonts w:ascii="Calibri" w:hAnsi="Calibri" w:cs="Calibri"/>
          <w:b/>
          <w:bCs/>
          <w:color w:val="2E74B5" w:themeColor="accent5" w:themeShade="BF"/>
          <w:shd w:val="clear" w:color="auto" w:fill="FFFFFF"/>
          <w:lang w:val="en"/>
        </w:rPr>
      </w:pPr>
    </w:p>
    <w:p w14:paraId="3A4E7671" w14:textId="6F2299ED" w:rsidR="00A33FCC" w:rsidRPr="00DD7BD1" w:rsidRDefault="004B7569" w:rsidP="00A33FCC">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Rhode Island</w:t>
      </w:r>
    </w:p>
    <w:p w14:paraId="54F72E47" w14:textId="77777777" w:rsidR="0035344A" w:rsidRPr="00DD7BD1" w:rsidRDefault="0035344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Minimum Wage Increase</w:t>
      </w:r>
      <w:r w:rsidRPr="00DD7BD1">
        <w:rPr>
          <w:rFonts w:ascii="Calibri" w:hAnsi="Calibri" w:cs="Calibri"/>
          <w:b/>
          <w:bCs/>
          <w:color w:val="C00000"/>
          <w:sz w:val="28"/>
          <w:szCs w:val="28"/>
          <w:shd w:val="clear" w:color="auto" w:fill="FFFFFF"/>
        </w:rPr>
        <w:t xml:space="preserve"> – Eff Jan 1, 2026</w:t>
      </w:r>
    </w:p>
    <w:p w14:paraId="29B72BFE" w14:textId="77777777" w:rsidR="0035344A" w:rsidRPr="00DD7BD1" w:rsidRDefault="0035344A" w:rsidP="00193B33">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state’s minimum wage will increase to $16 per hour. The minimum base wage for tipped employees will </w:t>
      </w:r>
      <w:proofErr w:type="gramStart"/>
      <w:r w:rsidRPr="00DD7BD1">
        <w:rPr>
          <w:rFonts w:ascii="Calibri" w:hAnsi="Calibri" w:cs="Calibri"/>
          <w:shd w:val="clear" w:color="auto" w:fill="FFFFFF"/>
        </w:rPr>
        <w:t>remain at</w:t>
      </w:r>
      <w:proofErr w:type="gramEnd"/>
      <w:r w:rsidRPr="00DD7BD1">
        <w:rPr>
          <w:rFonts w:ascii="Calibri" w:hAnsi="Calibri" w:cs="Calibri"/>
          <w:shd w:val="clear" w:color="auto" w:fill="FFFFFF"/>
        </w:rPr>
        <w:t xml:space="preserve"> $3.89 per hour.</w:t>
      </w:r>
    </w:p>
    <w:p w14:paraId="1C34D6FB" w14:textId="36562014" w:rsidR="004C429A" w:rsidRPr="00DD7BD1" w:rsidRDefault="004C429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Temporary Caregiver Insurance (Paid Medical Leave) Expands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Jan 1, 2026</w:t>
      </w:r>
    </w:p>
    <w:p w14:paraId="322811E2"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Employees will be able to use Temporary Caregiver Insurance (TCI) for two new reasons:</w:t>
      </w:r>
    </w:p>
    <w:p w14:paraId="4642D581"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To care for a</w:t>
      </w:r>
      <w:r w:rsidRPr="00DD7BD1">
        <w:rPr>
          <w:rFonts w:ascii="Calibri" w:hAnsi="Calibri" w:cs="Calibri"/>
          <w:b/>
          <w:bCs/>
          <w:shd w:val="clear" w:color="auto" w:fill="FFFFFF"/>
        </w:rPr>
        <w:t xml:space="preserve"> sibling</w:t>
      </w:r>
      <w:r w:rsidRPr="00DD7BD1">
        <w:rPr>
          <w:rFonts w:ascii="Calibri" w:hAnsi="Calibri" w:cs="Calibri"/>
          <w:i/>
          <w:iCs/>
          <w:shd w:val="clear" w:color="auto" w:fill="FFFFFF"/>
        </w:rPr>
        <w:t> </w:t>
      </w:r>
      <w:r w:rsidRPr="00DD7BD1">
        <w:rPr>
          <w:rFonts w:ascii="Calibri" w:hAnsi="Calibri" w:cs="Calibri"/>
          <w:shd w:val="clear" w:color="auto" w:fill="FFFFFF"/>
        </w:rPr>
        <w:t>who has a serious health condition</w:t>
      </w:r>
    </w:p>
    <w:p w14:paraId="0D059DDE"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For </w:t>
      </w:r>
      <w:r w:rsidRPr="00DD7BD1">
        <w:rPr>
          <w:rFonts w:ascii="Calibri" w:hAnsi="Calibri" w:cs="Calibri"/>
          <w:b/>
          <w:bCs/>
          <w:shd w:val="clear" w:color="auto" w:fill="FFFFFF"/>
        </w:rPr>
        <w:t>bone marrow and living organ donation</w:t>
      </w:r>
      <w:r w:rsidRPr="00DD7BD1">
        <w:rPr>
          <w:rFonts w:ascii="Calibri" w:hAnsi="Calibri" w:cs="Calibri"/>
          <w:shd w:val="clear" w:color="auto" w:fill="FFFFFF"/>
        </w:rPr>
        <w:t xml:space="preserve"> (retroactive to January 1, 2025)</w:t>
      </w:r>
    </w:p>
    <w:p w14:paraId="2B86059F" w14:textId="77777777" w:rsidR="004C429A" w:rsidRPr="00DD7BD1" w:rsidRDefault="004C429A" w:rsidP="00193B33">
      <w:pPr>
        <w:spacing w:after="0" w:line="240" w:lineRule="auto"/>
        <w:rPr>
          <w:rFonts w:ascii="Calibri" w:hAnsi="Calibri" w:cs="Calibri"/>
          <w:sz w:val="16"/>
          <w:szCs w:val="16"/>
          <w:shd w:val="clear" w:color="auto" w:fill="FFFFFF"/>
        </w:rPr>
      </w:pPr>
    </w:p>
    <w:p w14:paraId="4F927289"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As a reminder, also on January 1, TCI benefits will increase up to a maximum of eight weeks in a benefit year.</w:t>
      </w:r>
    </w:p>
    <w:p w14:paraId="4040E070"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Learn more on the Rhode Island Department of Labor and Training </w:t>
      </w:r>
      <w:hyperlink r:id="rId1022"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13EF0D65" w14:textId="77777777" w:rsidR="004C429A" w:rsidRPr="00DD7BD1" w:rsidRDefault="004C429A" w:rsidP="00193B33">
      <w:pPr>
        <w:spacing w:after="0" w:line="240" w:lineRule="auto"/>
        <w:rPr>
          <w:rFonts w:ascii="Calibri" w:hAnsi="Calibri" w:cs="Calibri"/>
          <w:sz w:val="16"/>
          <w:szCs w:val="16"/>
          <w:shd w:val="clear" w:color="auto" w:fill="FFFFFF"/>
        </w:rPr>
      </w:pPr>
    </w:p>
    <w:p w14:paraId="54E193F6"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RI State Handbook Addendum updated and distributed alongside the October HR WIRE ahead of the Jan 1, </w:t>
      </w:r>
      <w:proofErr w:type="gramStart"/>
      <w:r w:rsidRPr="00DD7BD1">
        <w:rPr>
          <w:rFonts w:ascii="Calibri" w:hAnsi="Calibri" w:cs="Calibri"/>
          <w:shd w:val="clear" w:color="auto" w:fill="FFFFFF"/>
        </w:rPr>
        <w:t>2026</w:t>
      </w:r>
      <w:proofErr w:type="gramEnd"/>
      <w:r w:rsidRPr="00DD7BD1">
        <w:rPr>
          <w:rFonts w:ascii="Calibri" w:hAnsi="Calibri" w:cs="Calibri"/>
          <w:shd w:val="clear" w:color="auto" w:fill="FFFFFF"/>
        </w:rPr>
        <w:t xml:space="preserve"> effective date.</w:t>
      </w:r>
    </w:p>
    <w:p w14:paraId="0519C33E" w14:textId="77777777" w:rsidR="00193B33" w:rsidRPr="00DD7BD1" w:rsidRDefault="00193B33" w:rsidP="00193B33">
      <w:pPr>
        <w:spacing w:after="0" w:line="240" w:lineRule="auto"/>
        <w:rPr>
          <w:rFonts w:ascii="Calibri" w:hAnsi="Calibri" w:cs="Calibri"/>
          <w:shd w:val="clear" w:color="auto" w:fill="FFFFFF"/>
        </w:rPr>
      </w:pPr>
    </w:p>
    <w:p w14:paraId="73D30AB3" w14:textId="77777777" w:rsidR="00813AC0" w:rsidRPr="00DD7BD1" w:rsidRDefault="00813AC0" w:rsidP="00193B33">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Human Trafficking Training for Hotel Employees – Eff </w:t>
      </w:r>
      <w:r w:rsidRPr="00DD7BD1">
        <w:rPr>
          <w:rFonts w:ascii="Calibri" w:hAnsi="Calibri" w:cs="Calibri"/>
          <w:b/>
          <w:bCs/>
          <w:color w:val="C00000"/>
          <w:sz w:val="28"/>
          <w:szCs w:val="28"/>
          <w:shd w:val="clear" w:color="auto" w:fill="FFFFFF"/>
        </w:rPr>
        <w:t>Jan 1, 2026</w:t>
      </w:r>
    </w:p>
    <w:p w14:paraId="024E73BC" w14:textId="77777777" w:rsidR="00813AC0" w:rsidRPr="00DD7BD1" w:rsidRDefault="00813AC0" w:rsidP="00193B33">
      <w:pPr>
        <w:spacing w:after="0" w:line="240" w:lineRule="auto"/>
        <w:rPr>
          <w:rFonts w:ascii="Calibri" w:hAnsi="Calibri" w:cs="Calibri"/>
          <w:shd w:val="clear" w:color="auto" w:fill="FFFFFF"/>
        </w:rPr>
      </w:pPr>
      <w:r w:rsidRPr="00DD7BD1">
        <w:rPr>
          <w:rFonts w:ascii="Calibri" w:hAnsi="Calibri" w:cs="Calibri"/>
          <w:shd w:val="clear" w:color="auto" w:fill="FFFFFF"/>
        </w:rPr>
        <w:t>ETC rarely follows or reports industry -specific enactments, however, hotel employers should be aware that hotel employees will be required to complete human trafficking awareness training within 180 days of hire, and each calendar year thereafter. The training will need to include specific components and be approved by the state. Records of employee training need to be kept for the duration of employment, plus one year. Hotels will also be required to create a policy for reporting suspected human trafficking to the National Human Trafficking Hotline or local law enforcement.</w:t>
      </w:r>
    </w:p>
    <w:p w14:paraId="57236F19" w14:textId="77777777" w:rsidR="00193B33" w:rsidRPr="00DD7BD1" w:rsidRDefault="00193B33" w:rsidP="00193B33">
      <w:pPr>
        <w:spacing w:after="0" w:line="240" w:lineRule="auto"/>
        <w:rPr>
          <w:rFonts w:ascii="Calibri" w:hAnsi="Calibri" w:cs="Calibri"/>
          <w:shd w:val="clear" w:color="auto" w:fill="FFFFFF"/>
        </w:rPr>
      </w:pPr>
    </w:p>
    <w:p w14:paraId="0569EA94" w14:textId="77777777" w:rsidR="00193B33" w:rsidRPr="00DD7BD1" w:rsidRDefault="00193B33" w:rsidP="00193B33">
      <w:pPr>
        <w:spacing w:after="0" w:line="240" w:lineRule="auto"/>
        <w:jc w:val="center"/>
        <w:rPr>
          <w:rFonts w:ascii="Calibri" w:hAnsi="Calibri" w:cs="Calibri"/>
          <w:sz w:val="16"/>
          <w:szCs w:val="16"/>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shd w:val="clear" w:color="auto" w:fill="FFFFFF"/>
        </w:rPr>
        <w:t xml:space="preserve">New Written Notice – Payment of Wages – </w:t>
      </w:r>
      <w:r w:rsidRPr="00DD7BD1">
        <w:rPr>
          <w:rFonts w:ascii="Calibri" w:hAnsi="Calibri" w:cs="Calibri"/>
          <w:b/>
          <w:bCs/>
          <w:color w:val="C00000"/>
          <w:sz w:val="28"/>
          <w:szCs w:val="28"/>
          <w:shd w:val="clear" w:color="auto" w:fill="FFFFFF"/>
        </w:rPr>
        <w:t>Eff January 1, 2026</w:t>
      </w:r>
    </w:p>
    <w:p w14:paraId="4B58D0BC" w14:textId="77777777" w:rsidR="00193B33"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1023"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294C9324"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79B5938E"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allowances, if any, claimed for meals and lodging;</w:t>
      </w:r>
    </w:p>
    <w:p w14:paraId="45EAB9B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policy on sick, vacation, personal leave, holidays, and hours;</w:t>
      </w:r>
    </w:p>
    <w:p w14:paraId="58E3FA3F"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D042F62"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649A9D0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1A876BB1"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583B1DB8" w14:textId="77777777" w:rsidR="00193B33" w:rsidRPr="00DD7BD1" w:rsidRDefault="00193B33" w:rsidP="00193B33">
      <w:pPr>
        <w:spacing w:after="0" w:line="240" w:lineRule="auto"/>
        <w:jc w:val="both"/>
        <w:rPr>
          <w:rFonts w:ascii="Calibri" w:hAnsi="Calibri" w:cs="Calibri"/>
          <w:sz w:val="16"/>
          <w:szCs w:val="16"/>
          <w:shd w:val="clear" w:color="auto" w:fill="FFFFFF"/>
        </w:rPr>
      </w:pPr>
    </w:p>
    <w:p w14:paraId="34BD15B9" w14:textId="1E2FC7EE" w:rsidR="0035344A"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373D2633" w14:textId="77777777" w:rsidR="00193B33" w:rsidRPr="00DD7BD1" w:rsidRDefault="00193B33" w:rsidP="00193B33">
      <w:pPr>
        <w:spacing w:after="0" w:line="240" w:lineRule="auto"/>
        <w:jc w:val="both"/>
        <w:rPr>
          <w:rFonts w:ascii="Calibri" w:hAnsi="Calibri" w:cs="Calibri"/>
          <w:shd w:val="clear" w:color="auto" w:fill="FFFFFF"/>
        </w:rPr>
      </w:pPr>
    </w:p>
    <w:p w14:paraId="352E79CB" w14:textId="063B872A" w:rsidR="003D0CE0" w:rsidRPr="00DD7BD1" w:rsidRDefault="003D0CE0" w:rsidP="00193B33">
      <w:pPr>
        <w:spacing w:after="0" w:line="240" w:lineRule="auto"/>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Rules</w:t>
      </w:r>
      <w:r w:rsidRPr="00DD7BD1">
        <w:rPr>
          <w:rFonts w:ascii="Calibri" w:hAnsi="Calibri" w:cs="Calibri"/>
          <w:b/>
          <w:spacing w:val="-12"/>
          <w:sz w:val="28"/>
        </w:rPr>
        <w:t xml:space="preserve"> </w:t>
      </w:r>
      <w:r w:rsidRPr="00DD7BD1">
        <w:rPr>
          <w:rFonts w:ascii="Calibri" w:hAnsi="Calibri" w:cs="Calibri"/>
          <w:b/>
          <w:spacing w:val="-6"/>
          <w:sz w:val="28"/>
        </w:rPr>
        <w:t>Clarify</w:t>
      </w:r>
      <w:r w:rsidRPr="00DD7BD1">
        <w:rPr>
          <w:rFonts w:ascii="Calibri" w:hAnsi="Calibri" w:cs="Calibri"/>
          <w:b/>
          <w:spacing w:val="-8"/>
          <w:sz w:val="28"/>
        </w:rPr>
        <w:t xml:space="preserve"> </w:t>
      </w:r>
      <w:r w:rsidRPr="00DD7BD1">
        <w:rPr>
          <w:rFonts w:ascii="Calibri" w:hAnsi="Calibri" w:cs="Calibri"/>
          <w:b/>
          <w:spacing w:val="-6"/>
          <w:sz w:val="28"/>
        </w:rPr>
        <w:t>Sunday</w:t>
      </w:r>
      <w:r w:rsidRPr="00DD7BD1">
        <w:rPr>
          <w:rFonts w:ascii="Calibri" w:hAnsi="Calibri" w:cs="Calibri"/>
          <w:b/>
          <w:spacing w:val="-8"/>
          <w:sz w:val="28"/>
        </w:rPr>
        <w:t xml:space="preserve"> </w:t>
      </w:r>
      <w:r w:rsidRPr="00DD7BD1">
        <w:rPr>
          <w:rFonts w:ascii="Calibri" w:hAnsi="Calibri" w:cs="Calibri"/>
          <w:b/>
          <w:spacing w:val="-6"/>
          <w:sz w:val="28"/>
        </w:rPr>
        <w:t>&amp;</w:t>
      </w:r>
      <w:r w:rsidRPr="00DD7BD1">
        <w:rPr>
          <w:rFonts w:ascii="Calibri" w:hAnsi="Calibri" w:cs="Calibri"/>
          <w:b/>
          <w:spacing w:val="-11"/>
          <w:sz w:val="28"/>
        </w:rPr>
        <w:t xml:space="preserve"> </w:t>
      </w:r>
      <w:r w:rsidRPr="00DD7BD1">
        <w:rPr>
          <w:rFonts w:ascii="Calibri" w:hAnsi="Calibri" w:cs="Calibri"/>
          <w:b/>
          <w:spacing w:val="-6"/>
          <w:sz w:val="28"/>
        </w:rPr>
        <w:t>Holiday</w:t>
      </w:r>
      <w:r w:rsidRPr="00DD7BD1">
        <w:rPr>
          <w:rFonts w:ascii="Calibri" w:hAnsi="Calibri" w:cs="Calibri"/>
          <w:b/>
          <w:spacing w:val="-8"/>
          <w:sz w:val="28"/>
        </w:rPr>
        <w:t xml:space="preserve"> </w:t>
      </w:r>
      <w:r w:rsidRPr="00DD7BD1">
        <w:rPr>
          <w:rFonts w:ascii="Calibri" w:hAnsi="Calibri" w:cs="Calibri"/>
          <w:b/>
          <w:spacing w:val="-6"/>
          <w:sz w:val="28"/>
        </w:rPr>
        <w:t>Premium</w:t>
      </w:r>
      <w:r w:rsidRPr="00DD7BD1">
        <w:rPr>
          <w:rFonts w:ascii="Calibri" w:hAnsi="Calibri" w:cs="Calibri"/>
          <w:b/>
          <w:spacing w:val="-10"/>
          <w:sz w:val="28"/>
        </w:rPr>
        <w:t xml:space="preserve"> </w:t>
      </w:r>
      <w:r w:rsidRPr="00DD7BD1">
        <w:rPr>
          <w:rFonts w:ascii="Calibri" w:hAnsi="Calibri" w:cs="Calibri"/>
          <w:b/>
          <w:spacing w:val="-6"/>
          <w:sz w:val="28"/>
        </w:rPr>
        <w:t>Pay</w:t>
      </w:r>
      <w:r w:rsidRPr="00DD7BD1">
        <w:rPr>
          <w:rFonts w:ascii="Calibri" w:hAnsi="Calibri" w:cs="Calibri"/>
          <w:b/>
          <w:spacing w:val="-11"/>
          <w:sz w:val="28"/>
        </w:rPr>
        <w:t xml:space="preserve"> </w:t>
      </w:r>
      <w:r w:rsidRPr="00DD7BD1">
        <w:rPr>
          <w:rFonts w:ascii="Calibri" w:hAnsi="Calibri" w:cs="Calibri"/>
          <w:b/>
          <w:spacing w:val="-6"/>
          <w:sz w:val="28"/>
        </w:rPr>
        <w:t xml:space="preserve">Calculations </w:t>
      </w:r>
      <w:r w:rsidRPr="00DD7BD1">
        <w:rPr>
          <w:rFonts w:ascii="Calibri" w:hAnsi="Calibri" w:cs="Calibri"/>
          <w:b/>
          <w:color w:val="C00000"/>
          <w:spacing w:val="-6"/>
          <w:sz w:val="28"/>
        </w:rPr>
        <w:t>–</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Aug</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17,</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53034047"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6"/>
          <w:szCs w:val="22"/>
        </w:rPr>
        <w:t xml:space="preserve"> </w:t>
      </w:r>
      <w:r w:rsidRPr="00DD7BD1">
        <w:rPr>
          <w:rFonts w:cs="Calibri"/>
          <w:color w:val="auto"/>
          <w:szCs w:val="22"/>
        </w:rPr>
        <w:t>RI Employers</w:t>
      </w:r>
      <w:r w:rsidRPr="00DD7BD1">
        <w:rPr>
          <w:rFonts w:cs="Calibri"/>
          <w:color w:val="auto"/>
          <w:spacing w:val="38"/>
          <w:szCs w:val="22"/>
        </w:rPr>
        <w:t xml:space="preserve"> </w:t>
      </w:r>
      <w:r w:rsidRPr="00DD7BD1">
        <w:rPr>
          <w:rFonts w:cs="Calibri"/>
          <w:color w:val="auto"/>
          <w:szCs w:val="22"/>
        </w:rPr>
        <w:t>are</w:t>
      </w:r>
      <w:r w:rsidRPr="00DD7BD1">
        <w:rPr>
          <w:rFonts w:cs="Calibri"/>
          <w:color w:val="auto"/>
          <w:spacing w:val="39"/>
          <w:szCs w:val="22"/>
        </w:rPr>
        <w:t xml:space="preserve"> </w:t>
      </w:r>
      <w:r w:rsidRPr="00DD7BD1">
        <w:rPr>
          <w:rFonts w:cs="Calibri"/>
          <w:color w:val="auto"/>
          <w:szCs w:val="22"/>
        </w:rPr>
        <w:t>advised</w:t>
      </w:r>
      <w:r w:rsidRPr="00DD7BD1">
        <w:rPr>
          <w:rFonts w:cs="Calibri"/>
          <w:color w:val="auto"/>
          <w:spacing w:val="39"/>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review</w:t>
      </w:r>
      <w:r w:rsidRPr="00DD7BD1">
        <w:rPr>
          <w:rFonts w:cs="Calibri"/>
          <w:color w:val="auto"/>
          <w:spacing w:val="31"/>
          <w:szCs w:val="22"/>
        </w:rPr>
        <w:t xml:space="preserve"> </w:t>
      </w:r>
      <w:r w:rsidRPr="00DD7BD1">
        <w:rPr>
          <w:rFonts w:cs="Calibri"/>
          <w:color w:val="auto"/>
          <w:szCs w:val="22"/>
        </w:rPr>
        <w:t>the</w:t>
      </w:r>
      <w:r w:rsidRPr="00DD7BD1">
        <w:rPr>
          <w:rFonts w:cs="Calibri"/>
          <w:color w:val="auto"/>
          <w:spacing w:val="32"/>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rules</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determine</w:t>
      </w:r>
      <w:r w:rsidRPr="00DD7BD1">
        <w:rPr>
          <w:rFonts w:cs="Calibri"/>
          <w:color w:val="auto"/>
          <w:spacing w:val="32"/>
          <w:szCs w:val="22"/>
        </w:rPr>
        <w:t xml:space="preserve"> </w:t>
      </w:r>
      <w:r w:rsidRPr="00DD7BD1">
        <w:rPr>
          <w:rFonts w:cs="Calibri"/>
          <w:color w:val="auto"/>
          <w:szCs w:val="22"/>
        </w:rPr>
        <w:t>whether</w:t>
      </w:r>
      <w:r w:rsidRPr="00DD7BD1">
        <w:rPr>
          <w:rFonts w:cs="Calibri"/>
          <w:color w:val="auto"/>
          <w:spacing w:val="31"/>
          <w:szCs w:val="22"/>
        </w:rPr>
        <w:t xml:space="preserve"> </w:t>
      </w:r>
      <w:r w:rsidRPr="00DD7BD1">
        <w:rPr>
          <w:rFonts w:cs="Calibri"/>
          <w:color w:val="auto"/>
          <w:szCs w:val="22"/>
        </w:rPr>
        <w:t>they</w:t>
      </w:r>
      <w:r w:rsidRPr="00DD7BD1">
        <w:rPr>
          <w:rFonts w:cs="Calibri"/>
          <w:color w:val="auto"/>
          <w:spacing w:val="34"/>
          <w:szCs w:val="22"/>
        </w:rPr>
        <w:t xml:space="preserve"> </w:t>
      </w:r>
      <w:proofErr w:type="gramStart"/>
      <w:r w:rsidRPr="00DD7BD1">
        <w:rPr>
          <w:rFonts w:cs="Calibri"/>
          <w:color w:val="auto"/>
          <w:szCs w:val="22"/>
        </w:rPr>
        <w:t>are</w:t>
      </w:r>
      <w:r w:rsidRPr="00DD7BD1">
        <w:rPr>
          <w:rFonts w:cs="Calibri"/>
          <w:color w:val="auto"/>
          <w:spacing w:val="32"/>
          <w:szCs w:val="22"/>
        </w:rPr>
        <w:t xml:space="preserve"> </w:t>
      </w:r>
      <w:r w:rsidRPr="00DD7BD1">
        <w:rPr>
          <w:rFonts w:cs="Calibri"/>
          <w:color w:val="auto"/>
          <w:szCs w:val="22"/>
        </w:rPr>
        <w:t xml:space="preserve">in </w:t>
      </w:r>
      <w:r w:rsidRPr="00DD7BD1">
        <w:rPr>
          <w:rFonts w:cs="Calibri"/>
          <w:color w:val="auto"/>
          <w:w w:val="110"/>
          <w:szCs w:val="22"/>
        </w:rPr>
        <w:t>compliance</w:t>
      </w:r>
      <w:r w:rsidRPr="00DD7BD1">
        <w:rPr>
          <w:rFonts w:cs="Calibri"/>
          <w:color w:val="auto"/>
          <w:spacing w:val="-12"/>
          <w:w w:val="110"/>
          <w:szCs w:val="22"/>
        </w:rPr>
        <w:t xml:space="preserve"> </w:t>
      </w:r>
      <w:r w:rsidRPr="00DD7BD1">
        <w:rPr>
          <w:rFonts w:cs="Calibri"/>
          <w:color w:val="auto"/>
          <w:w w:val="110"/>
          <w:szCs w:val="22"/>
        </w:rPr>
        <w:t>with</w:t>
      </w:r>
      <w:proofErr w:type="gramEnd"/>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overtime</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2"/>
          <w:w w:val="110"/>
          <w:szCs w:val="22"/>
        </w:rPr>
        <w:t xml:space="preserve"> </w:t>
      </w:r>
      <w:r w:rsidRPr="00DD7BD1">
        <w:rPr>
          <w:rFonts w:cs="Calibri"/>
          <w:color w:val="auto"/>
          <w:w w:val="110"/>
          <w:szCs w:val="22"/>
        </w:rPr>
        <w:t>obligations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considered</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3"/>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 xml:space="preserve">wholesale </w:t>
      </w:r>
      <w:r w:rsidRPr="00DD7BD1">
        <w:rPr>
          <w:rFonts w:cs="Calibri"/>
          <w:color w:val="auto"/>
          <w:spacing w:val="-2"/>
          <w:w w:val="110"/>
          <w:szCs w:val="22"/>
        </w:rPr>
        <w:t>business.</w:t>
      </w:r>
    </w:p>
    <w:p w14:paraId="3EC5D456" w14:textId="77777777" w:rsidR="003D0CE0" w:rsidRPr="00DD7BD1" w:rsidRDefault="003D0CE0" w:rsidP="003D0CE0">
      <w:pPr>
        <w:pStyle w:val="BodyText"/>
        <w:spacing w:after="0" w:line="240" w:lineRule="auto"/>
        <w:ind w:right="-90"/>
        <w:jc w:val="left"/>
        <w:rPr>
          <w:rFonts w:cs="Calibri"/>
          <w:color w:val="auto"/>
          <w:sz w:val="16"/>
          <w:szCs w:val="16"/>
        </w:rPr>
      </w:pPr>
    </w:p>
    <w:p w14:paraId="466FBA56"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rules</w:t>
      </w:r>
      <w:r w:rsidRPr="00DD7BD1">
        <w:rPr>
          <w:rFonts w:cs="Calibri"/>
          <w:color w:val="auto"/>
          <w:spacing w:val="-5"/>
          <w:w w:val="110"/>
          <w:szCs w:val="22"/>
        </w:rPr>
        <w:t xml:space="preserve"> </w:t>
      </w:r>
      <w:r w:rsidRPr="00DD7BD1">
        <w:rPr>
          <w:rFonts w:cs="Calibri"/>
          <w:color w:val="auto"/>
          <w:w w:val="110"/>
          <w:szCs w:val="22"/>
        </w:rPr>
        <w:t>confirm</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general</w:t>
      </w:r>
      <w:r w:rsidRPr="00DD7BD1">
        <w:rPr>
          <w:rFonts w:cs="Calibri"/>
          <w:color w:val="auto"/>
          <w:spacing w:val="-8"/>
          <w:w w:val="110"/>
          <w:szCs w:val="22"/>
        </w:rPr>
        <w:t xml:space="preserve"> </w:t>
      </w:r>
      <w:r w:rsidRPr="00DD7BD1">
        <w:rPr>
          <w:rFonts w:cs="Calibri"/>
          <w:color w:val="auto"/>
          <w:w w:val="110"/>
          <w:szCs w:val="22"/>
        </w:rPr>
        <w:t>understanding</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overtime</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requirements</w:t>
      </w:r>
      <w:r w:rsidRPr="00DD7BD1">
        <w:rPr>
          <w:rFonts w:cs="Calibri"/>
          <w:color w:val="auto"/>
          <w:spacing w:val="-8"/>
          <w:w w:val="110"/>
          <w:szCs w:val="22"/>
        </w:rPr>
        <w:t xml:space="preserve"> </w:t>
      </w:r>
      <w:r w:rsidRPr="00DD7BD1">
        <w:rPr>
          <w:rFonts w:cs="Calibri"/>
          <w:color w:val="auto"/>
          <w:w w:val="110"/>
          <w:szCs w:val="22"/>
        </w:rPr>
        <w:t>but</w:t>
      </w:r>
      <w:r w:rsidRPr="00DD7BD1">
        <w:rPr>
          <w:rFonts w:cs="Calibri"/>
          <w:color w:val="auto"/>
          <w:spacing w:val="-9"/>
          <w:w w:val="110"/>
          <w:szCs w:val="22"/>
        </w:rPr>
        <w:t xml:space="preserve"> </w:t>
      </w:r>
      <w:r w:rsidRPr="00DD7BD1">
        <w:rPr>
          <w:rFonts w:cs="Calibri"/>
          <w:color w:val="auto"/>
          <w:w w:val="110"/>
          <w:szCs w:val="22"/>
        </w:rPr>
        <w:t>provide additional certainty for employers</w:t>
      </w:r>
      <w:r w:rsidRPr="00DD7BD1">
        <w:rPr>
          <w:rFonts w:cs="Calibri"/>
          <w:color w:val="auto"/>
          <w:spacing w:val="-1"/>
          <w:w w:val="110"/>
          <w:szCs w:val="22"/>
        </w:rPr>
        <w:t xml:space="preserve"> </w:t>
      </w:r>
      <w:r w:rsidRPr="00DD7BD1">
        <w:rPr>
          <w:rFonts w:cs="Calibri"/>
          <w:color w:val="auto"/>
          <w:w w:val="110"/>
          <w:szCs w:val="22"/>
        </w:rPr>
        <w:t>on which businesses are and are</w:t>
      </w:r>
      <w:r w:rsidRPr="00DD7BD1">
        <w:rPr>
          <w:rFonts w:cs="Calibri"/>
          <w:color w:val="auto"/>
          <w:spacing w:val="-2"/>
          <w:w w:val="110"/>
          <w:szCs w:val="22"/>
        </w:rPr>
        <w:t xml:space="preserve"> </w:t>
      </w:r>
      <w:r w:rsidRPr="00DD7BD1">
        <w:rPr>
          <w:rFonts w:cs="Calibri"/>
          <w:color w:val="auto"/>
          <w:w w:val="110"/>
          <w:szCs w:val="22"/>
        </w:rPr>
        <w:t>not considered retail.</w:t>
      </w:r>
    </w:p>
    <w:p w14:paraId="474C5FF1" w14:textId="77777777" w:rsidR="003D0CE0" w:rsidRPr="00DD7BD1" w:rsidRDefault="003D0CE0" w:rsidP="003D0CE0">
      <w:pPr>
        <w:pStyle w:val="BodyText"/>
        <w:spacing w:after="0" w:line="240" w:lineRule="auto"/>
        <w:ind w:right="-90"/>
        <w:jc w:val="left"/>
        <w:rPr>
          <w:rFonts w:cs="Calibri"/>
          <w:color w:val="auto"/>
          <w:sz w:val="16"/>
          <w:szCs w:val="16"/>
        </w:rPr>
      </w:pPr>
    </w:p>
    <w:p w14:paraId="58096D34"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Rhode</w:t>
      </w:r>
      <w:r w:rsidRPr="00DD7BD1">
        <w:rPr>
          <w:rFonts w:ascii="Calibri" w:hAnsi="Calibri" w:cs="Calibri"/>
          <w:spacing w:val="13"/>
          <w:w w:val="110"/>
        </w:rPr>
        <w:t xml:space="preserve"> </w:t>
      </w:r>
      <w:r w:rsidRPr="00DD7BD1">
        <w:rPr>
          <w:rFonts w:ascii="Calibri" w:hAnsi="Calibri" w:cs="Calibri"/>
          <w:w w:val="110"/>
        </w:rPr>
        <w:t>Island</w:t>
      </w:r>
      <w:r w:rsidRPr="00DD7BD1">
        <w:rPr>
          <w:rFonts w:ascii="Calibri" w:hAnsi="Calibri" w:cs="Calibri"/>
          <w:spacing w:val="11"/>
          <w:w w:val="110"/>
        </w:rPr>
        <w:t xml:space="preserve"> </w:t>
      </w:r>
      <w:r w:rsidRPr="00DD7BD1">
        <w:rPr>
          <w:rFonts w:ascii="Calibri" w:hAnsi="Calibri" w:cs="Calibri"/>
          <w:w w:val="110"/>
        </w:rPr>
        <w:t>DLT</w:t>
      </w:r>
      <w:r w:rsidRPr="00DD7BD1">
        <w:rPr>
          <w:rFonts w:ascii="Calibri" w:hAnsi="Calibri" w:cs="Calibri"/>
          <w:spacing w:val="11"/>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established</w:t>
      </w:r>
      <w:r w:rsidRPr="00DD7BD1">
        <w:rPr>
          <w:rFonts w:ascii="Calibri" w:hAnsi="Calibri" w:cs="Calibri"/>
          <w:spacing w:val="11"/>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rules</w:t>
      </w:r>
      <w:r w:rsidRPr="00DD7BD1">
        <w:rPr>
          <w:rFonts w:ascii="Calibri" w:hAnsi="Calibri" w:cs="Calibri"/>
          <w:spacing w:val="15"/>
          <w:w w:val="110"/>
        </w:rPr>
        <w:t xml:space="preserve"> </w:t>
      </w:r>
      <w:r w:rsidRPr="00DD7BD1">
        <w:rPr>
          <w:rFonts w:ascii="Calibri" w:hAnsi="Calibri" w:cs="Calibri"/>
          <w:w w:val="110"/>
        </w:rPr>
        <w:t>defining</w:t>
      </w:r>
      <w:r w:rsidRPr="00DD7BD1">
        <w:rPr>
          <w:rFonts w:ascii="Calibri" w:hAnsi="Calibri" w:cs="Calibri"/>
          <w:spacing w:val="11"/>
          <w:w w:val="110"/>
        </w:rPr>
        <w:t xml:space="preserve"> </w:t>
      </w:r>
      <w:r w:rsidRPr="00DD7BD1">
        <w:rPr>
          <w:rFonts w:ascii="Calibri" w:hAnsi="Calibri" w:cs="Calibri"/>
          <w:w w:val="110"/>
        </w:rPr>
        <w:t>“retail</w:t>
      </w:r>
      <w:r w:rsidRPr="00DD7BD1">
        <w:rPr>
          <w:rFonts w:ascii="Calibri" w:hAnsi="Calibri" w:cs="Calibri"/>
          <w:spacing w:val="11"/>
          <w:w w:val="110"/>
        </w:rPr>
        <w:t xml:space="preserve"> </w:t>
      </w:r>
      <w:r w:rsidRPr="00DD7BD1">
        <w:rPr>
          <w:rFonts w:ascii="Calibri" w:hAnsi="Calibri" w:cs="Calibri"/>
          <w:w w:val="110"/>
        </w:rPr>
        <w:t>businesses”</w:t>
      </w:r>
      <w:r w:rsidRPr="00DD7BD1">
        <w:rPr>
          <w:rFonts w:ascii="Calibri" w:hAnsi="Calibri" w:cs="Calibri"/>
          <w:spacing w:val="13"/>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clarifying</w:t>
      </w:r>
      <w:r w:rsidRPr="00DD7BD1">
        <w:rPr>
          <w:rFonts w:ascii="Calibri" w:hAnsi="Calibri" w:cs="Calibri"/>
          <w:spacing w:val="12"/>
          <w:w w:val="110"/>
        </w:rPr>
        <w:t xml:space="preserve"> </w:t>
      </w:r>
      <w:r w:rsidRPr="00DD7BD1">
        <w:rPr>
          <w:rFonts w:ascii="Calibri" w:hAnsi="Calibri" w:cs="Calibri"/>
          <w:w w:val="110"/>
        </w:rPr>
        <w:t>overtime</w:t>
      </w:r>
      <w:r w:rsidRPr="00DD7BD1">
        <w:rPr>
          <w:rFonts w:ascii="Calibri" w:hAnsi="Calibri" w:cs="Calibri"/>
          <w:spacing w:val="13"/>
          <w:w w:val="110"/>
        </w:rPr>
        <w:t xml:space="preserve"> </w:t>
      </w:r>
      <w:r w:rsidRPr="00DD7BD1">
        <w:rPr>
          <w:rFonts w:ascii="Calibri" w:hAnsi="Calibri" w:cs="Calibri"/>
          <w:spacing w:val="-5"/>
          <w:w w:val="110"/>
        </w:rPr>
        <w:t xml:space="preserve">and </w:t>
      </w:r>
      <w:r w:rsidRPr="00DD7BD1">
        <w:rPr>
          <w:rFonts w:ascii="Calibri" w:hAnsi="Calibri" w:cs="Calibri"/>
          <w:w w:val="110"/>
        </w:rPr>
        <w:t>holiday</w:t>
      </w:r>
      <w:r w:rsidRPr="00DD7BD1">
        <w:rPr>
          <w:rFonts w:ascii="Calibri" w:hAnsi="Calibri" w:cs="Calibri"/>
          <w:spacing w:val="-2"/>
          <w:w w:val="110"/>
        </w:rPr>
        <w:t xml:space="preserve"> </w:t>
      </w:r>
      <w:r w:rsidRPr="00DD7BD1">
        <w:rPr>
          <w:rFonts w:ascii="Calibri" w:hAnsi="Calibri" w:cs="Calibri"/>
          <w:w w:val="110"/>
        </w:rPr>
        <w:t>pay</w:t>
      </w:r>
      <w:r w:rsidRPr="00DD7BD1">
        <w:rPr>
          <w:rFonts w:ascii="Calibri" w:hAnsi="Calibri" w:cs="Calibri"/>
          <w:spacing w:val="-3"/>
          <w:w w:val="110"/>
        </w:rPr>
        <w:t xml:space="preserve"> </w:t>
      </w:r>
      <w:r w:rsidRPr="00DD7BD1">
        <w:rPr>
          <w:rFonts w:ascii="Calibri" w:hAnsi="Calibri" w:cs="Calibri"/>
          <w:w w:val="110"/>
        </w:rPr>
        <w:t>calculations,</w:t>
      </w:r>
      <w:r w:rsidRPr="00DD7BD1">
        <w:rPr>
          <w:rFonts w:ascii="Calibri" w:hAnsi="Calibri" w:cs="Calibri"/>
          <w:spacing w:val="-5"/>
          <w:w w:val="110"/>
        </w:rPr>
        <w:t xml:space="preserve"> </w:t>
      </w:r>
      <w:r w:rsidRPr="00DD7BD1">
        <w:rPr>
          <w:rFonts w:ascii="Calibri" w:hAnsi="Calibri" w:cs="Calibri"/>
          <w:w w:val="110"/>
        </w:rPr>
        <w:t>emphasizing</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3"/>
          <w:w w:val="110"/>
        </w:rPr>
        <w:t xml:space="preserve"> </w:t>
      </w:r>
      <w:r w:rsidRPr="00DD7BD1">
        <w:rPr>
          <w:rFonts w:ascii="Calibri" w:hAnsi="Calibri" w:cs="Calibri"/>
          <w:w w:val="110"/>
        </w:rPr>
        <w:t>those</w:t>
      </w:r>
      <w:r w:rsidRPr="00DD7BD1">
        <w:rPr>
          <w:rFonts w:ascii="Calibri" w:hAnsi="Calibri" w:cs="Calibri"/>
          <w:spacing w:val="-4"/>
          <w:w w:val="110"/>
        </w:rPr>
        <w:t xml:space="preserve"> </w:t>
      </w:r>
      <w:r w:rsidRPr="00DD7BD1">
        <w:rPr>
          <w:rFonts w:ascii="Calibri" w:hAnsi="Calibri" w:cs="Calibri"/>
          <w:w w:val="110"/>
        </w:rPr>
        <w:t>selling</w:t>
      </w:r>
      <w:r w:rsidRPr="00DD7BD1">
        <w:rPr>
          <w:rFonts w:ascii="Calibri" w:hAnsi="Calibri" w:cs="Calibri"/>
          <w:spacing w:val="-4"/>
          <w:w w:val="110"/>
        </w:rPr>
        <w:t xml:space="preserve"> </w:t>
      </w:r>
      <w:r w:rsidRPr="00DD7BD1">
        <w:rPr>
          <w:rFonts w:ascii="Calibri" w:hAnsi="Calibri" w:cs="Calibri"/>
          <w:w w:val="110"/>
        </w:rPr>
        <w:t>directly</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consumers</w:t>
      </w:r>
      <w:r w:rsidRPr="00DD7BD1">
        <w:rPr>
          <w:rFonts w:ascii="Calibri" w:hAnsi="Calibri" w:cs="Calibri"/>
          <w:spacing w:val="-1"/>
          <w:w w:val="110"/>
        </w:rPr>
        <w:t xml:space="preserve"> </w:t>
      </w:r>
      <w:r w:rsidRPr="00DD7BD1">
        <w:rPr>
          <w:rFonts w:ascii="Calibri" w:hAnsi="Calibri" w:cs="Calibri"/>
          <w:spacing w:val="-2"/>
          <w:w w:val="110"/>
        </w:rPr>
        <w:t>qualify.</w:t>
      </w:r>
    </w:p>
    <w:p w14:paraId="7CAF36C2"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 rules clarify that retail businesses can count Sunday and holiday hours towards overtime calculations, impacting how premium pay is administered during those periods.</w:t>
      </w:r>
    </w:p>
    <w:p w14:paraId="68D4ACA1"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41EF9B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 xml:space="preserve">Effective August 17, 2025, the DLT regulation, </w:t>
      </w:r>
      <w:r w:rsidRPr="00DD7BD1">
        <w:rPr>
          <w:rFonts w:cs="Calibri"/>
          <w:color w:val="2D74B5"/>
          <w:w w:val="110"/>
          <w:szCs w:val="22"/>
        </w:rPr>
        <w:t>“</w:t>
      </w:r>
      <w:hyperlink r:id="rId1024">
        <w:r w:rsidRPr="00DD7BD1">
          <w:rPr>
            <w:rFonts w:cs="Calibri"/>
            <w:color w:val="0000FF"/>
            <w:w w:val="110"/>
            <w:szCs w:val="22"/>
            <w:u w:val="single" w:color="0000FF"/>
          </w:rPr>
          <w:t>Payment of Wages, Employer Exemptions from Weekly Pay, and</w:t>
        </w:r>
      </w:hyperlink>
      <w:r w:rsidRPr="00DD7BD1">
        <w:rPr>
          <w:rFonts w:cs="Calibri"/>
          <w:color w:val="0000FF"/>
          <w:w w:val="110"/>
          <w:szCs w:val="22"/>
        </w:rPr>
        <w:t xml:space="preserve"> </w:t>
      </w:r>
      <w:hyperlink r:id="rId1025">
        <w:r w:rsidRPr="00DD7BD1">
          <w:rPr>
            <w:rFonts w:cs="Calibri"/>
            <w:color w:val="0000FF"/>
            <w:w w:val="110"/>
            <w:szCs w:val="22"/>
            <w:u w:val="single" w:color="0000FF"/>
          </w:rPr>
          <w:t>Exemptions</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for</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Work</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on</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Holidays</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and</w:t>
        </w:r>
        <w:r w:rsidRPr="00DD7BD1">
          <w:rPr>
            <w:rFonts w:cs="Calibri"/>
            <w:color w:val="0000FF"/>
            <w:spacing w:val="-12"/>
            <w:w w:val="110"/>
            <w:szCs w:val="22"/>
            <w:u w:val="single" w:color="0000FF"/>
          </w:rPr>
          <w:t xml:space="preserve"> </w:t>
        </w:r>
        <w:r w:rsidRPr="00DD7BD1">
          <w:rPr>
            <w:rFonts w:cs="Calibri"/>
            <w:color w:val="0000FF"/>
            <w:w w:val="110"/>
            <w:szCs w:val="22"/>
            <w:u w:val="single" w:color="0000FF"/>
          </w:rPr>
          <w:t>Sundays</w:t>
        </w:r>
      </w:hyperlink>
      <w:r w:rsidRPr="00DD7BD1">
        <w:rPr>
          <w:rFonts w:cs="Calibri"/>
          <w:color w:val="2D74B5"/>
          <w:w w:val="110"/>
          <w:szCs w:val="22"/>
        </w:rPr>
        <w:t>,”</w:t>
      </w:r>
      <w:r w:rsidRPr="00DD7BD1">
        <w:rPr>
          <w:rFonts w:cs="Calibri"/>
          <w:color w:val="2D74B5"/>
          <w:spacing w:val="-11"/>
          <w:w w:val="110"/>
          <w:szCs w:val="22"/>
        </w:rPr>
        <w:t xml:space="preserve"> </w:t>
      </w:r>
      <w:r w:rsidRPr="00DD7BD1">
        <w:rPr>
          <w:rFonts w:cs="Calibri"/>
          <w:color w:val="auto"/>
          <w:w w:val="110"/>
          <w:szCs w:val="22"/>
        </w:rPr>
        <w:t>(260-RICR-30-05-2)</w:t>
      </w:r>
      <w:r w:rsidRPr="00DD7BD1">
        <w:rPr>
          <w:rFonts w:cs="Calibri"/>
          <w:color w:val="auto"/>
          <w:spacing w:val="-12"/>
          <w:w w:val="110"/>
          <w:szCs w:val="22"/>
        </w:rPr>
        <w:t xml:space="preserve"> </w:t>
      </w:r>
      <w:r w:rsidRPr="00DD7BD1">
        <w:rPr>
          <w:rFonts w:cs="Calibri"/>
          <w:color w:val="auto"/>
          <w:w w:val="110"/>
          <w:szCs w:val="22"/>
        </w:rPr>
        <w:t>outlines</w:t>
      </w:r>
      <w:r w:rsidRPr="00DD7BD1">
        <w:rPr>
          <w:rFonts w:cs="Calibri"/>
          <w:color w:val="auto"/>
          <w:spacing w:val="-11"/>
          <w:w w:val="110"/>
          <w:szCs w:val="22"/>
        </w:rPr>
        <w:t xml:space="preserve"> </w:t>
      </w:r>
      <w:r w:rsidRPr="00DD7BD1">
        <w:rPr>
          <w:rFonts w:cs="Calibri"/>
          <w:color w:val="auto"/>
          <w:w w:val="110"/>
          <w:szCs w:val="22"/>
        </w:rPr>
        <w:t>rules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procedures</w:t>
      </w:r>
      <w:r w:rsidRPr="00DD7BD1">
        <w:rPr>
          <w:rFonts w:cs="Calibri"/>
          <w:color w:val="auto"/>
          <w:spacing w:val="-8"/>
          <w:w w:val="110"/>
          <w:szCs w:val="22"/>
        </w:rPr>
        <w:t xml:space="preserve"> </w:t>
      </w:r>
      <w:r w:rsidRPr="00DD7BD1">
        <w:rPr>
          <w:rFonts w:cs="Calibri"/>
          <w:color w:val="auto"/>
          <w:w w:val="110"/>
          <w:szCs w:val="22"/>
        </w:rPr>
        <w:t>related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 payment of wages, exemptions from weekly pay requirements, and exemptions from premium pay for work on Sundays and holidays.</w:t>
      </w:r>
    </w:p>
    <w:p w14:paraId="203E4545"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0FF41D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rules</w:t>
      </w:r>
      <w:r w:rsidRPr="00DD7BD1">
        <w:rPr>
          <w:rFonts w:cs="Calibri"/>
          <w:color w:val="auto"/>
          <w:spacing w:val="-11"/>
          <w:w w:val="110"/>
          <w:szCs w:val="22"/>
        </w:rPr>
        <w:t xml:space="preserve"> </w:t>
      </w:r>
      <w:r w:rsidRPr="00DD7BD1">
        <w:rPr>
          <w:rFonts w:cs="Calibri"/>
          <w:color w:val="auto"/>
          <w:w w:val="110"/>
          <w:szCs w:val="22"/>
        </w:rPr>
        <w:t>define</w:t>
      </w:r>
      <w:r w:rsidRPr="00DD7BD1">
        <w:rPr>
          <w:rFonts w:cs="Calibri"/>
          <w:color w:val="auto"/>
          <w:spacing w:val="-11"/>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businesses”</w:t>
      </w:r>
      <w:r w:rsidRPr="00DD7BD1">
        <w:rPr>
          <w:rFonts w:cs="Calibri"/>
          <w:color w:val="auto"/>
          <w:spacing w:val="-13"/>
          <w:w w:val="110"/>
          <w:szCs w:val="22"/>
        </w:rPr>
        <w:t xml:space="preserve"> </w:t>
      </w:r>
      <w:r w:rsidRPr="00DD7BD1">
        <w:rPr>
          <w:rFonts w:cs="Calibri"/>
          <w:color w:val="auto"/>
          <w:w w:val="110"/>
          <w:szCs w:val="22"/>
        </w:rPr>
        <w:t>as</w:t>
      </w:r>
      <w:r w:rsidRPr="00DD7BD1">
        <w:rPr>
          <w:rFonts w:cs="Calibri"/>
          <w:color w:val="auto"/>
          <w:spacing w:val="-14"/>
          <w:w w:val="110"/>
          <w:szCs w:val="22"/>
        </w:rPr>
        <w:t xml:space="preserve"> </w:t>
      </w:r>
      <w:r w:rsidRPr="00DD7BD1">
        <w:rPr>
          <w:rFonts w:cs="Calibri"/>
          <w:color w:val="auto"/>
          <w:w w:val="110"/>
          <w:szCs w:val="22"/>
        </w:rPr>
        <w:t>those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sell</w:t>
      </w:r>
      <w:r w:rsidRPr="00DD7BD1">
        <w:rPr>
          <w:rFonts w:cs="Calibri"/>
          <w:color w:val="auto"/>
          <w:spacing w:val="-14"/>
          <w:w w:val="110"/>
          <w:szCs w:val="22"/>
        </w:rPr>
        <w:t xml:space="preserve"> </w:t>
      </w:r>
      <w:r w:rsidRPr="00DD7BD1">
        <w:rPr>
          <w:rFonts w:cs="Calibri"/>
          <w:color w:val="auto"/>
          <w:w w:val="110"/>
          <w:szCs w:val="22"/>
        </w:rPr>
        <w:t>directly</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consumers</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not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3"/>
          <w:w w:val="110"/>
          <w:szCs w:val="22"/>
        </w:rPr>
        <w:t xml:space="preserve"> </w:t>
      </w:r>
      <w:r w:rsidRPr="00DD7BD1">
        <w:rPr>
          <w:rFonts w:cs="Calibri"/>
          <w:color w:val="auto"/>
          <w:w w:val="110"/>
          <w:szCs w:val="22"/>
        </w:rPr>
        <w:t xml:space="preserve">businesses. </w:t>
      </w:r>
      <w:r w:rsidRPr="00DD7BD1">
        <w:rPr>
          <w:rFonts w:cs="Calibri"/>
          <w:color w:val="auto"/>
          <w:spacing w:val="-2"/>
          <w:w w:val="115"/>
          <w:szCs w:val="22"/>
        </w:rPr>
        <w:t>This</w:t>
      </w:r>
      <w:r w:rsidRPr="00DD7BD1">
        <w:rPr>
          <w:rFonts w:cs="Calibri"/>
          <w:color w:val="auto"/>
          <w:spacing w:val="-12"/>
          <w:w w:val="115"/>
          <w:szCs w:val="22"/>
        </w:rPr>
        <w:t xml:space="preserve"> </w:t>
      </w:r>
      <w:r w:rsidRPr="00DD7BD1">
        <w:rPr>
          <w:rFonts w:cs="Calibri"/>
          <w:color w:val="auto"/>
          <w:spacing w:val="-2"/>
          <w:w w:val="115"/>
          <w:szCs w:val="22"/>
        </w:rPr>
        <w:t>distinction</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0"/>
          <w:w w:val="115"/>
          <w:szCs w:val="22"/>
        </w:rPr>
        <w:t xml:space="preserve"> </w:t>
      </w:r>
      <w:r w:rsidRPr="00DD7BD1">
        <w:rPr>
          <w:rFonts w:cs="Calibri"/>
          <w:color w:val="auto"/>
          <w:spacing w:val="-2"/>
          <w:w w:val="115"/>
          <w:szCs w:val="22"/>
        </w:rPr>
        <w:t>critical</w:t>
      </w:r>
      <w:r w:rsidRPr="00DD7BD1">
        <w:rPr>
          <w:rFonts w:cs="Calibri"/>
          <w:color w:val="auto"/>
          <w:spacing w:val="-13"/>
          <w:w w:val="115"/>
          <w:szCs w:val="22"/>
        </w:rPr>
        <w:t xml:space="preserve"> </w:t>
      </w:r>
      <w:r w:rsidRPr="00DD7BD1">
        <w:rPr>
          <w:rFonts w:cs="Calibri"/>
          <w:color w:val="auto"/>
          <w:spacing w:val="-2"/>
          <w:w w:val="115"/>
          <w:szCs w:val="22"/>
        </w:rPr>
        <w:t>for</w:t>
      </w:r>
      <w:r w:rsidRPr="00DD7BD1">
        <w:rPr>
          <w:rFonts w:cs="Calibri"/>
          <w:color w:val="auto"/>
          <w:spacing w:val="-12"/>
          <w:w w:val="115"/>
          <w:szCs w:val="22"/>
        </w:rPr>
        <w:t xml:space="preserve"> </w:t>
      </w:r>
      <w:r w:rsidRPr="00DD7BD1">
        <w:rPr>
          <w:rFonts w:cs="Calibri"/>
          <w:color w:val="auto"/>
          <w:spacing w:val="-2"/>
          <w:w w:val="115"/>
          <w:szCs w:val="22"/>
        </w:rPr>
        <w:t>calculating</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3"/>
          <w:w w:val="115"/>
          <w:szCs w:val="22"/>
        </w:rPr>
        <w:t xml:space="preserve"> </w:t>
      </w:r>
      <w:r w:rsidRPr="00DD7BD1">
        <w:rPr>
          <w:rFonts w:cs="Calibri"/>
          <w:color w:val="auto"/>
          <w:spacing w:val="-2"/>
          <w:w w:val="115"/>
          <w:szCs w:val="22"/>
        </w:rPr>
        <w:t>and</w:t>
      </w:r>
      <w:r w:rsidRPr="00DD7BD1">
        <w:rPr>
          <w:rFonts w:cs="Calibri"/>
          <w:color w:val="auto"/>
          <w:spacing w:val="-13"/>
          <w:w w:val="115"/>
          <w:szCs w:val="22"/>
        </w:rPr>
        <w:t xml:space="preserve"> </w:t>
      </w:r>
      <w:r w:rsidRPr="00DD7BD1">
        <w:rPr>
          <w:rFonts w:cs="Calibri"/>
          <w:color w:val="auto"/>
          <w:spacing w:val="-2"/>
          <w:w w:val="115"/>
          <w:szCs w:val="22"/>
        </w:rPr>
        <w:t>Sunday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4"/>
          <w:w w:val="115"/>
          <w:szCs w:val="22"/>
        </w:rPr>
        <w:t xml:space="preserve"> </w:t>
      </w:r>
      <w:r w:rsidRPr="00DD7BD1">
        <w:rPr>
          <w:rFonts w:cs="Calibri"/>
          <w:color w:val="auto"/>
          <w:spacing w:val="-2"/>
          <w:w w:val="115"/>
          <w:szCs w:val="22"/>
        </w:rPr>
        <w:t>holiday</w:t>
      </w:r>
      <w:r w:rsidRPr="00DD7BD1">
        <w:rPr>
          <w:rFonts w:cs="Calibri"/>
          <w:color w:val="auto"/>
          <w:spacing w:val="-13"/>
          <w:w w:val="115"/>
          <w:szCs w:val="22"/>
        </w:rPr>
        <w:t xml:space="preserve"> </w:t>
      </w:r>
      <w:r w:rsidRPr="00DD7BD1">
        <w:rPr>
          <w:rFonts w:cs="Calibri"/>
          <w:color w:val="auto"/>
          <w:spacing w:val="-2"/>
          <w:w w:val="115"/>
          <w:szCs w:val="22"/>
        </w:rPr>
        <w:t>pay,</w:t>
      </w:r>
      <w:r w:rsidRPr="00DD7BD1">
        <w:rPr>
          <w:rFonts w:cs="Calibri"/>
          <w:color w:val="auto"/>
          <w:spacing w:val="-14"/>
          <w:w w:val="115"/>
          <w:szCs w:val="22"/>
        </w:rPr>
        <w:t xml:space="preserve"> </w:t>
      </w:r>
      <w:r w:rsidRPr="00DD7BD1">
        <w:rPr>
          <w:rFonts w:cs="Calibri"/>
          <w:color w:val="auto"/>
          <w:spacing w:val="-2"/>
          <w:w w:val="115"/>
          <w:szCs w:val="22"/>
        </w:rPr>
        <w:t>as</w:t>
      </w:r>
      <w:r w:rsidRPr="00DD7BD1">
        <w:rPr>
          <w:rFonts w:cs="Calibri"/>
          <w:color w:val="auto"/>
          <w:spacing w:val="-13"/>
          <w:w w:val="115"/>
          <w:szCs w:val="22"/>
        </w:rPr>
        <w:t xml:space="preserve"> </w:t>
      </w:r>
      <w:r w:rsidRPr="00DD7BD1">
        <w:rPr>
          <w:rFonts w:cs="Calibri"/>
          <w:color w:val="auto"/>
          <w:spacing w:val="-2"/>
          <w:w w:val="115"/>
          <w:szCs w:val="22"/>
        </w:rPr>
        <w:t>retail</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2"/>
          <w:w w:val="115"/>
          <w:szCs w:val="22"/>
        </w:rPr>
        <w:t xml:space="preserve"> </w:t>
      </w:r>
      <w:r w:rsidRPr="00DD7BD1">
        <w:rPr>
          <w:rFonts w:cs="Calibri"/>
          <w:color w:val="auto"/>
          <w:spacing w:val="-2"/>
          <w:w w:val="115"/>
          <w:szCs w:val="22"/>
        </w:rPr>
        <w:t>are</w:t>
      </w:r>
      <w:r w:rsidRPr="00DD7BD1">
        <w:rPr>
          <w:rFonts w:cs="Calibri"/>
          <w:color w:val="auto"/>
          <w:spacing w:val="-11"/>
          <w:w w:val="115"/>
          <w:szCs w:val="22"/>
        </w:rPr>
        <w:t xml:space="preserve"> </w:t>
      </w:r>
      <w:r w:rsidRPr="00DD7BD1">
        <w:rPr>
          <w:rFonts w:cs="Calibri"/>
          <w:color w:val="auto"/>
          <w:spacing w:val="-2"/>
          <w:w w:val="115"/>
          <w:szCs w:val="22"/>
        </w:rPr>
        <w:t>allowed</w:t>
      </w:r>
      <w:r w:rsidRPr="00DD7BD1">
        <w:rPr>
          <w:rFonts w:cs="Calibri"/>
          <w:color w:val="auto"/>
          <w:spacing w:val="-13"/>
          <w:w w:val="115"/>
          <w:szCs w:val="22"/>
        </w:rPr>
        <w:t xml:space="preserve"> </w:t>
      </w:r>
      <w:r w:rsidRPr="00DD7BD1">
        <w:rPr>
          <w:rFonts w:cs="Calibri"/>
          <w:color w:val="auto"/>
          <w:spacing w:val="-2"/>
          <w:w w:val="115"/>
          <w:szCs w:val="22"/>
        </w:rPr>
        <w:t>to count</w:t>
      </w:r>
      <w:r w:rsidRPr="00DD7BD1">
        <w:rPr>
          <w:rFonts w:cs="Calibri"/>
          <w:color w:val="auto"/>
          <w:spacing w:val="-10"/>
          <w:w w:val="115"/>
          <w:szCs w:val="22"/>
        </w:rPr>
        <w:t xml:space="preserve"> </w:t>
      </w:r>
      <w:r w:rsidRPr="00DD7BD1">
        <w:rPr>
          <w:rFonts w:cs="Calibri"/>
          <w:color w:val="auto"/>
          <w:spacing w:val="-2"/>
          <w:w w:val="115"/>
          <w:szCs w:val="22"/>
        </w:rPr>
        <w:t>Sunday</w:t>
      </w:r>
      <w:r w:rsidRPr="00DD7BD1">
        <w:rPr>
          <w:rFonts w:cs="Calibri"/>
          <w:color w:val="auto"/>
          <w:spacing w:val="-12"/>
          <w:w w:val="115"/>
          <w:szCs w:val="22"/>
        </w:rPr>
        <w:t xml:space="preserve"> </w:t>
      </w:r>
      <w:r w:rsidRPr="00DD7BD1">
        <w:rPr>
          <w:rFonts w:cs="Calibri"/>
          <w:color w:val="auto"/>
          <w:spacing w:val="-2"/>
          <w:w w:val="115"/>
          <w:szCs w:val="22"/>
        </w:rPr>
        <w:t>and</w:t>
      </w:r>
      <w:r w:rsidRPr="00DD7BD1">
        <w:rPr>
          <w:rFonts w:cs="Calibri"/>
          <w:color w:val="auto"/>
          <w:spacing w:val="-11"/>
          <w:w w:val="115"/>
          <w:szCs w:val="22"/>
        </w:rPr>
        <w:t xml:space="preserve"> </w:t>
      </w:r>
      <w:r w:rsidRPr="00DD7BD1">
        <w:rPr>
          <w:rFonts w:cs="Calibri"/>
          <w:color w:val="auto"/>
          <w:spacing w:val="-2"/>
          <w:w w:val="115"/>
          <w:szCs w:val="22"/>
        </w:rPr>
        <w:t>holiday</w:t>
      </w:r>
      <w:r w:rsidRPr="00DD7BD1">
        <w:rPr>
          <w:rFonts w:cs="Calibri"/>
          <w:color w:val="auto"/>
          <w:spacing w:val="-10"/>
          <w:w w:val="115"/>
          <w:szCs w:val="22"/>
        </w:rPr>
        <w:t xml:space="preserve"> </w:t>
      </w:r>
      <w:r w:rsidRPr="00DD7BD1">
        <w:rPr>
          <w:rFonts w:cs="Calibri"/>
          <w:color w:val="auto"/>
          <w:spacing w:val="-2"/>
          <w:w w:val="115"/>
          <w:szCs w:val="22"/>
        </w:rPr>
        <w:t>pay</w:t>
      </w:r>
      <w:r w:rsidRPr="00DD7BD1">
        <w:rPr>
          <w:rFonts w:cs="Calibri"/>
          <w:color w:val="auto"/>
          <w:spacing w:val="-12"/>
          <w:w w:val="115"/>
          <w:szCs w:val="22"/>
        </w:rPr>
        <w:t xml:space="preserve"> </w:t>
      </w:r>
      <w:r w:rsidRPr="00DD7BD1">
        <w:rPr>
          <w:rFonts w:cs="Calibri"/>
          <w:color w:val="auto"/>
          <w:spacing w:val="-2"/>
          <w:w w:val="115"/>
          <w:szCs w:val="22"/>
        </w:rPr>
        <w:t>against</w:t>
      </w:r>
      <w:r w:rsidRPr="00DD7BD1">
        <w:rPr>
          <w:rFonts w:cs="Calibri"/>
          <w:color w:val="auto"/>
          <w:spacing w:val="-11"/>
          <w:w w:val="115"/>
          <w:szCs w:val="22"/>
        </w:rPr>
        <w:t xml:space="preserve"> </w:t>
      </w:r>
      <w:r w:rsidRPr="00DD7BD1">
        <w:rPr>
          <w:rFonts w:cs="Calibri"/>
          <w:color w:val="auto"/>
          <w:spacing w:val="-2"/>
          <w:w w:val="115"/>
          <w:szCs w:val="22"/>
        </w:rPr>
        <w:t>any</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2"/>
          <w:w w:val="115"/>
          <w:szCs w:val="22"/>
        </w:rPr>
        <w:t xml:space="preserve"> </w:t>
      </w:r>
      <w:r w:rsidRPr="00DD7BD1">
        <w:rPr>
          <w:rFonts w:cs="Calibri"/>
          <w:color w:val="auto"/>
          <w:spacing w:val="-2"/>
          <w:w w:val="115"/>
          <w:szCs w:val="22"/>
        </w:rPr>
        <w:t>hours</w:t>
      </w:r>
      <w:r w:rsidRPr="00DD7BD1">
        <w:rPr>
          <w:rFonts w:cs="Calibri"/>
          <w:color w:val="auto"/>
          <w:spacing w:val="-10"/>
          <w:w w:val="115"/>
          <w:szCs w:val="22"/>
        </w:rPr>
        <w:t xml:space="preserve"> </w:t>
      </w:r>
      <w:r w:rsidRPr="00DD7BD1">
        <w:rPr>
          <w:rFonts w:cs="Calibri"/>
          <w:color w:val="auto"/>
          <w:spacing w:val="-2"/>
          <w:w w:val="115"/>
          <w:szCs w:val="22"/>
        </w:rPr>
        <w:t>worked.</w:t>
      </w:r>
    </w:p>
    <w:p w14:paraId="232D7108" w14:textId="77777777" w:rsidR="003D0CE0" w:rsidRPr="00DD7BD1" w:rsidRDefault="003D0CE0" w:rsidP="003D0CE0">
      <w:pPr>
        <w:pStyle w:val="Heading4"/>
        <w:spacing w:before="0"/>
        <w:ind w:right="-90"/>
        <w:rPr>
          <w:rFonts w:ascii="Calibri" w:hAnsi="Calibri" w:cs="Calibri"/>
          <w:i w:val="0"/>
          <w:iCs w:val="0"/>
          <w:color w:val="auto"/>
          <w:spacing w:val="-6"/>
          <w:sz w:val="16"/>
          <w:szCs w:val="16"/>
        </w:rPr>
      </w:pPr>
    </w:p>
    <w:p w14:paraId="21560884"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Definition of Retail Business</w:t>
      </w:r>
    </w:p>
    <w:p w14:paraId="7C9163CD"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 xml:space="preserve">The rules define “retail businesses” as establishments “engaged primarily in the sale of goods or services directly </w:t>
      </w:r>
      <w:r w:rsidRPr="00DD7BD1">
        <w:rPr>
          <w:rFonts w:cs="Calibri"/>
          <w:color w:val="auto"/>
          <w:szCs w:val="22"/>
        </w:rPr>
        <w:t xml:space="preserve">to the general public” and that “operate[] at the end of the distribution chain, selling in small quantities to the ultimate </w:t>
      </w:r>
      <w:r w:rsidRPr="00DD7BD1">
        <w:rPr>
          <w:rFonts w:cs="Calibri"/>
          <w:color w:val="auto"/>
          <w:w w:val="110"/>
          <w:szCs w:val="22"/>
        </w:rPr>
        <w:t>consumer in a manner consistent with other consumer goods and services.”</w:t>
      </w:r>
    </w:p>
    <w:p w14:paraId="70AEA3FC" w14:textId="77777777" w:rsidR="003D0CE0" w:rsidRPr="00DD7BD1" w:rsidRDefault="003D0CE0" w:rsidP="003D0CE0">
      <w:pPr>
        <w:pStyle w:val="BodyText"/>
        <w:spacing w:after="0" w:line="240" w:lineRule="auto"/>
        <w:ind w:right="-90"/>
        <w:jc w:val="left"/>
        <w:rPr>
          <w:rFonts w:cs="Calibri"/>
          <w:color w:val="auto"/>
          <w:sz w:val="16"/>
          <w:szCs w:val="16"/>
        </w:rPr>
      </w:pPr>
    </w:p>
    <w:p w14:paraId="76D5E5C4"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primarily</w:t>
      </w:r>
      <w:r w:rsidRPr="00DD7BD1">
        <w:rPr>
          <w:rFonts w:cs="Calibri"/>
          <w:color w:val="auto"/>
          <w:spacing w:val="-9"/>
          <w:w w:val="110"/>
          <w:szCs w:val="22"/>
        </w:rPr>
        <w:t xml:space="preserve"> </w:t>
      </w:r>
      <w:r w:rsidRPr="00DD7BD1">
        <w:rPr>
          <w:rFonts w:cs="Calibri"/>
          <w:color w:val="auto"/>
          <w:w w:val="110"/>
          <w:szCs w:val="22"/>
        </w:rPr>
        <w:t>prepare</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sell</w:t>
      </w:r>
      <w:r w:rsidRPr="00DD7BD1">
        <w:rPr>
          <w:rFonts w:cs="Calibri"/>
          <w:color w:val="auto"/>
          <w:spacing w:val="-11"/>
          <w:w w:val="110"/>
          <w:szCs w:val="22"/>
        </w:rPr>
        <w:t xml:space="preserve"> </w:t>
      </w:r>
      <w:r w:rsidRPr="00DD7BD1">
        <w:rPr>
          <w:rFonts w:cs="Calibri"/>
          <w:color w:val="auto"/>
          <w:w w:val="110"/>
          <w:szCs w:val="22"/>
        </w:rPr>
        <w:t>food</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immediate</w:t>
      </w:r>
      <w:r w:rsidRPr="00DD7BD1">
        <w:rPr>
          <w:rFonts w:cs="Calibri"/>
          <w:color w:val="auto"/>
          <w:spacing w:val="-9"/>
          <w:w w:val="110"/>
          <w:szCs w:val="22"/>
        </w:rPr>
        <w:t xml:space="preserve"> </w:t>
      </w:r>
      <w:r w:rsidRPr="00DD7BD1">
        <w:rPr>
          <w:rFonts w:cs="Calibri"/>
          <w:color w:val="auto"/>
          <w:w w:val="110"/>
          <w:szCs w:val="22"/>
        </w:rPr>
        <w:t>consumption”</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“wholesale</w:t>
      </w:r>
      <w:r w:rsidRPr="00DD7BD1">
        <w:rPr>
          <w:rFonts w:cs="Calibri"/>
          <w:color w:val="auto"/>
          <w:spacing w:val="-12"/>
          <w:w w:val="110"/>
          <w:szCs w:val="22"/>
        </w:rPr>
        <w:t xml:space="preserve"> </w:t>
      </w:r>
      <w:r w:rsidRPr="00DD7BD1">
        <w:rPr>
          <w:rFonts w:cs="Calibri"/>
          <w:color w:val="auto"/>
          <w:w w:val="110"/>
          <w:szCs w:val="22"/>
        </w:rPr>
        <w:t>operations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serve other businesses rather than individual consumers.”</w:t>
      </w:r>
    </w:p>
    <w:p w14:paraId="06DC8DB6" w14:textId="77777777" w:rsidR="003D0CE0" w:rsidRPr="00DD7BD1" w:rsidRDefault="003D0CE0" w:rsidP="003D0CE0">
      <w:pPr>
        <w:pStyle w:val="Heading4"/>
        <w:spacing w:before="0"/>
        <w:ind w:right="-90"/>
        <w:rPr>
          <w:rFonts w:ascii="Calibri" w:hAnsi="Calibri" w:cs="Calibri"/>
          <w:i w:val="0"/>
          <w:iCs w:val="0"/>
          <w:color w:val="auto"/>
          <w:w w:val="90"/>
          <w:sz w:val="16"/>
          <w:szCs w:val="16"/>
        </w:rPr>
      </w:pPr>
    </w:p>
    <w:p w14:paraId="56353C2F"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Overtime Pay Requirements</w:t>
      </w:r>
    </w:p>
    <w:p w14:paraId="5352B256"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color w:val="auto"/>
          <w:w w:val="110"/>
          <w:szCs w:val="22"/>
        </w:rPr>
        <w:t>Rhode</w:t>
      </w:r>
      <w:r w:rsidRPr="00DD7BD1">
        <w:rPr>
          <w:rFonts w:cs="Calibri"/>
          <w:color w:val="auto"/>
          <w:spacing w:val="-11"/>
          <w:w w:val="110"/>
          <w:szCs w:val="22"/>
        </w:rPr>
        <w:t xml:space="preserve"> </w:t>
      </w:r>
      <w:r w:rsidRPr="00DD7BD1">
        <w:rPr>
          <w:rFonts w:cs="Calibri"/>
          <w:color w:val="auto"/>
          <w:w w:val="110"/>
          <w:szCs w:val="22"/>
        </w:rPr>
        <w:t>Island</w:t>
      </w:r>
      <w:r w:rsidRPr="00DD7BD1">
        <w:rPr>
          <w:rFonts w:cs="Calibri"/>
          <w:color w:val="auto"/>
          <w:spacing w:val="-9"/>
          <w:w w:val="110"/>
          <w:szCs w:val="22"/>
        </w:rPr>
        <w:t xml:space="preserve"> </w:t>
      </w:r>
      <w:r w:rsidRPr="00DD7BD1">
        <w:rPr>
          <w:rFonts w:cs="Calibri"/>
          <w:color w:val="auto"/>
          <w:w w:val="110"/>
          <w:szCs w:val="22"/>
        </w:rPr>
        <w:t>law</w:t>
      </w:r>
      <w:r w:rsidRPr="00DD7BD1">
        <w:rPr>
          <w:rFonts w:cs="Calibri"/>
          <w:color w:val="auto"/>
          <w:spacing w:val="-10"/>
          <w:w w:val="110"/>
          <w:szCs w:val="22"/>
        </w:rPr>
        <w:t xml:space="preserve"> </w:t>
      </w:r>
      <w:r w:rsidRPr="00DD7BD1">
        <w:rPr>
          <w:rFonts w:cs="Calibri"/>
          <w:color w:val="auto"/>
          <w:w w:val="110"/>
          <w:szCs w:val="22"/>
        </w:rPr>
        <w:t>requires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nonexempt</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11"/>
          <w:w w:val="110"/>
          <w:szCs w:val="22"/>
        </w:rPr>
        <w:t xml:space="preserve"> </w:t>
      </w:r>
      <w:r w:rsidRPr="00DD7BD1">
        <w:rPr>
          <w:rFonts w:cs="Calibri"/>
          <w:color w:val="auto"/>
          <w:w w:val="110"/>
          <w:szCs w:val="22"/>
        </w:rPr>
        <w:t>one-and-a-half</w:t>
      </w:r>
      <w:r w:rsidRPr="00DD7BD1">
        <w:rPr>
          <w:rFonts w:cs="Calibri"/>
          <w:color w:val="auto"/>
          <w:spacing w:val="-9"/>
          <w:w w:val="110"/>
          <w:szCs w:val="22"/>
        </w:rPr>
        <w:t xml:space="preserve"> </w:t>
      </w:r>
      <w:r w:rsidRPr="00DD7BD1">
        <w:rPr>
          <w:rFonts w:cs="Calibri"/>
          <w:color w:val="auto"/>
          <w:w w:val="110"/>
          <w:szCs w:val="22"/>
        </w:rPr>
        <w:t>times</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10"/>
          <w:w w:val="110"/>
          <w:szCs w:val="22"/>
        </w:rPr>
        <w:t xml:space="preserve"> </w:t>
      </w:r>
      <w:r w:rsidRPr="00DD7BD1">
        <w:rPr>
          <w:rFonts w:cs="Calibri"/>
          <w:color w:val="auto"/>
          <w:w w:val="110"/>
          <w:szCs w:val="22"/>
        </w:rPr>
        <w:t>regular</w:t>
      </w:r>
      <w:r w:rsidRPr="00DD7BD1">
        <w:rPr>
          <w:rFonts w:cs="Calibri"/>
          <w:color w:val="auto"/>
          <w:spacing w:val="-10"/>
          <w:w w:val="110"/>
          <w:szCs w:val="22"/>
        </w:rPr>
        <w:t xml:space="preserve"> </w:t>
      </w:r>
      <w:r w:rsidRPr="00DD7BD1">
        <w:rPr>
          <w:rFonts w:cs="Calibri"/>
          <w:color w:val="auto"/>
          <w:w w:val="110"/>
          <w:szCs w:val="22"/>
        </w:rPr>
        <w:t>rate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 xml:space="preserve">any </w:t>
      </w:r>
      <w:r w:rsidRPr="00DD7BD1">
        <w:rPr>
          <w:rFonts w:cs="Calibri"/>
          <w:color w:val="auto"/>
          <w:szCs w:val="22"/>
        </w:rPr>
        <w:t xml:space="preserve">hours worked over forty in a week, which is consistent with the federal Fair Labor Standards Act (FLSA). Additionally,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entitled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premium</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3"/>
          <w:w w:val="110"/>
          <w:szCs w:val="22"/>
        </w:rPr>
        <w:t xml:space="preserve"> </w:t>
      </w:r>
      <w:r w:rsidRPr="00DD7BD1">
        <w:rPr>
          <w:rFonts w:cs="Calibri"/>
          <w:color w:val="auto"/>
          <w:w w:val="110"/>
          <w:szCs w:val="22"/>
        </w:rPr>
        <w:t>equal</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one-and-a-half</w:t>
      </w:r>
      <w:r w:rsidRPr="00DD7BD1">
        <w:rPr>
          <w:rFonts w:cs="Calibri"/>
          <w:color w:val="auto"/>
          <w:spacing w:val="-14"/>
          <w:w w:val="110"/>
          <w:szCs w:val="22"/>
        </w:rPr>
        <w:t xml:space="preserve"> </w:t>
      </w:r>
      <w:r w:rsidRPr="00DD7BD1">
        <w:rPr>
          <w:rFonts w:cs="Calibri"/>
          <w:color w:val="auto"/>
          <w:w w:val="110"/>
          <w:szCs w:val="22"/>
        </w:rPr>
        <w:t>times</w:t>
      </w:r>
      <w:r w:rsidRPr="00DD7BD1">
        <w:rPr>
          <w:rFonts w:cs="Calibri"/>
          <w:color w:val="auto"/>
          <w:spacing w:val="-12"/>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rate</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worked</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Sundays</w:t>
      </w:r>
      <w:r w:rsidRPr="00DD7BD1">
        <w:rPr>
          <w:rFonts w:cs="Calibri"/>
          <w:color w:val="auto"/>
          <w:spacing w:val="-12"/>
          <w:w w:val="110"/>
          <w:szCs w:val="22"/>
        </w:rPr>
        <w:t xml:space="preserve"> </w:t>
      </w:r>
      <w:r w:rsidRPr="00DD7BD1">
        <w:rPr>
          <w:rFonts w:cs="Calibri"/>
          <w:color w:val="auto"/>
          <w:w w:val="110"/>
          <w:szCs w:val="22"/>
        </w:rPr>
        <w:t xml:space="preserve">and </w:t>
      </w:r>
      <w:r w:rsidRPr="00DD7BD1">
        <w:rPr>
          <w:rFonts w:cs="Calibri"/>
          <w:color w:val="auto"/>
          <w:spacing w:val="-2"/>
          <w:w w:val="110"/>
          <w:szCs w:val="22"/>
        </w:rPr>
        <w:t>holidays.</w:t>
      </w:r>
    </w:p>
    <w:p w14:paraId="26907039" w14:textId="77777777" w:rsidR="003D0CE0" w:rsidRPr="00DD7BD1" w:rsidRDefault="003D0CE0" w:rsidP="003D0CE0">
      <w:pPr>
        <w:pStyle w:val="BodyText"/>
        <w:spacing w:after="0" w:line="240" w:lineRule="auto"/>
        <w:ind w:right="-90"/>
        <w:jc w:val="left"/>
        <w:rPr>
          <w:rFonts w:cs="Calibri"/>
          <w:color w:val="auto"/>
          <w:sz w:val="16"/>
          <w:szCs w:val="16"/>
        </w:rPr>
      </w:pPr>
    </w:p>
    <w:p w14:paraId="0E2E1287"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lastRenderedPageBreak/>
        <w:t>For</w:t>
      </w:r>
      <w:r w:rsidRPr="00DD7BD1">
        <w:rPr>
          <w:rFonts w:cs="Calibri"/>
          <w:color w:val="auto"/>
          <w:spacing w:val="-7"/>
          <w:w w:val="110"/>
          <w:szCs w:val="22"/>
        </w:rPr>
        <w:t xml:space="preserve"> </w:t>
      </w:r>
      <w:r w:rsidRPr="00DD7BD1">
        <w:rPr>
          <w:rFonts w:cs="Calibri"/>
          <w:color w:val="auto"/>
          <w:w w:val="110"/>
          <w:szCs w:val="22"/>
        </w:rPr>
        <w:t>most</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overtime</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Sunday</w:t>
      </w:r>
      <w:r w:rsidRPr="00DD7BD1">
        <w:rPr>
          <w:rFonts w:cs="Calibri"/>
          <w:color w:val="auto"/>
          <w:spacing w:val="-6"/>
          <w:w w:val="110"/>
          <w:szCs w:val="22"/>
        </w:rPr>
        <w:t xml:space="preserve"> </w:t>
      </w:r>
      <w:r w:rsidRPr="00DD7BD1">
        <w:rPr>
          <w:rFonts w:cs="Calibri"/>
          <w:color w:val="auto"/>
          <w:w w:val="110"/>
          <w:szCs w:val="22"/>
        </w:rPr>
        <w:t>holiday</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4"/>
          <w:w w:val="110"/>
          <w:szCs w:val="22"/>
        </w:rPr>
        <w:t xml:space="preserve"> </w:t>
      </w:r>
      <w:r w:rsidRPr="00DD7BD1">
        <w:rPr>
          <w:rFonts w:cs="Calibri"/>
          <w:color w:val="auto"/>
          <w:w w:val="110"/>
          <w:szCs w:val="22"/>
        </w:rPr>
        <w:t>are</w:t>
      </w:r>
      <w:r w:rsidRPr="00DD7BD1">
        <w:rPr>
          <w:rFonts w:cs="Calibri"/>
          <w:color w:val="auto"/>
          <w:spacing w:val="-4"/>
          <w:w w:val="110"/>
          <w:szCs w:val="22"/>
        </w:rPr>
        <w:t xml:space="preserve"> </w:t>
      </w:r>
      <w:r w:rsidRPr="00DD7BD1">
        <w:rPr>
          <w:rFonts w:cs="Calibri"/>
          <w:color w:val="auto"/>
          <w:w w:val="110"/>
          <w:szCs w:val="22"/>
        </w:rPr>
        <w:t>calculated</w:t>
      </w:r>
      <w:r w:rsidRPr="00DD7BD1">
        <w:rPr>
          <w:rFonts w:cs="Calibri"/>
          <w:color w:val="auto"/>
          <w:spacing w:val="-4"/>
          <w:w w:val="110"/>
          <w:szCs w:val="22"/>
        </w:rPr>
        <w:t xml:space="preserve"> </w:t>
      </w:r>
      <w:r w:rsidRPr="00DD7BD1">
        <w:rPr>
          <w:rFonts w:cs="Calibri"/>
          <w:color w:val="auto"/>
          <w:w w:val="110"/>
          <w:szCs w:val="22"/>
        </w:rPr>
        <w:t>separately,</w:t>
      </w:r>
      <w:r w:rsidRPr="00DD7BD1">
        <w:rPr>
          <w:rFonts w:cs="Calibri"/>
          <w:color w:val="auto"/>
          <w:spacing w:val="-7"/>
          <w:w w:val="110"/>
          <w:szCs w:val="22"/>
        </w:rPr>
        <w:t xml:space="preserve"> </w:t>
      </w:r>
      <w:r w:rsidRPr="00DD7BD1">
        <w:rPr>
          <w:rFonts w:cs="Calibri"/>
          <w:color w:val="auto"/>
          <w:w w:val="110"/>
          <w:szCs w:val="22"/>
        </w:rPr>
        <w:t>meaning</w:t>
      </w:r>
      <w:r w:rsidRPr="00DD7BD1">
        <w:rPr>
          <w:rFonts w:cs="Calibri"/>
          <w:color w:val="auto"/>
          <w:spacing w:val="-4"/>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may</w:t>
      </w:r>
      <w:r w:rsidRPr="00DD7BD1">
        <w:rPr>
          <w:rFonts w:cs="Calibri"/>
          <w:color w:val="auto"/>
          <w:spacing w:val="-6"/>
          <w:w w:val="110"/>
          <w:szCs w:val="22"/>
        </w:rPr>
        <w:t xml:space="preserve"> </w:t>
      </w:r>
      <w:r w:rsidRPr="00DD7BD1">
        <w:rPr>
          <w:rFonts w:cs="Calibri"/>
          <w:color w:val="auto"/>
          <w:w w:val="110"/>
          <w:szCs w:val="22"/>
        </w:rPr>
        <w:t xml:space="preserve">be </w:t>
      </w:r>
      <w:r w:rsidRPr="00DD7BD1">
        <w:rPr>
          <w:rFonts w:cs="Calibri"/>
          <w:color w:val="auto"/>
          <w:szCs w:val="22"/>
        </w:rPr>
        <w:t>required</w:t>
      </w:r>
      <w:r w:rsidRPr="00DD7BD1">
        <w:rPr>
          <w:rFonts w:cs="Calibri"/>
          <w:color w:val="auto"/>
          <w:spacing w:val="26"/>
          <w:szCs w:val="22"/>
        </w:rPr>
        <w:t xml:space="preserve"> </w:t>
      </w:r>
      <w:r w:rsidRPr="00DD7BD1">
        <w:rPr>
          <w:rFonts w:cs="Calibri"/>
          <w:color w:val="auto"/>
          <w:szCs w:val="22"/>
        </w:rPr>
        <w:t>to</w:t>
      </w:r>
      <w:r w:rsidRPr="00DD7BD1">
        <w:rPr>
          <w:rFonts w:cs="Calibri"/>
          <w:color w:val="auto"/>
          <w:spacing w:val="26"/>
          <w:szCs w:val="22"/>
        </w:rPr>
        <w:t xml:space="preserve"> </w:t>
      </w:r>
      <w:r w:rsidRPr="00DD7BD1">
        <w:rPr>
          <w:rFonts w:cs="Calibri"/>
          <w:color w:val="auto"/>
          <w:szCs w:val="22"/>
        </w:rPr>
        <w:t>pay</w:t>
      </w:r>
      <w:r w:rsidRPr="00DD7BD1">
        <w:rPr>
          <w:rFonts w:cs="Calibri"/>
          <w:color w:val="auto"/>
          <w:spacing w:val="26"/>
          <w:szCs w:val="22"/>
        </w:rPr>
        <w:t xml:space="preserve"> </w:t>
      </w:r>
      <w:r w:rsidRPr="00DD7BD1">
        <w:rPr>
          <w:rFonts w:cs="Calibri"/>
          <w:color w:val="auto"/>
          <w:szCs w:val="22"/>
        </w:rPr>
        <w:t>employees</w:t>
      </w:r>
      <w:r w:rsidRPr="00DD7BD1">
        <w:rPr>
          <w:rFonts w:cs="Calibri"/>
          <w:color w:val="auto"/>
          <w:spacing w:val="26"/>
          <w:szCs w:val="22"/>
        </w:rPr>
        <w:t xml:space="preserve"> </w:t>
      </w:r>
      <w:r w:rsidRPr="00DD7BD1">
        <w:rPr>
          <w:rFonts w:cs="Calibri"/>
          <w:color w:val="auto"/>
          <w:szCs w:val="22"/>
        </w:rPr>
        <w:t>both</w:t>
      </w:r>
      <w:r w:rsidRPr="00DD7BD1">
        <w:rPr>
          <w:rFonts w:cs="Calibri"/>
          <w:color w:val="auto"/>
          <w:spacing w:val="26"/>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4"/>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worked</w:t>
      </w:r>
      <w:r w:rsidRPr="00DD7BD1">
        <w:rPr>
          <w:rFonts w:cs="Calibri"/>
          <w:color w:val="auto"/>
          <w:spacing w:val="22"/>
          <w:szCs w:val="22"/>
        </w:rPr>
        <w:t xml:space="preserve"> </w:t>
      </w:r>
      <w:r w:rsidRPr="00DD7BD1">
        <w:rPr>
          <w:rFonts w:cs="Calibri"/>
          <w:color w:val="auto"/>
          <w:szCs w:val="22"/>
        </w:rPr>
        <w:t>over</w:t>
      </w:r>
      <w:r w:rsidRPr="00DD7BD1">
        <w:rPr>
          <w:rFonts w:cs="Calibri"/>
          <w:color w:val="auto"/>
          <w:spacing w:val="30"/>
          <w:szCs w:val="22"/>
        </w:rPr>
        <w:t xml:space="preserve"> </w:t>
      </w:r>
      <w:r w:rsidRPr="00DD7BD1">
        <w:rPr>
          <w:rFonts w:cs="Calibri"/>
          <w:color w:val="auto"/>
          <w:szCs w:val="22"/>
        </w:rPr>
        <w:t>forty</w:t>
      </w:r>
      <w:r w:rsidRPr="00DD7BD1">
        <w:rPr>
          <w:rFonts w:cs="Calibri"/>
          <w:color w:val="auto"/>
          <w:spacing w:val="20"/>
          <w:szCs w:val="22"/>
        </w:rPr>
        <w:t xml:space="preserve"> </w:t>
      </w:r>
      <w:r w:rsidRPr="00DD7BD1">
        <w:rPr>
          <w:rFonts w:cs="Calibri"/>
          <w:color w:val="auto"/>
          <w:szCs w:val="22"/>
        </w:rPr>
        <w:t>and</w:t>
      </w:r>
      <w:r w:rsidRPr="00DD7BD1">
        <w:rPr>
          <w:rFonts w:cs="Calibri"/>
          <w:color w:val="auto"/>
          <w:spacing w:val="30"/>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8"/>
          <w:szCs w:val="22"/>
        </w:rPr>
        <w:t xml:space="preserve"> </w:t>
      </w:r>
      <w:r w:rsidRPr="00DD7BD1">
        <w:rPr>
          <w:rFonts w:cs="Calibri"/>
          <w:color w:val="auto"/>
          <w:szCs w:val="22"/>
        </w:rPr>
        <w:t>any</w:t>
      </w:r>
      <w:r w:rsidRPr="00DD7BD1">
        <w:rPr>
          <w:rFonts w:cs="Calibri"/>
          <w:color w:val="auto"/>
          <w:spacing w:val="28"/>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 xml:space="preserve">worked </w:t>
      </w:r>
      <w:r w:rsidRPr="00DD7BD1">
        <w:rPr>
          <w:rFonts w:cs="Calibri"/>
          <w:color w:val="auto"/>
          <w:w w:val="110"/>
          <w:szCs w:val="22"/>
        </w:rPr>
        <w:t>on Sundays or holidays.</w:t>
      </w:r>
    </w:p>
    <w:p w14:paraId="18897407" w14:textId="77777777" w:rsidR="003D0CE0" w:rsidRPr="00DD7BD1" w:rsidRDefault="003D0CE0" w:rsidP="003D0CE0">
      <w:pPr>
        <w:pStyle w:val="BodyText"/>
        <w:spacing w:after="0" w:line="240" w:lineRule="auto"/>
        <w:ind w:right="-90"/>
        <w:jc w:val="left"/>
        <w:rPr>
          <w:rFonts w:cs="Calibri"/>
          <w:color w:val="auto"/>
          <w:sz w:val="16"/>
          <w:szCs w:val="16"/>
        </w:rPr>
      </w:pPr>
    </w:p>
    <w:p w14:paraId="6C34DFBF"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Retail</w:t>
      </w:r>
      <w:r w:rsidRPr="00DD7BD1">
        <w:rPr>
          <w:rFonts w:cs="Calibri"/>
          <w:color w:val="auto"/>
          <w:spacing w:val="-17"/>
          <w:w w:val="110"/>
          <w:szCs w:val="22"/>
        </w:rPr>
        <w:t xml:space="preserve"> </w:t>
      </w:r>
      <w:r w:rsidRPr="00DD7BD1">
        <w:rPr>
          <w:rFonts w:cs="Calibri"/>
          <w:color w:val="auto"/>
          <w:w w:val="110"/>
          <w:szCs w:val="22"/>
        </w:rPr>
        <w:t>businesses</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exempt</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6"/>
          <w:w w:val="110"/>
          <w:szCs w:val="22"/>
        </w:rPr>
        <w:t xml:space="preserve"> </w:t>
      </w:r>
      <w:r w:rsidRPr="00DD7BD1">
        <w:rPr>
          <w:rFonts w:cs="Calibri"/>
          <w:color w:val="auto"/>
          <w:w w:val="110"/>
          <w:szCs w:val="22"/>
        </w:rPr>
        <w:t>Sunday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holiday</w:t>
      </w:r>
      <w:r w:rsidRPr="00DD7BD1">
        <w:rPr>
          <w:rFonts w:cs="Calibri"/>
          <w:color w:val="auto"/>
          <w:spacing w:val="-17"/>
          <w:w w:val="110"/>
          <w:szCs w:val="22"/>
        </w:rPr>
        <w:t xml:space="preserve"> </w:t>
      </w:r>
      <w:r w:rsidRPr="00DD7BD1">
        <w:rPr>
          <w:rFonts w:cs="Calibri"/>
          <w:color w:val="auto"/>
          <w:w w:val="110"/>
          <w:szCs w:val="22"/>
        </w:rPr>
        <w:t>premium</w:t>
      </w:r>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6"/>
          <w:w w:val="110"/>
          <w:szCs w:val="22"/>
        </w:rPr>
        <w:t xml:space="preserve"> </w:t>
      </w:r>
      <w:r w:rsidRPr="00DD7BD1">
        <w:rPr>
          <w:rFonts w:cs="Calibri"/>
          <w:color w:val="auto"/>
          <w:w w:val="110"/>
          <w:szCs w:val="22"/>
        </w:rPr>
        <w:t>requirements,</w:t>
      </w:r>
      <w:r w:rsidRPr="00DD7BD1">
        <w:rPr>
          <w:rFonts w:cs="Calibri"/>
          <w:color w:val="auto"/>
          <w:spacing w:val="-17"/>
          <w:w w:val="110"/>
          <w:szCs w:val="22"/>
        </w:rPr>
        <w:t xml:space="preserve"> </w:t>
      </w:r>
      <w:r w:rsidRPr="00DD7BD1">
        <w:rPr>
          <w:rFonts w:cs="Calibri"/>
          <w:color w:val="auto"/>
          <w:w w:val="110"/>
          <w:szCs w:val="22"/>
        </w:rPr>
        <w:t>but</w:t>
      </w:r>
      <w:r w:rsidRPr="00DD7BD1">
        <w:rPr>
          <w:rFonts w:cs="Calibri"/>
          <w:color w:val="auto"/>
          <w:spacing w:val="-17"/>
          <w:w w:val="110"/>
          <w:szCs w:val="22"/>
        </w:rPr>
        <w:t xml:space="preserve"> </w:t>
      </w:r>
      <w:r w:rsidRPr="00DD7BD1">
        <w:rPr>
          <w:rFonts w:cs="Calibri"/>
          <w:color w:val="auto"/>
          <w:w w:val="110"/>
          <w:szCs w:val="22"/>
        </w:rPr>
        <w:t>they</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count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Sunday and</w:t>
      </w:r>
      <w:r w:rsidRPr="00DD7BD1">
        <w:rPr>
          <w:rFonts w:cs="Calibri"/>
          <w:color w:val="auto"/>
          <w:spacing w:val="-2"/>
          <w:w w:val="110"/>
          <w:szCs w:val="22"/>
        </w:rPr>
        <w:t xml:space="preserve"> </w:t>
      </w:r>
      <w:r w:rsidRPr="00DD7BD1">
        <w:rPr>
          <w:rFonts w:cs="Calibri"/>
          <w:color w:val="auto"/>
          <w:w w:val="110"/>
          <w:szCs w:val="22"/>
        </w:rPr>
        <w:t>holiday hours</w:t>
      </w:r>
      <w:r w:rsidRPr="00DD7BD1">
        <w:rPr>
          <w:rFonts w:cs="Calibri"/>
          <w:color w:val="auto"/>
          <w:spacing w:val="-2"/>
          <w:w w:val="110"/>
          <w:szCs w:val="22"/>
        </w:rPr>
        <w:t xml:space="preserve"> </w:t>
      </w:r>
      <w:r w:rsidRPr="00DD7BD1">
        <w:rPr>
          <w:rFonts w:cs="Calibri"/>
          <w:color w:val="auto"/>
          <w:w w:val="110"/>
          <w:szCs w:val="22"/>
        </w:rPr>
        <w:t>against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overtime</w:t>
      </w:r>
      <w:r w:rsidRPr="00DD7BD1">
        <w:rPr>
          <w:rFonts w:cs="Calibri"/>
          <w:color w:val="auto"/>
          <w:spacing w:val="-2"/>
          <w:w w:val="110"/>
          <w:szCs w:val="22"/>
        </w:rPr>
        <w:t xml:space="preserve"> </w:t>
      </w:r>
      <w:r w:rsidRPr="00DD7BD1">
        <w:rPr>
          <w:rFonts w:cs="Calibri"/>
          <w:color w:val="auto"/>
          <w:w w:val="110"/>
          <w:szCs w:val="22"/>
        </w:rPr>
        <w:t>hours.</w:t>
      </w:r>
      <w:r w:rsidRPr="00DD7BD1">
        <w:rPr>
          <w:rFonts w:cs="Calibri"/>
          <w:color w:val="auto"/>
          <w:spacing w:val="-1"/>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means an employee</w:t>
      </w:r>
      <w:r w:rsidRPr="00DD7BD1">
        <w:rPr>
          <w:rFonts w:cs="Calibri"/>
          <w:color w:val="auto"/>
          <w:spacing w:val="-4"/>
          <w:w w:val="110"/>
          <w:szCs w:val="22"/>
        </w:rPr>
        <w:t xml:space="preserve"> </w:t>
      </w:r>
      <w:r w:rsidRPr="00DD7BD1">
        <w:rPr>
          <w:rFonts w:cs="Calibri"/>
          <w:color w:val="auto"/>
          <w:w w:val="110"/>
          <w:szCs w:val="22"/>
        </w:rPr>
        <w:t>at</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retail</w:t>
      </w:r>
      <w:r w:rsidRPr="00DD7BD1">
        <w:rPr>
          <w:rFonts w:cs="Calibri"/>
          <w:color w:val="auto"/>
          <w:spacing w:val="-1"/>
          <w:w w:val="110"/>
          <w:szCs w:val="22"/>
        </w:rPr>
        <w:t xml:space="preserve"> </w:t>
      </w:r>
      <w:r w:rsidRPr="00DD7BD1">
        <w:rPr>
          <w:rFonts w:cs="Calibri"/>
          <w:color w:val="auto"/>
          <w:w w:val="110"/>
          <w:szCs w:val="22"/>
        </w:rPr>
        <w:t>business</w:t>
      </w:r>
      <w:r w:rsidRPr="00DD7BD1">
        <w:rPr>
          <w:rFonts w:cs="Calibri"/>
          <w:color w:val="auto"/>
          <w:spacing w:val="-1"/>
          <w:w w:val="110"/>
          <w:szCs w:val="22"/>
        </w:rPr>
        <w:t xml:space="preserve"> </w:t>
      </w:r>
      <w:r w:rsidRPr="00DD7BD1">
        <w:rPr>
          <w:rFonts w:cs="Calibri"/>
          <w:color w:val="auto"/>
          <w:w w:val="110"/>
          <w:szCs w:val="22"/>
        </w:rPr>
        <w:t>who</w:t>
      </w:r>
      <w:r w:rsidRPr="00DD7BD1">
        <w:rPr>
          <w:rFonts w:cs="Calibri"/>
          <w:color w:val="auto"/>
          <w:spacing w:val="-2"/>
          <w:w w:val="110"/>
          <w:szCs w:val="22"/>
        </w:rPr>
        <w:t xml:space="preserve"> </w:t>
      </w:r>
      <w:r w:rsidRPr="00DD7BD1">
        <w:rPr>
          <w:rFonts w:cs="Calibri"/>
          <w:color w:val="auto"/>
          <w:w w:val="110"/>
          <w:szCs w:val="22"/>
        </w:rPr>
        <w:t xml:space="preserve">works forty-eight </w:t>
      </w:r>
      <w:proofErr w:type="gramStart"/>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in</w:t>
      </w:r>
      <w:proofErr w:type="gramEnd"/>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week,</w:t>
      </w:r>
      <w:r w:rsidRPr="00DD7BD1">
        <w:rPr>
          <w:rFonts w:cs="Calibri"/>
          <w:color w:val="auto"/>
          <w:spacing w:val="-16"/>
          <w:w w:val="110"/>
          <w:szCs w:val="22"/>
        </w:rPr>
        <w:t xml:space="preserve"> </w:t>
      </w:r>
      <w:r w:rsidRPr="00DD7BD1">
        <w:rPr>
          <w:rFonts w:cs="Calibri"/>
          <w:color w:val="auto"/>
          <w:w w:val="110"/>
          <w:szCs w:val="22"/>
        </w:rPr>
        <w:t>including</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eight-hour</w:t>
      </w:r>
      <w:r w:rsidRPr="00DD7BD1">
        <w:rPr>
          <w:rFonts w:cs="Calibri"/>
          <w:color w:val="auto"/>
          <w:spacing w:val="-17"/>
          <w:w w:val="110"/>
          <w:szCs w:val="22"/>
        </w:rPr>
        <w:t xml:space="preserve"> </w:t>
      </w:r>
      <w:r w:rsidRPr="00DD7BD1">
        <w:rPr>
          <w:rFonts w:cs="Calibri"/>
          <w:color w:val="auto"/>
          <w:w w:val="110"/>
          <w:szCs w:val="22"/>
        </w:rPr>
        <w:t>shift</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Sunday,</w:t>
      </w:r>
      <w:r w:rsidRPr="00DD7BD1">
        <w:rPr>
          <w:rFonts w:cs="Calibri"/>
          <w:color w:val="auto"/>
          <w:spacing w:val="-15"/>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5"/>
          <w:w w:val="110"/>
          <w:szCs w:val="22"/>
        </w:rPr>
        <w:t xml:space="preserve"> </w:t>
      </w:r>
      <w:r w:rsidRPr="00DD7BD1">
        <w:rPr>
          <w:rFonts w:cs="Calibri"/>
          <w:color w:val="auto"/>
          <w:w w:val="110"/>
          <w:szCs w:val="22"/>
        </w:rPr>
        <w:t>entitled</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eight</w:t>
      </w:r>
      <w:r w:rsidRPr="00DD7BD1">
        <w:rPr>
          <w:rFonts w:cs="Calibri"/>
          <w:color w:val="auto"/>
          <w:spacing w:val="-17"/>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time-and-a-half</w:t>
      </w:r>
      <w:r w:rsidRPr="00DD7BD1">
        <w:rPr>
          <w:rFonts w:cs="Calibri"/>
          <w:color w:val="auto"/>
          <w:spacing w:val="-16"/>
          <w:w w:val="110"/>
          <w:szCs w:val="22"/>
        </w:rPr>
        <w:t xml:space="preserve"> </w:t>
      </w:r>
      <w:r w:rsidRPr="00DD7BD1">
        <w:rPr>
          <w:rFonts w:cs="Calibri"/>
          <w:color w:val="auto"/>
          <w:w w:val="110"/>
          <w:szCs w:val="22"/>
        </w:rPr>
        <w:t>pay covering both the overtime and Sunday premium.</w:t>
      </w:r>
    </w:p>
    <w:p w14:paraId="43788CDC" w14:textId="77777777" w:rsidR="003D0CE0" w:rsidRPr="00DD7BD1" w:rsidRDefault="003D0CE0" w:rsidP="003D0CE0">
      <w:pPr>
        <w:pStyle w:val="BodyText"/>
        <w:spacing w:after="0" w:line="240" w:lineRule="auto"/>
        <w:ind w:right="-90"/>
        <w:jc w:val="left"/>
        <w:rPr>
          <w:rFonts w:cs="Calibri"/>
          <w:color w:val="auto"/>
          <w:szCs w:val="22"/>
        </w:rPr>
      </w:pPr>
    </w:p>
    <w:p w14:paraId="02C0B21C" w14:textId="77777777" w:rsidR="003D0CE0" w:rsidRPr="00DD7BD1" w:rsidRDefault="003D0CE0" w:rsidP="003D0CE0">
      <w:pPr>
        <w:pStyle w:val="BodyText"/>
        <w:spacing w:after="0" w:line="240" w:lineRule="auto"/>
        <w:ind w:right="-180"/>
        <w:rPr>
          <w:rFonts w:cs="Calibri"/>
          <w:color w:val="auto"/>
          <w:szCs w:val="22"/>
        </w:rPr>
      </w:pP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exception</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retail</w:t>
      </w:r>
      <w:r w:rsidRPr="00DD7BD1">
        <w:rPr>
          <w:rFonts w:cs="Calibri"/>
          <w:color w:val="auto"/>
          <w:spacing w:val="-7"/>
          <w:w w:val="110"/>
          <w:szCs w:val="22"/>
        </w:rPr>
        <w:t xml:space="preserve"> </w:t>
      </w:r>
      <w:r w:rsidRPr="00DD7BD1">
        <w:rPr>
          <w:rFonts w:cs="Calibri"/>
          <w:color w:val="auto"/>
          <w:w w:val="110"/>
          <w:szCs w:val="22"/>
        </w:rPr>
        <w:t>workers</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collective</w:t>
      </w:r>
      <w:r w:rsidRPr="00DD7BD1">
        <w:rPr>
          <w:rFonts w:cs="Calibri"/>
          <w:color w:val="auto"/>
          <w:spacing w:val="-6"/>
          <w:w w:val="110"/>
          <w:szCs w:val="22"/>
        </w:rPr>
        <w:t xml:space="preserve"> </w:t>
      </w:r>
      <w:r w:rsidRPr="00DD7BD1">
        <w:rPr>
          <w:rFonts w:cs="Calibri"/>
          <w:color w:val="auto"/>
          <w:w w:val="110"/>
          <w:szCs w:val="22"/>
        </w:rPr>
        <w:t>bargaining</w:t>
      </w:r>
      <w:r w:rsidRPr="00DD7BD1">
        <w:rPr>
          <w:rFonts w:cs="Calibri"/>
          <w:color w:val="auto"/>
          <w:spacing w:val="-6"/>
          <w:w w:val="110"/>
          <w:szCs w:val="22"/>
        </w:rPr>
        <w:t xml:space="preserve"> </w:t>
      </w:r>
      <w:r w:rsidRPr="00DD7BD1">
        <w:rPr>
          <w:rFonts w:cs="Calibri"/>
          <w:color w:val="auto"/>
          <w:w w:val="110"/>
          <w:szCs w:val="22"/>
        </w:rPr>
        <w:t>agreement</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 for Sundays or holidays. In such cases, employers must comply with the terms of the agreement, even if they are otherwise exempt from premium pay requirements.</w:t>
      </w:r>
    </w:p>
    <w:p w14:paraId="2406D538" w14:textId="77777777" w:rsidR="003D0CE0" w:rsidRPr="00DD7BD1" w:rsidRDefault="003D0CE0" w:rsidP="00F972F4">
      <w:pPr>
        <w:spacing w:after="0" w:line="240" w:lineRule="auto"/>
        <w:jc w:val="center"/>
        <w:rPr>
          <w:rFonts w:ascii="Calibri" w:hAnsi="Calibri" w:cs="Calibri"/>
          <w:b/>
          <w:bCs/>
          <w:shd w:val="clear" w:color="auto" w:fill="FFFFFF"/>
          <w:lang w:val="en"/>
        </w:rPr>
      </w:pPr>
    </w:p>
    <w:p w14:paraId="70C541DD" w14:textId="369C44C4" w:rsidR="00F972F4" w:rsidRPr="00DD7BD1" w:rsidRDefault="00F972F4" w:rsidP="00F972F4">
      <w:pPr>
        <w:spacing w:after="0" w:line="240" w:lineRule="auto"/>
        <w:jc w:val="center"/>
        <w:rPr>
          <w:rFonts w:ascii="Calibri" w:hAnsi="Calibri" w:cs="Calibri"/>
          <w:b/>
          <w:bCs/>
          <w:color w:val="C00000"/>
          <w:shd w:val="clear" w:color="auto" w:fill="FFFFFF"/>
          <w:lang w:val="en"/>
        </w:rPr>
      </w:pPr>
      <w:r w:rsidRPr="00DD7BD1">
        <w:rPr>
          <w:rFonts w:ascii="Calibri" w:hAnsi="Calibri" w:cs="Calibri"/>
          <w:b/>
          <w:bCs/>
          <w:sz w:val="28"/>
          <w:szCs w:val="28"/>
          <w:shd w:val="clear" w:color="auto" w:fill="FFFFFF"/>
          <w:lang w:val="en"/>
        </w:rPr>
        <w:t xml:space="preserve">Accommodations for Menopause &amp; Expanded Protections for Race – </w:t>
      </w:r>
      <w:r w:rsidRPr="00DD7BD1">
        <w:rPr>
          <w:rFonts w:ascii="Calibri" w:hAnsi="Calibri" w:cs="Calibri"/>
          <w:b/>
          <w:bCs/>
          <w:color w:val="C00000"/>
          <w:sz w:val="28"/>
          <w:szCs w:val="28"/>
          <w:shd w:val="clear" w:color="auto" w:fill="FFFFFF"/>
          <w:lang w:val="en"/>
        </w:rPr>
        <w:t>Eff June 24, 2025</w:t>
      </w:r>
    </w:p>
    <w:p w14:paraId="5A7C9BF1"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laws below were passed recently and took immediate effect. They apply to </w:t>
      </w:r>
      <w:r w:rsidRPr="00DD7BD1">
        <w:rPr>
          <w:rFonts w:ascii="Calibri" w:hAnsi="Calibri" w:cs="Calibri"/>
          <w:b/>
          <w:bCs/>
          <w:u w:val="single"/>
          <w:shd w:val="clear" w:color="auto" w:fill="FFFFFF"/>
        </w:rPr>
        <w:t>employers with four (4) or more employees unless otherwise noted.</w:t>
      </w:r>
    </w:p>
    <w:p w14:paraId="797752AD"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1ABA6CA"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GROUNDBREAKING PROTECTIONS FOR MENOPAUSE</w:t>
      </w:r>
      <w:r w:rsidRPr="00DD7BD1">
        <w:rPr>
          <w:rFonts w:ascii="Calibri" w:hAnsi="Calibri" w:cs="Calibri"/>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1026"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35D4DCA0"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Updated Notice</w:t>
      </w:r>
      <w:r w:rsidRPr="00DD7BD1">
        <w:rPr>
          <w:rFonts w:ascii="Calibri" w:hAnsi="Calibri" w:cs="Calibri"/>
          <w:shd w:val="clear" w:color="auto" w:fill="FFFFFF"/>
        </w:rPr>
        <w:br/>
        <w:t>The reasonable accommodation amendment triggers an obligation for Rhode Island employers to display and distribute an </w:t>
      </w:r>
      <w:hyperlink r:id="rId1027" w:tgtFrame="_blank" w:history="1">
        <w:r w:rsidRPr="00DD7BD1">
          <w:rPr>
            <w:rStyle w:val="Hyperlink"/>
            <w:rFonts w:ascii="Calibri" w:hAnsi="Calibri" w:cs="Calibri"/>
            <w:shd w:val="clear" w:color="auto" w:fill="FFFFFF"/>
          </w:rPr>
          <w:t>updated Written Notice of Employee Rights</w:t>
        </w:r>
      </w:hyperlink>
      <w:r w:rsidRPr="00DD7BD1">
        <w:rPr>
          <w:rFonts w:ascii="Calibri" w:hAnsi="Calibri" w:cs="Calibri"/>
          <w:shd w:val="clear" w:color="auto" w:fill="FFFFFF"/>
        </w:rPr>
        <w:t>.</w:t>
      </w:r>
    </w:p>
    <w:p w14:paraId="4220AE8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AD37688" w14:textId="77777777" w:rsidR="00F972F4" w:rsidRPr="00DD7BD1" w:rsidRDefault="00F972F4" w:rsidP="00F972F4">
      <w:pPr>
        <w:spacing w:after="0" w:line="240" w:lineRule="auto"/>
        <w:rPr>
          <w:rFonts w:ascii="Calibri" w:hAnsi="Calibri" w:cs="Calibri"/>
          <w:sz w:val="23"/>
          <w:szCs w:val="23"/>
          <w:shd w:val="clear" w:color="auto" w:fill="FFFFFF"/>
        </w:rPr>
      </w:pPr>
      <w:r w:rsidRPr="00DD7BD1">
        <w:rPr>
          <w:rFonts w:ascii="Calibri" w:hAnsi="Calibri" w:cs="Calibri"/>
          <w:b/>
          <w:bCs/>
          <w:sz w:val="23"/>
          <w:szCs w:val="23"/>
          <w:shd w:val="clear" w:color="auto" w:fill="FFFFFF"/>
        </w:rPr>
        <w:t>ETC is releasing the applicable State Handbook Addendum reflective of a policy addressing such accommodations.</w:t>
      </w:r>
    </w:p>
    <w:p w14:paraId="1D774049" w14:textId="77777777" w:rsidR="00F972F4" w:rsidRPr="00DD7BD1" w:rsidRDefault="00F972F4" w:rsidP="00F972F4">
      <w:pPr>
        <w:spacing w:after="0" w:line="240" w:lineRule="auto"/>
        <w:rPr>
          <w:rFonts w:ascii="Calibri" w:hAnsi="Calibri" w:cs="Calibri"/>
          <w:b/>
          <w:bCs/>
          <w:sz w:val="23"/>
          <w:szCs w:val="23"/>
          <w:shd w:val="clear" w:color="auto" w:fill="FFFFFF"/>
        </w:rPr>
      </w:pPr>
    </w:p>
    <w:p w14:paraId="02E9F42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z w:val="23"/>
          <w:szCs w:val="23"/>
          <w:shd w:val="clear" w:color="auto" w:fill="FFFFFF"/>
        </w:rPr>
        <w:t>EXPANDED PROTECTIONS FOR RACE</w:t>
      </w:r>
      <w:r w:rsidRPr="00DD7BD1">
        <w:rPr>
          <w:rFonts w:ascii="Calibri" w:hAnsi="Calibri" w:cs="Calibri"/>
          <w:sz w:val="23"/>
          <w:szCs w:val="23"/>
          <w:shd w:val="clear" w:color="auto" w:fill="FFFFFF"/>
        </w:rPr>
        <w:br/>
      </w:r>
      <w:r w:rsidRPr="00DD7BD1">
        <w:rPr>
          <w:rFonts w:ascii="Calibri" w:hAnsi="Calibri" w:cs="Calibri"/>
          <w:shd w:val="clear" w:color="auto" w:fill="FFFFFF"/>
        </w:rPr>
        <w:t>The state now defines </w:t>
      </w:r>
      <w:r w:rsidRPr="00DD7BD1">
        <w:rPr>
          <w:rFonts w:ascii="Calibri" w:hAnsi="Calibri" w:cs="Calibri"/>
          <w:b/>
          <w:bCs/>
          <w:i/>
          <w:iCs/>
          <w:shd w:val="clear" w:color="auto" w:fill="FFFFFF"/>
        </w:rPr>
        <w:t>race </w:t>
      </w:r>
      <w:r w:rsidRPr="00DD7BD1">
        <w:rPr>
          <w:rFonts w:ascii="Calibri" w:hAnsi="Calibri" w:cs="Calibri"/>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466EAA62"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Takeaways:</w:t>
      </w:r>
    </w:p>
    <w:p w14:paraId="1E8B3AF5"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Review (and if needed, revise) your dress code, grooming, or appearance policies to ensure they don’t prohibit protected hairstyles or dress.</w:t>
      </w:r>
    </w:p>
    <w:p w14:paraId="61B135A6"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27CE47C6"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CAPTIVE AUDIENCE RESTRICTIONS</w:t>
      </w:r>
      <w:r w:rsidRPr="00DD7BD1">
        <w:rPr>
          <w:rFonts w:ascii="Calibri" w:hAnsi="Calibri" w:cs="Calibri"/>
          <w:shd w:val="clear" w:color="auto" w:fill="FFFFFF"/>
        </w:rPr>
        <w:br/>
        <w:t xml:space="preserve">Employers of all sizes can’t take—or threaten to take—adverse action against an employee to get them to attend, or for not attending, an employer-sponsored meeting if its primary purpose is to express the employer’s opinion on religious or political </w:t>
      </w:r>
      <w:r w:rsidRPr="00DD7BD1">
        <w:rPr>
          <w:rFonts w:ascii="Calibri" w:hAnsi="Calibri" w:cs="Calibri"/>
          <w:shd w:val="clear" w:color="auto" w:fill="FFFFFF"/>
        </w:rPr>
        <w:lastRenderedPageBreak/>
        <w:t>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DD7BD1" w:rsidRDefault="00F972F4" w:rsidP="00F972F4">
      <w:pPr>
        <w:spacing w:after="0" w:line="240" w:lineRule="auto"/>
        <w:rPr>
          <w:rFonts w:ascii="Calibri" w:hAnsi="Calibri" w:cs="Calibri"/>
          <w:sz w:val="16"/>
          <w:szCs w:val="16"/>
          <w:shd w:val="clear" w:color="auto" w:fill="FFFFFF"/>
        </w:rPr>
      </w:pPr>
    </w:p>
    <w:p w14:paraId="4C99144D"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contains several exceptions, </w:t>
      </w:r>
      <w:proofErr w:type="gramStart"/>
      <w:r w:rsidRPr="00DD7BD1">
        <w:rPr>
          <w:rFonts w:ascii="Calibri" w:hAnsi="Calibri" w:cs="Calibri"/>
          <w:shd w:val="clear" w:color="auto" w:fill="FFFFFF"/>
        </w:rPr>
        <w:t>including for</w:t>
      </w:r>
      <w:proofErr w:type="gramEnd"/>
      <w:r w:rsidRPr="00DD7BD1">
        <w:rPr>
          <w:rFonts w:ascii="Calibri" w:hAnsi="Calibri" w:cs="Calibri"/>
          <w:shd w:val="clear" w:color="auto" w:fill="FFFFFF"/>
        </w:rPr>
        <w:t xml:space="preserve"> communications that are legally mandated or essential for an employee’s job duties and many communications within religious institutions.</w:t>
      </w:r>
    </w:p>
    <w:p w14:paraId="27ACA198"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24C012F8"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NEW WRITTEN NOTICE – PAYMENT OF WAGES – </w:t>
      </w:r>
      <w:r w:rsidRPr="00DD7BD1">
        <w:rPr>
          <w:rFonts w:ascii="Calibri" w:hAnsi="Calibri" w:cs="Calibri"/>
          <w:b/>
          <w:bCs/>
          <w:color w:val="C00000"/>
          <w:shd w:val="clear" w:color="auto" w:fill="FFFFFF"/>
        </w:rPr>
        <w:t>Eff January 1, 2026</w:t>
      </w:r>
    </w:p>
    <w:p w14:paraId="77A48A42"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1028"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7E5901D4"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37A82BF6"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9AB3F4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policy on sick, vacation, personal leave, holidays, and hours;</w:t>
      </w:r>
    </w:p>
    <w:p w14:paraId="49A76880"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660CAF2"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3A56749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21C3940F"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1352F672" w14:textId="327F3C74"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DD7BD1" w:rsidRDefault="00E225CC" w:rsidP="000B6BCC">
      <w:pPr>
        <w:spacing w:after="0" w:line="240" w:lineRule="auto"/>
        <w:jc w:val="center"/>
        <w:rPr>
          <w:rFonts w:ascii="Calibri" w:hAnsi="Calibri" w:cs="Calibri"/>
          <w:b/>
          <w:bCs/>
          <w:sz w:val="16"/>
          <w:szCs w:val="16"/>
          <w:shd w:val="clear" w:color="auto" w:fill="FFFFFF"/>
        </w:rPr>
      </w:pPr>
    </w:p>
    <w:p w14:paraId="70E12296" w14:textId="56E2AFA0" w:rsidR="000B6BCC" w:rsidRPr="00DD7BD1" w:rsidRDefault="000B6BCC" w:rsidP="000B6B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Amends Its Temporary Caregiver Insurance (TCI) Law – </w:t>
      </w:r>
      <w:r w:rsidRPr="00DD7BD1">
        <w:rPr>
          <w:rFonts w:ascii="Calibri" w:hAnsi="Calibri" w:cs="Calibri"/>
          <w:b/>
          <w:bCs/>
          <w:color w:val="C00000"/>
          <w:sz w:val="28"/>
          <w:szCs w:val="28"/>
          <w:shd w:val="clear" w:color="auto" w:fill="FFFFFF"/>
        </w:rPr>
        <w:t>Jan 1, 202</w:t>
      </w:r>
      <w:r w:rsidR="002233EE">
        <w:rPr>
          <w:rFonts w:ascii="Calibri" w:hAnsi="Calibri" w:cs="Calibri"/>
          <w:b/>
          <w:bCs/>
          <w:color w:val="C00000"/>
          <w:sz w:val="28"/>
          <w:szCs w:val="28"/>
          <w:shd w:val="clear" w:color="auto" w:fill="FFFFFF"/>
        </w:rPr>
        <w:t>5 &amp; Jan 1, 2026</w:t>
      </w:r>
    </w:p>
    <w:p w14:paraId="07F8D11A" w14:textId="77777777" w:rsidR="000B6BCC" w:rsidRPr="00DD7BD1" w:rsidRDefault="000B6BCC" w:rsidP="000B6BCC">
      <w:pPr>
        <w:pStyle w:val="BodyText"/>
        <w:spacing w:after="0" w:line="240" w:lineRule="auto"/>
        <w:rPr>
          <w:rFonts w:cs="Calibri"/>
          <w:color w:val="auto"/>
        </w:rPr>
      </w:pPr>
      <w:r w:rsidRPr="00DD7BD1">
        <w:rPr>
          <w:rFonts w:cs="Calibri"/>
          <w:color w:val="auto"/>
        </w:rPr>
        <w:t xml:space="preserve">Rhode Island </w:t>
      </w:r>
      <w:bookmarkStart w:id="140" w:name="_Hlk184223062"/>
      <w:r w:rsidRPr="00DD7BD1">
        <w:rPr>
          <w:rFonts w:cs="Calibri"/>
          <w:color w:val="auto"/>
        </w:rPr>
        <w:t xml:space="preserve">amended its state temporary caregiver insurance (TCI) law </w:t>
      </w:r>
      <w:bookmarkStart w:id="141" w:name="_Hlk184223117"/>
      <w:bookmarkEnd w:id="140"/>
      <w:r w:rsidRPr="00DD7BD1">
        <w:rPr>
          <w:rFonts w:cs="Calibri"/>
        </w:rPr>
        <w:t>(</w:t>
      </w:r>
      <w:hyperlink r:id="rId1029" w:history="1">
        <w:r w:rsidRPr="00DD7BD1">
          <w:rPr>
            <w:rStyle w:val="Hyperlink"/>
            <w:rFonts w:cs="Calibri"/>
          </w:rPr>
          <w:t>HB 7171</w:t>
        </w:r>
      </w:hyperlink>
      <w:r w:rsidRPr="00DD7BD1">
        <w:rPr>
          <w:rFonts w:cs="Calibri"/>
        </w:rPr>
        <w:t>)</w:t>
      </w:r>
      <w:bookmarkEnd w:id="141"/>
      <w:r w:rsidRPr="00DD7BD1">
        <w:rPr>
          <w:rFonts w:cs="Calibri"/>
        </w:rPr>
        <w:t xml:space="preserve"> </w:t>
      </w:r>
      <w:r w:rsidRPr="00DD7BD1">
        <w:rPr>
          <w:rFonts w:cs="Calibri"/>
          <w:color w:val="auto"/>
        </w:rPr>
        <w:t xml:space="preserve">to provide extra paid leave for eligible workers. The additional allowance will be phased in over two years, with seven weeks of leave becoming available on Jan. 1, 2025, and </w:t>
      </w:r>
      <w:r w:rsidRPr="002233EE">
        <w:rPr>
          <w:rFonts w:cs="Calibri"/>
          <w:b/>
          <w:bCs/>
          <w:color w:val="EE0000"/>
        </w:rPr>
        <w:t>eight weeks available on Jan. 1, 2026</w:t>
      </w:r>
      <w:r w:rsidRPr="00DD7BD1">
        <w:rPr>
          <w:rFonts w:cs="Calibri"/>
          <w:color w:val="auto"/>
        </w:rPr>
        <w:t xml:space="preserve">. The amendments also increase the dependents’ allowance for recipients of TCI and temporary disability insurance (TDI).  </w:t>
      </w:r>
    </w:p>
    <w:p w14:paraId="6F7A889E" w14:textId="77777777" w:rsidR="000B6BCC" w:rsidRPr="00DD7BD1" w:rsidRDefault="000B6BCC" w:rsidP="000B6BCC">
      <w:pPr>
        <w:pStyle w:val="BodyText"/>
        <w:spacing w:after="0" w:line="240" w:lineRule="auto"/>
        <w:rPr>
          <w:rFonts w:cs="Calibri"/>
          <w:color w:val="auto"/>
        </w:rPr>
      </w:pPr>
    </w:p>
    <w:p w14:paraId="4AD7FBC0" w14:textId="77777777" w:rsidR="000B6BCC" w:rsidRPr="00DD7BD1" w:rsidRDefault="000B6BCC" w:rsidP="000B6BCC">
      <w:pPr>
        <w:pStyle w:val="BodyText"/>
        <w:spacing w:after="0" w:line="240" w:lineRule="auto"/>
        <w:rPr>
          <w:rFonts w:cs="Calibri"/>
          <w:color w:val="auto"/>
        </w:rPr>
      </w:pPr>
      <w:r w:rsidRPr="00DD7BD1">
        <w:rPr>
          <w:rFonts w:cs="Calibri"/>
          <w:color w:val="auto"/>
        </w:rPr>
        <w:t>TDI is income support for individuals out of work for non-</w:t>
      </w:r>
      <w:proofErr w:type="gramStart"/>
      <w:r w:rsidRPr="00DD7BD1">
        <w:rPr>
          <w:rFonts w:cs="Calibri"/>
          <w:color w:val="auto"/>
        </w:rPr>
        <w:t>work related</w:t>
      </w:r>
      <w:proofErr w:type="gramEnd"/>
      <w:r w:rsidRPr="00DD7BD1">
        <w:rPr>
          <w:rFonts w:cs="Calibri"/>
          <w:color w:val="auto"/>
        </w:rPr>
        <w:t xml:space="preserve"> illness or injury; TCI is income support (up to 6 weeks, </w:t>
      </w:r>
      <w:proofErr w:type="gramStart"/>
      <w:r w:rsidRPr="00DD7BD1">
        <w:rPr>
          <w:rFonts w:cs="Calibri"/>
          <w:color w:val="auto"/>
        </w:rPr>
        <w:t>pre Jan 1, 2025</w:t>
      </w:r>
      <w:proofErr w:type="gramEnd"/>
      <w:r w:rsidRPr="00DD7BD1">
        <w:rPr>
          <w:rFonts w:cs="Calibri"/>
          <w:color w:val="auto"/>
        </w:rPr>
        <w:t>) for individuals out of work to care for seriously ill child, spouse, domestic partner, parent, parent-in-law, or grandparent, or to bond with a newborn child, adopted child or foster child. TDI/TCI are financed entirely by payroll deductions. Employees receiving TCI while out on leave cannot continue to work and take leave on an intermittent basis, but they must remain out on leave for the entire duration of the leave period to collect benefits.</w:t>
      </w:r>
    </w:p>
    <w:p w14:paraId="5AE1D362" w14:textId="77777777" w:rsidR="000B6BCC" w:rsidRPr="00DD7BD1" w:rsidRDefault="000B6BCC" w:rsidP="000B6BCC">
      <w:pPr>
        <w:pStyle w:val="BodyText"/>
        <w:spacing w:after="0" w:line="240" w:lineRule="auto"/>
        <w:rPr>
          <w:rFonts w:cs="Calibri"/>
          <w:color w:val="auto"/>
        </w:rPr>
      </w:pPr>
    </w:p>
    <w:p w14:paraId="24774041" w14:textId="77777777" w:rsidR="000B6BCC" w:rsidRPr="00DD7BD1" w:rsidRDefault="000B6BCC" w:rsidP="000B6BCC">
      <w:pPr>
        <w:pStyle w:val="BodyText"/>
        <w:spacing w:after="0" w:line="240" w:lineRule="auto"/>
        <w:rPr>
          <w:rStyle w:val="Hyperlink"/>
          <w:rFonts w:cs="Calibri"/>
          <w:color w:val="auto"/>
          <w:u w:val="none"/>
        </w:rPr>
      </w:pPr>
      <w:r w:rsidRPr="00DD7BD1">
        <w:rPr>
          <w:rFonts w:cs="Calibri"/>
          <w:color w:val="auto"/>
        </w:rPr>
        <w:t xml:space="preserve">Enacted in 2014, Rhode Island’s TCI program currently provides eligible claimants with up to six weeks of paid leave to care for a seriously ill child, spouse, domestic partner, parent, parent-in-law or grandparent, or to bond with a newborn child or new adopted or foster-care child.   Learn more at the </w:t>
      </w:r>
      <w:hyperlink r:id="rId1030" w:history="1">
        <w:r w:rsidRPr="00DD7BD1">
          <w:rPr>
            <w:rStyle w:val="Hyperlink"/>
            <w:rFonts w:cs="Calibri"/>
          </w:rPr>
          <w:t>RI Department of Labor TDI/TCI For Employer Webpage</w:t>
        </w:r>
      </w:hyperlink>
      <w:r w:rsidRPr="00DD7BD1">
        <w:rPr>
          <w:rFonts w:cs="Calibri"/>
          <w:color w:val="auto"/>
        </w:rPr>
        <w:t xml:space="preserve"> </w:t>
      </w:r>
    </w:p>
    <w:p w14:paraId="688C43D3" w14:textId="77777777" w:rsidR="000B6BCC" w:rsidRPr="00DD7BD1" w:rsidRDefault="000B6BCC" w:rsidP="00BF388B">
      <w:pPr>
        <w:spacing w:after="0" w:line="240" w:lineRule="auto"/>
        <w:jc w:val="center"/>
        <w:rPr>
          <w:rFonts w:ascii="Calibri" w:hAnsi="Calibri" w:cs="Calibri"/>
          <w:b/>
          <w:bCs/>
          <w:shd w:val="clear" w:color="auto" w:fill="FFFFFF"/>
          <w:lang w:val="en"/>
        </w:rPr>
      </w:pPr>
    </w:p>
    <w:p w14:paraId="1AE1E069" w14:textId="742FCB04" w:rsidR="00BF388B" w:rsidRPr="00DD7BD1" w:rsidRDefault="00BF388B" w:rsidP="00BF388B">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Consumer Data Privacy Law – </w:t>
      </w:r>
      <w:r w:rsidRPr="00DD7BD1">
        <w:rPr>
          <w:rFonts w:ascii="Calibri" w:hAnsi="Calibri" w:cs="Calibri"/>
          <w:b/>
          <w:bCs/>
          <w:color w:val="C00000"/>
          <w:sz w:val="28"/>
          <w:szCs w:val="28"/>
          <w:shd w:val="clear" w:color="auto" w:fill="FFFFFF"/>
          <w:lang w:val="en"/>
        </w:rPr>
        <w:t>Jan 1, 2025</w:t>
      </w:r>
    </w:p>
    <w:p w14:paraId="666AD756" w14:textId="77777777" w:rsidR="00BF388B" w:rsidRPr="00DD7BD1" w:rsidRDefault="00BF388B" w:rsidP="00BF388B">
      <w:pPr>
        <w:spacing w:after="0" w:line="240" w:lineRule="auto"/>
        <w:rPr>
          <w:rFonts w:ascii="Calibri" w:hAnsi="Calibri" w:cs="Calibri"/>
        </w:rPr>
      </w:pPr>
      <w:r w:rsidRPr="00DD7BD1">
        <w:rPr>
          <w:rFonts w:ascii="Calibri" w:hAnsi="Calibri" w:cs="Calibri"/>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DD7BD1">
        <w:rPr>
          <w:rFonts w:ascii="Calibri" w:hAnsi="Calibri" w:cs="Calibri"/>
          <w:b/>
          <w:bCs/>
        </w:rPr>
        <w:t>Jan. 1, 2026</w:t>
      </w:r>
      <w:r w:rsidRPr="00DD7BD1">
        <w:rPr>
          <w:rFonts w:ascii="Calibri" w:hAnsi="Calibri" w:cs="Calibri"/>
        </w:rPr>
        <w:t>.</w:t>
      </w:r>
    </w:p>
    <w:p w14:paraId="2BD3EB1D" w14:textId="77777777" w:rsidR="00BF388B" w:rsidRPr="00DD7BD1" w:rsidRDefault="00BF388B" w:rsidP="00BF388B">
      <w:pPr>
        <w:pStyle w:val="SectionBoxBold"/>
        <w:rPr>
          <w:rFonts w:cs="Calibri"/>
          <w:color w:val="auto"/>
          <w:sz w:val="16"/>
          <w:szCs w:val="16"/>
        </w:rPr>
      </w:pPr>
    </w:p>
    <w:p w14:paraId="7BEF8E73"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Entities</w:t>
      </w:r>
    </w:p>
    <w:p w14:paraId="3038C698" w14:textId="77777777" w:rsidR="00BF388B" w:rsidRPr="00DD7BD1" w:rsidRDefault="00BF388B" w:rsidP="00BF388B">
      <w:pPr>
        <w:pStyle w:val="Bullet2"/>
        <w:spacing w:after="0" w:line="240" w:lineRule="auto"/>
        <w:ind w:left="0" w:firstLine="0"/>
        <w:rPr>
          <w:rFonts w:cs="Calibri"/>
          <w:color w:val="auto"/>
          <w:szCs w:val="22"/>
        </w:rPr>
      </w:pPr>
      <w:r w:rsidRPr="00DD7BD1">
        <w:rPr>
          <w:rFonts w:cs="Calibri"/>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lastRenderedPageBreak/>
        <w:t>Controlled or processed personal data of 10,000 Rhode Island customers and derived more than 20% of their gross revenue from the sale of personal data.</w:t>
      </w:r>
    </w:p>
    <w:p w14:paraId="7A2D3892"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DD7BD1" w:rsidRDefault="00BF388B" w:rsidP="00BF388B">
      <w:pPr>
        <w:pStyle w:val="SectionBoxBold"/>
        <w:rPr>
          <w:rFonts w:cs="Calibri"/>
          <w:color w:val="404040" w:themeColor="text1" w:themeTint="BF"/>
          <w:sz w:val="16"/>
          <w:szCs w:val="16"/>
        </w:rPr>
      </w:pPr>
    </w:p>
    <w:p w14:paraId="39ADCBF7"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Personal Data</w:t>
      </w:r>
    </w:p>
    <w:p w14:paraId="5B76A52F"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DD7BD1" w:rsidRDefault="00BF388B" w:rsidP="00BF388B">
      <w:pPr>
        <w:spacing w:after="0" w:line="240" w:lineRule="auto"/>
        <w:rPr>
          <w:rFonts w:ascii="Calibri" w:hAnsi="Calibri" w:cs="Calibri"/>
        </w:rPr>
      </w:pPr>
      <w:r w:rsidRPr="00DD7BD1">
        <w:rPr>
          <w:rFonts w:ascii="Calibri" w:hAnsi="Calibri" w:cs="Calibri"/>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DD7BD1" w:rsidRDefault="00BF388B" w:rsidP="00BF388B">
      <w:pPr>
        <w:spacing w:after="0" w:line="240" w:lineRule="auto"/>
        <w:rPr>
          <w:rFonts w:ascii="Calibri" w:hAnsi="Calibri" w:cs="Calibri"/>
        </w:rPr>
      </w:pPr>
      <w:r w:rsidRPr="00DD7BD1">
        <w:rPr>
          <w:rFonts w:ascii="Calibri" w:hAnsi="Calibri" w:cs="Calibri"/>
        </w:rPr>
        <w:t>Certain types of data are excluded from the DTPPA. Notably, the DTPPA does not cover data processed or maintained during an individual’s employment.</w:t>
      </w:r>
    </w:p>
    <w:p w14:paraId="296E61C6"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AA99F68"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Consumer Rights</w:t>
      </w:r>
    </w:p>
    <w:p w14:paraId="28550E48"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 xml:space="preserve">Confirm whether a controller processes their personal data and </w:t>
      </w:r>
      <w:proofErr w:type="gramStart"/>
      <w:r w:rsidRPr="00DD7BD1">
        <w:rPr>
          <w:rFonts w:cs="Calibri"/>
          <w:color w:val="auto"/>
          <w:szCs w:val="22"/>
        </w:rPr>
        <w:t>access</w:t>
      </w:r>
      <w:proofErr w:type="gramEnd"/>
      <w:r w:rsidRPr="00DD7BD1">
        <w:rPr>
          <w:rFonts w:cs="Calibri"/>
          <w:color w:val="auto"/>
          <w:szCs w:val="22"/>
        </w:rPr>
        <w:t xml:space="preserve"> such data, unless a trade secret </w:t>
      </w:r>
      <w:proofErr w:type="gramStart"/>
      <w:r w:rsidRPr="00DD7BD1">
        <w:rPr>
          <w:rFonts w:cs="Calibri"/>
          <w:color w:val="auto"/>
          <w:szCs w:val="22"/>
        </w:rPr>
        <w:t>would be</w:t>
      </w:r>
      <w:proofErr w:type="gramEnd"/>
      <w:r w:rsidRPr="00DD7BD1">
        <w:rPr>
          <w:rFonts w:cs="Calibri"/>
          <w:color w:val="auto"/>
          <w:szCs w:val="22"/>
        </w:rPr>
        <w:t xml:space="preserve"> revealed;</w:t>
      </w:r>
    </w:p>
    <w:p w14:paraId="5B53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on an annual basis, a copy of their personal data held by the controller in a readily usable format;</w:t>
      </w:r>
    </w:p>
    <w:p w14:paraId="1CDC7E5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Correct inaccuracies in their personal data;</w:t>
      </w:r>
    </w:p>
    <w:p w14:paraId="51E8958B"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Delete their personal data; and</w:t>
      </w:r>
    </w:p>
    <w:p w14:paraId="62BDD494" w14:textId="77777777" w:rsidR="00BF388B" w:rsidRPr="00DD7BD1" w:rsidRDefault="00BF388B" w:rsidP="00BF388B">
      <w:pPr>
        <w:pStyle w:val="Bullet"/>
        <w:spacing w:line="240" w:lineRule="auto"/>
        <w:ind w:left="576" w:hanging="288"/>
        <w:rPr>
          <w:rFonts w:cs="Calibri"/>
          <w:color w:val="auto"/>
          <w:szCs w:val="22"/>
        </w:rPr>
      </w:pPr>
      <w:proofErr w:type="spellStart"/>
      <w:r w:rsidRPr="00DD7BD1">
        <w:rPr>
          <w:rFonts w:cs="Calibri"/>
          <w:color w:val="auto"/>
          <w:szCs w:val="22"/>
        </w:rPr>
        <w:t>Opt</w:t>
      </w:r>
      <w:proofErr w:type="spellEnd"/>
      <w:r w:rsidRPr="00DD7BD1">
        <w:rPr>
          <w:rFonts w:cs="Calibri"/>
          <w:color w:val="auto"/>
          <w:szCs w:val="22"/>
        </w:rPr>
        <w:t xml:space="preserve"> out of the processing of their personal data for the purposes of targeted advertising, the sale of their personal data, or profiling.</w:t>
      </w:r>
    </w:p>
    <w:p w14:paraId="27911EDD"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559C9B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Controller Requirements </w:t>
      </w:r>
    </w:p>
    <w:p w14:paraId="609D6679"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the DTPPA, controllers must:</w:t>
      </w:r>
    </w:p>
    <w:p w14:paraId="1171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Limit data processing to what is adequate, relevant and necessary for the controller’s purposes;</w:t>
      </w:r>
    </w:p>
    <w:p w14:paraId="702CB274"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consent before processing sensitive personal data;</w:t>
      </w:r>
    </w:p>
    <w:p w14:paraId="7DC702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Conduct a data protection impact assessment on the processing of personal data that presents a heightened risk of harm to the customer;</w:t>
      </w:r>
    </w:p>
    <w:p w14:paraId="56A78F82"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Provide customers with a mechanism to grant and revoke consent when required;</w:t>
      </w:r>
    </w:p>
    <w:p w14:paraId="75394AC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4598936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Enforcement</w:t>
      </w:r>
    </w:p>
    <w:p w14:paraId="095CF2FA"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DD7BD1" w:rsidRDefault="00BF388B" w:rsidP="004B7569">
      <w:pPr>
        <w:spacing w:after="0" w:line="240" w:lineRule="auto"/>
        <w:jc w:val="center"/>
        <w:rPr>
          <w:rFonts w:ascii="Calibri" w:hAnsi="Calibri" w:cs="Calibri"/>
          <w:b/>
          <w:bCs/>
          <w:shd w:val="clear" w:color="auto" w:fill="FFFFFF"/>
          <w:lang w:val="en"/>
        </w:rPr>
      </w:pPr>
    </w:p>
    <w:p w14:paraId="07D76567" w14:textId="6E1E8A92"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Passes Secure Choice Retirement Savings Program</w:t>
      </w:r>
    </w:p>
    <w:p w14:paraId="6D59CE7F" w14:textId="77777777" w:rsidR="004B7569" w:rsidRPr="00DD7BD1" w:rsidRDefault="004B7569" w:rsidP="004B7569">
      <w:pPr>
        <w:pStyle w:val="CallOutBox"/>
        <w:jc w:val="left"/>
        <w:rPr>
          <w:rFonts w:ascii="Calibri" w:eastAsia="Times New Roman" w:hAnsi="Calibri" w:cs="Calibri"/>
          <w:b w:val="0"/>
          <w:i w:val="0"/>
          <w:color w:val="auto"/>
          <w:sz w:val="22"/>
          <w:szCs w:val="22"/>
        </w:rPr>
      </w:pPr>
      <w:r w:rsidRPr="00DD7BD1">
        <w:rPr>
          <w:rFonts w:ascii="Calibri" w:eastAsia="Times New Roman" w:hAnsi="Calibri" w:cs="Calibri"/>
          <w:b w:val="0"/>
          <w:i w:val="0"/>
          <w:color w:val="auto"/>
          <w:sz w:val="22"/>
          <w:szCs w:val="22"/>
        </w:rPr>
        <w:t xml:space="preserve">On June 26, 2024, </w:t>
      </w:r>
      <w:hyperlink r:id="rId1031" w:history="1">
        <w:r w:rsidRPr="00DD7BD1">
          <w:rPr>
            <w:rStyle w:val="Hyperlink"/>
            <w:rFonts w:ascii="Calibri" w:hAnsi="Calibri" w:cs="Calibri"/>
            <w:b w:val="0"/>
            <w:bCs/>
            <w:i w:val="0"/>
            <w:iCs/>
            <w:sz w:val="22"/>
            <w:szCs w:val="22"/>
          </w:rPr>
          <w:t>Senate Bill 2045</w:t>
        </w:r>
      </w:hyperlink>
      <w:r w:rsidRPr="00DD7BD1">
        <w:rPr>
          <w:rFonts w:ascii="Calibri" w:eastAsia="Times New Roman" w:hAnsi="Calibri" w:cs="Calibri"/>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w:t>
      </w:r>
      <w:r w:rsidRPr="00DD7BD1">
        <w:rPr>
          <w:rFonts w:ascii="Calibri" w:eastAsia="Times New Roman" w:hAnsi="Calibri" w:cs="Calibri"/>
          <w:b w:val="0"/>
          <w:i w:val="0"/>
          <w:color w:val="auto"/>
          <w:sz w:val="22"/>
          <w:szCs w:val="22"/>
        </w:rPr>
        <w:lastRenderedPageBreak/>
        <w:t xml:space="preserve">the option of participating in the program.  Rhode Island employers with at least five employees that do not already offer a retirement plan will be required to sign up for Secure Choice. </w:t>
      </w:r>
    </w:p>
    <w:p w14:paraId="2953D32D" w14:textId="77777777" w:rsidR="004B7569" w:rsidRPr="00DD7BD1" w:rsidRDefault="004B7569" w:rsidP="004B7569">
      <w:pPr>
        <w:pStyle w:val="BodyText"/>
        <w:spacing w:after="0" w:line="240" w:lineRule="auto"/>
        <w:rPr>
          <w:rFonts w:cs="Calibri"/>
          <w:sz w:val="16"/>
          <w:szCs w:val="16"/>
        </w:rPr>
      </w:pPr>
    </w:p>
    <w:p w14:paraId="0FD934B3" w14:textId="77777777" w:rsidR="004B7569" w:rsidRPr="00DD7BD1" w:rsidRDefault="004B7569" w:rsidP="004B7569">
      <w:pPr>
        <w:pStyle w:val="BodyText"/>
        <w:spacing w:after="0" w:line="240" w:lineRule="auto"/>
        <w:rPr>
          <w:rFonts w:cs="Calibri"/>
          <w:b/>
          <w:bCs/>
          <w:color w:val="auto"/>
          <w:szCs w:val="22"/>
        </w:rPr>
      </w:pPr>
      <w:r w:rsidRPr="00DD7BD1">
        <w:rPr>
          <w:rFonts w:cs="Calibri"/>
          <w:b/>
          <w:bCs/>
          <w:color w:val="auto"/>
          <w:szCs w:val="22"/>
        </w:rPr>
        <w:t>Phased Implementation:</w:t>
      </w:r>
    </w:p>
    <w:p w14:paraId="1AC77838" w14:textId="77777777" w:rsidR="004B7569" w:rsidRPr="00DD7BD1" w:rsidRDefault="004B7569" w:rsidP="004B7569">
      <w:pPr>
        <w:pStyle w:val="BodyText"/>
        <w:spacing w:after="0" w:line="240" w:lineRule="auto"/>
        <w:rPr>
          <w:rFonts w:cs="Calibri"/>
          <w:color w:val="auto"/>
          <w:szCs w:val="22"/>
        </w:rPr>
      </w:pPr>
      <w:r w:rsidRPr="00DD7BD1">
        <w:rPr>
          <w:rFonts w:cs="Calibri"/>
          <w:color w:val="auto"/>
          <w:szCs w:val="22"/>
        </w:rPr>
        <w:t>There will be a phased implementation period, as follows:</w:t>
      </w:r>
    </w:p>
    <w:p w14:paraId="715BB0DE"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100 or more employees</w:t>
      </w:r>
      <w:r w:rsidRPr="00DD7BD1">
        <w:rPr>
          <w:rFonts w:cs="Calibri"/>
          <w:color w:val="auto"/>
          <w:szCs w:val="22"/>
        </w:rPr>
        <w:t xml:space="preserve"> will have to participate </w:t>
      </w:r>
      <w:r w:rsidRPr="00DD7BD1">
        <w:rPr>
          <w:rFonts w:cs="Calibri"/>
          <w:b/>
          <w:bCs/>
          <w:color w:val="auto"/>
          <w:szCs w:val="22"/>
        </w:rPr>
        <w:t>within 12 months</w:t>
      </w:r>
      <w:r w:rsidRPr="00DD7BD1">
        <w:rPr>
          <w:rFonts w:cs="Calibri"/>
          <w:color w:val="auto"/>
          <w:szCs w:val="22"/>
        </w:rPr>
        <w:t xml:space="preserve"> of the program opening;</w:t>
      </w:r>
    </w:p>
    <w:p w14:paraId="659D1B26"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50 or more employees</w:t>
      </w:r>
      <w:r w:rsidRPr="00DD7BD1">
        <w:rPr>
          <w:rFonts w:cs="Calibri"/>
          <w:color w:val="auto"/>
          <w:szCs w:val="22"/>
        </w:rPr>
        <w:t xml:space="preserve"> will have to participate </w:t>
      </w:r>
      <w:r w:rsidRPr="00DD7BD1">
        <w:rPr>
          <w:rFonts w:cs="Calibri"/>
          <w:b/>
          <w:bCs/>
          <w:color w:val="auto"/>
          <w:szCs w:val="22"/>
        </w:rPr>
        <w:t>within 24 months</w:t>
      </w:r>
      <w:r w:rsidRPr="00DD7BD1">
        <w:rPr>
          <w:rFonts w:cs="Calibri"/>
          <w:color w:val="auto"/>
          <w:szCs w:val="22"/>
        </w:rPr>
        <w:t xml:space="preserve"> of the program opening; and</w:t>
      </w:r>
    </w:p>
    <w:p w14:paraId="57276D3A"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All other eligible employers will have to participate within </w:t>
      </w:r>
      <w:r w:rsidRPr="00DD7BD1">
        <w:rPr>
          <w:rFonts w:cs="Calibri"/>
          <w:b/>
          <w:bCs/>
          <w:color w:val="auto"/>
          <w:szCs w:val="22"/>
        </w:rPr>
        <w:t>36 months</w:t>
      </w:r>
      <w:r w:rsidRPr="00DD7BD1">
        <w:rPr>
          <w:rFonts w:cs="Calibri"/>
          <w:color w:val="auto"/>
          <w:szCs w:val="22"/>
        </w:rPr>
        <w:t xml:space="preserve"> of the program opening.</w:t>
      </w:r>
    </w:p>
    <w:p w14:paraId="1E961D8B" w14:textId="77777777" w:rsidR="004B7569" w:rsidRPr="00DD7BD1" w:rsidRDefault="004B7569" w:rsidP="004B7569">
      <w:pPr>
        <w:pStyle w:val="BodyText"/>
        <w:spacing w:after="0" w:line="240" w:lineRule="auto"/>
        <w:rPr>
          <w:rFonts w:cs="Calibri"/>
          <w:b/>
          <w:bCs/>
          <w:color w:val="auto"/>
          <w:sz w:val="16"/>
          <w:szCs w:val="16"/>
          <w:highlight w:val="lightGray"/>
        </w:rPr>
      </w:pPr>
    </w:p>
    <w:p w14:paraId="62077FAC" w14:textId="00D4A96B" w:rsidR="004B7569" w:rsidRPr="00DD7BD1" w:rsidRDefault="004B7569" w:rsidP="004B7569">
      <w:pPr>
        <w:pStyle w:val="BodyText"/>
        <w:spacing w:after="0" w:line="240" w:lineRule="auto"/>
        <w:rPr>
          <w:rFonts w:cs="Calibri"/>
          <w:color w:val="auto"/>
          <w:szCs w:val="22"/>
        </w:rPr>
      </w:pPr>
      <w:r w:rsidRPr="00DD7BD1">
        <w:rPr>
          <w:rFonts w:cs="Calibri"/>
          <w:b/>
          <w:bCs/>
          <w:color w:val="auto"/>
          <w:szCs w:val="22"/>
          <w:highlight w:val="lightGray"/>
        </w:rPr>
        <w:t>Employer Takeaway:</w:t>
      </w:r>
      <w:r w:rsidRPr="00DD7BD1">
        <w:rPr>
          <w:rFonts w:cs="Calibri"/>
          <w:b/>
          <w:bCs/>
          <w:color w:val="auto"/>
          <w:szCs w:val="22"/>
        </w:rPr>
        <w:t xml:space="preserve"> </w:t>
      </w:r>
      <w:r w:rsidRPr="00DD7BD1">
        <w:rPr>
          <w:rFonts w:cs="Calibri"/>
          <w:color w:val="auto"/>
          <w:szCs w:val="22"/>
        </w:rPr>
        <w:t>Employers will have no liability or fiduciary duty to employees in relation to the program; however, employers will be subject to penalties of $250/eligible employee if the employer fails to allow the eligible employees to participate.  More to come as guidance and details are released.</w:t>
      </w:r>
    </w:p>
    <w:p w14:paraId="079953B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0BC1E786" w14:textId="4D819431" w:rsidR="00AE1E15" w:rsidRDefault="00AE1E15" w:rsidP="00424AC2">
      <w:pPr>
        <w:spacing w:after="0" w:line="240" w:lineRule="auto"/>
        <w:jc w:val="both"/>
        <w:rPr>
          <w:rFonts w:ascii="Calibri" w:hAnsi="Calibri" w:cs="Calibri"/>
          <w:b/>
          <w:bCs/>
          <w:color w:val="2E74B5" w:themeColor="accent5" w:themeShade="BF"/>
          <w:sz w:val="28"/>
          <w:szCs w:val="28"/>
          <w:shd w:val="clear" w:color="auto" w:fill="FFFFFF"/>
          <w:lang w:val="en"/>
        </w:rPr>
      </w:pPr>
      <w:r>
        <w:rPr>
          <w:rFonts w:ascii="Calibri" w:hAnsi="Calibri" w:cs="Calibri"/>
          <w:b/>
          <w:bCs/>
          <w:color w:val="2E74B5" w:themeColor="accent5" w:themeShade="BF"/>
          <w:sz w:val="28"/>
          <w:szCs w:val="28"/>
          <w:shd w:val="clear" w:color="auto" w:fill="FFFFFF"/>
          <w:lang w:val="en"/>
        </w:rPr>
        <w:t>South Carolina</w:t>
      </w:r>
    </w:p>
    <w:p w14:paraId="503531CD" w14:textId="77777777" w:rsidR="00AE1E15" w:rsidRDefault="00AE1E15" w:rsidP="00AE1E15">
      <w:pPr>
        <w:rPr>
          <w:b/>
          <w:bCs/>
          <w:caps/>
          <w:color w:val="0070C0"/>
          <w:sz w:val="28"/>
          <w:szCs w:val="28"/>
        </w:rPr>
      </w:pPr>
      <w:r w:rsidRPr="009E5C5C">
        <w:rPr>
          <w:b/>
          <w:bCs/>
          <w:caps/>
          <w:color w:val="0070C0"/>
          <w:sz w:val="28"/>
          <w:szCs w:val="28"/>
        </w:rPr>
        <w:t xml:space="preserve">New! </w:t>
      </w:r>
      <w:r w:rsidRPr="009E5C5C">
        <w:rPr>
          <w:b/>
          <w:bCs/>
          <w:caps/>
          <w:noProof/>
          <w:color w:val="0E425C"/>
          <w:sz w:val="28"/>
          <w:szCs w:val="28"/>
        </w:rPr>
        <w:t xml:space="preserve">State Civil Air Patrol Leave Effective </w:t>
      </w:r>
      <w:r w:rsidRPr="009E5C5C">
        <w:rPr>
          <w:b/>
          <w:bCs/>
          <w:caps/>
          <w:color w:val="0070C0"/>
          <w:sz w:val="28"/>
          <w:szCs w:val="28"/>
        </w:rPr>
        <w:t>October 1, 2026</w:t>
      </w:r>
    </w:p>
    <w:p w14:paraId="23C46708" w14:textId="77777777" w:rsidR="00AE1E15" w:rsidRDefault="00AE1E15" w:rsidP="00AE1E15">
      <w:pPr>
        <w:pStyle w:val="BodyText"/>
        <w:rPr>
          <w:color w:val="auto"/>
          <w:sz w:val="26"/>
          <w:szCs w:val="26"/>
        </w:rPr>
      </w:pPr>
      <w:r w:rsidRPr="006221CF">
        <w:rPr>
          <w:color w:val="auto"/>
          <w:sz w:val="26"/>
          <w:szCs w:val="26"/>
        </w:rPr>
        <w:t>The state has enacted a new</w:t>
      </w:r>
      <w:r w:rsidRPr="006221CF">
        <w:rPr>
          <w:rStyle w:val="Hyperlink"/>
        </w:rPr>
        <w:t xml:space="preserve"> </w:t>
      </w:r>
      <w:hyperlink r:id="rId1032" w:history="1">
        <w:r w:rsidRPr="006221CF">
          <w:rPr>
            <w:rStyle w:val="Hyperlink"/>
          </w:rPr>
          <w:t>law</w:t>
        </w:r>
      </w:hyperlink>
      <w:r w:rsidRPr="006221CF">
        <w:rPr>
          <w:color w:val="auto"/>
          <w:sz w:val="26"/>
          <w:szCs w:val="26"/>
        </w:rPr>
        <w:t xml:space="preserve"> requiring employers to provide employees with job-protected leave for Civil Air Patrol service starting October 1. Leave is paid for public employees and may be </w:t>
      </w:r>
      <w:r w:rsidRPr="00D25AFC">
        <w:rPr>
          <w:color w:val="auto"/>
          <w:sz w:val="26"/>
          <w:szCs w:val="26"/>
          <w:u w:val="single"/>
        </w:rPr>
        <w:t>unpaid</w:t>
      </w:r>
      <w:r w:rsidRPr="006221CF">
        <w:rPr>
          <w:color w:val="auto"/>
          <w:sz w:val="26"/>
          <w:szCs w:val="26"/>
        </w:rPr>
        <w:t xml:space="preserve"> for employees of private employers. Thirty days of leave per year are required for emergency operations, while only 10 days per year are required for training. Notice and verification requirements apply to employees on leave, and nondiscrimination requirements apply to employers. Furthermore, employees may file private suits against their employers for alleged violations of the law. </w:t>
      </w:r>
    </w:p>
    <w:p w14:paraId="40B1646A" w14:textId="77777777" w:rsidR="00AE1E15" w:rsidRPr="00395EB6" w:rsidRDefault="00AE1E15" w:rsidP="00AE1E15">
      <w:pPr>
        <w:pStyle w:val="BodyText"/>
        <w:rPr>
          <w:color w:val="auto"/>
          <w:sz w:val="26"/>
          <w:szCs w:val="26"/>
        </w:rPr>
      </w:pPr>
      <w:r w:rsidRPr="006221CF">
        <w:rPr>
          <w:color w:val="auto"/>
          <w:sz w:val="26"/>
          <w:szCs w:val="26"/>
        </w:rPr>
        <w:t xml:space="preserve">ETC </w:t>
      </w:r>
      <w:r>
        <w:rPr>
          <w:color w:val="auto"/>
          <w:sz w:val="26"/>
          <w:szCs w:val="26"/>
        </w:rPr>
        <w:t>is</w:t>
      </w:r>
      <w:r w:rsidRPr="006221CF">
        <w:rPr>
          <w:color w:val="auto"/>
          <w:sz w:val="26"/>
          <w:szCs w:val="26"/>
        </w:rPr>
        <w:t xml:space="preserve"> publishing </w:t>
      </w:r>
      <w:r>
        <w:rPr>
          <w:color w:val="auto"/>
          <w:sz w:val="26"/>
          <w:szCs w:val="26"/>
        </w:rPr>
        <w:t>the</w:t>
      </w:r>
      <w:r w:rsidRPr="006221CF">
        <w:rPr>
          <w:color w:val="auto"/>
          <w:sz w:val="26"/>
          <w:szCs w:val="26"/>
        </w:rPr>
        <w:t xml:space="preserve"> updated State Handbook Addendum to address this new state-protected leave allowance</w:t>
      </w:r>
      <w:r>
        <w:rPr>
          <w:color w:val="auto"/>
          <w:sz w:val="26"/>
          <w:szCs w:val="26"/>
        </w:rPr>
        <w:t xml:space="preserve"> with the August 2026 HR WIRE publication</w:t>
      </w:r>
      <w:r w:rsidRPr="006221CF">
        <w:rPr>
          <w:color w:val="auto"/>
          <w:sz w:val="26"/>
          <w:szCs w:val="26"/>
        </w:rPr>
        <w:t>.</w:t>
      </w:r>
    </w:p>
    <w:p w14:paraId="637D1255" w14:textId="77777777" w:rsidR="00AE1E15" w:rsidRDefault="00AE1E15" w:rsidP="00424AC2">
      <w:pPr>
        <w:spacing w:after="0" w:line="240" w:lineRule="auto"/>
        <w:jc w:val="both"/>
        <w:rPr>
          <w:rFonts w:ascii="Calibri" w:hAnsi="Calibri" w:cs="Calibri"/>
          <w:b/>
          <w:bCs/>
          <w:color w:val="2E74B5" w:themeColor="accent5" w:themeShade="BF"/>
          <w:sz w:val="28"/>
          <w:szCs w:val="28"/>
          <w:shd w:val="clear" w:color="auto" w:fill="FFFFFF"/>
          <w:lang w:val="en"/>
        </w:rPr>
      </w:pPr>
    </w:p>
    <w:p w14:paraId="7A7A9E82" w14:textId="5BD1694F" w:rsidR="004B7569" w:rsidRPr="00DD7BD1" w:rsidRDefault="004B7569" w:rsidP="00424AC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So</w:t>
      </w:r>
      <w:r w:rsidR="00424AC2" w:rsidRPr="00DD7BD1">
        <w:rPr>
          <w:rFonts w:ascii="Calibri" w:hAnsi="Calibri" w:cs="Calibri"/>
          <w:b/>
          <w:bCs/>
          <w:color w:val="2E74B5" w:themeColor="accent5" w:themeShade="BF"/>
          <w:sz w:val="28"/>
          <w:szCs w:val="28"/>
          <w:shd w:val="clear" w:color="auto" w:fill="FFFFFF"/>
          <w:lang w:val="en"/>
        </w:rPr>
        <w:t>u</w:t>
      </w:r>
      <w:r w:rsidRPr="00DD7BD1">
        <w:rPr>
          <w:rFonts w:ascii="Calibri" w:hAnsi="Calibri" w:cs="Calibri"/>
          <w:b/>
          <w:bCs/>
          <w:color w:val="2E74B5" w:themeColor="accent5" w:themeShade="BF"/>
          <w:sz w:val="28"/>
          <w:szCs w:val="28"/>
          <w:shd w:val="clear" w:color="auto" w:fill="FFFFFF"/>
          <w:lang w:val="en"/>
        </w:rPr>
        <w:t>th Dakota</w:t>
      </w:r>
    </w:p>
    <w:p w14:paraId="2DB6E313" w14:textId="77777777" w:rsidR="00424AC2" w:rsidRPr="00DD7BD1" w:rsidRDefault="00424AC2" w:rsidP="00424AC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40C0562D" w14:textId="2A5035DD" w:rsidR="00424AC2" w:rsidRPr="00DD7BD1" w:rsidRDefault="00424AC2" w:rsidP="00424AC2">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South Dakota’s minimum wage will increase to $11.85 per hour. The minimum base wage for tipped employees will increase to $5.93 per hour (</w:t>
      </w:r>
      <w:r w:rsidRPr="00DD7BD1">
        <w:rPr>
          <w:rFonts w:ascii="Calibri" w:hAnsi="Calibri" w:cs="Calibri"/>
          <w:i/>
          <w:iCs/>
          <w:shd w:val="clear" w:color="auto" w:fill="FFFFFF"/>
        </w:rPr>
        <w:t>technically</w:t>
      </w:r>
      <w:r w:rsidRPr="00DD7BD1">
        <w:rPr>
          <w:rFonts w:ascii="Calibri" w:hAnsi="Calibri" w:cs="Calibri"/>
          <w:shd w:val="clear" w:color="auto" w:fill="FFFFFF"/>
        </w:rPr>
        <w:t> $5.925).</w:t>
      </w:r>
    </w:p>
    <w:p w14:paraId="63BBCA08" w14:textId="77777777" w:rsidR="00424AC2" w:rsidRPr="00DD7BD1" w:rsidRDefault="00424AC2" w:rsidP="00424AC2">
      <w:pPr>
        <w:spacing w:after="0" w:line="240" w:lineRule="auto"/>
        <w:jc w:val="both"/>
        <w:rPr>
          <w:rFonts w:ascii="Calibri" w:hAnsi="Calibri" w:cs="Calibri"/>
          <w:shd w:val="clear" w:color="auto" w:fill="FFFFFF"/>
          <w:lang w:val="en"/>
        </w:rPr>
      </w:pPr>
    </w:p>
    <w:p w14:paraId="172B7381" w14:textId="7B45D319"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Clarifies Medical Cannabis Protections – </w:t>
      </w:r>
      <w:r w:rsidRPr="00DD7BD1">
        <w:rPr>
          <w:rFonts w:ascii="Calibri" w:hAnsi="Calibri" w:cs="Calibri"/>
          <w:b/>
          <w:bCs/>
          <w:color w:val="C00000"/>
          <w:sz w:val="28"/>
          <w:szCs w:val="28"/>
          <w:shd w:val="clear" w:color="auto" w:fill="FFFFFF"/>
          <w:lang w:val="en"/>
        </w:rPr>
        <w:t>July 1</w:t>
      </w:r>
    </w:p>
    <w:p w14:paraId="78FACE96"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DD7BD1">
        <w:rPr>
          <w:rFonts w:ascii="Calibri" w:eastAsia="Times New Roman" w:hAnsi="Calibri" w:cs="Calibri"/>
          <w:color w:val="C00000"/>
        </w:rPr>
        <w:t>July 1, 2024.</w:t>
      </w:r>
    </w:p>
    <w:p w14:paraId="48D44F92"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Ensure that all safety-sensitive positions are documented as such in job descriptions and ads.</w:t>
      </w:r>
    </w:p>
    <w:p w14:paraId="13FD7047"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If you plan to make employment decisions based on a positive test result for cannabis metabolites with respect to safety-sensitive positions, make that clear in all related policies.</w:t>
      </w:r>
    </w:p>
    <w:p w14:paraId="2891EA4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66592BF6" w14:textId="4C3CDB94" w:rsidR="00400188" w:rsidRDefault="00400188" w:rsidP="009040C5">
      <w:pPr>
        <w:spacing w:after="0" w:line="240" w:lineRule="auto"/>
        <w:jc w:val="both"/>
        <w:rPr>
          <w:rFonts w:ascii="Calibri" w:hAnsi="Calibri" w:cs="Calibri"/>
          <w:b/>
          <w:bCs/>
          <w:color w:val="2E74B5" w:themeColor="accent5" w:themeShade="BF"/>
          <w:sz w:val="28"/>
          <w:szCs w:val="28"/>
          <w:shd w:val="clear" w:color="auto" w:fill="FFFFFF"/>
          <w:lang w:val="en"/>
        </w:rPr>
      </w:pPr>
      <w:r>
        <w:rPr>
          <w:rFonts w:ascii="Calibri" w:hAnsi="Calibri" w:cs="Calibri"/>
          <w:b/>
          <w:bCs/>
          <w:color w:val="2E74B5" w:themeColor="accent5" w:themeShade="BF"/>
          <w:sz w:val="28"/>
          <w:szCs w:val="28"/>
          <w:shd w:val="clear" w:color="auto" w:fill="FFFFFF"/>
          <w:lang w:val="en"/>
        </w:rPr>
        <w:t>Tennessee</w:t>
      </w:r>
    </w:p>
    <w:p w14:paraId="60AFDE38" w14:textId="77777777" w:rsidR="00204F44" w:rsidRPr="001578A1" w:rsidRDefault="002C0337" w:rsidP="00204F44">
      <w:pPr>
        <w:spacing w:after="0" w:line="240" w:lineRule="auto"/>
        <w:rPr>
          <w:b/>
          <w:bCs/>
          <w:caps/>
          <w:color w:val="0070C0"/>
          <w:sz w:val="26"/>
          <w:szCs w:val="26"/>
        </w:rPr>
      </w:pPr>
      <w:r>
        <w:rPr>
          <w:b/>
          <w:bCs/>
          <w:caps/>
          <w:color w:val="0070C0"/>
          <w:sz w:val="26"/>
          <w:szCs w:val="26"/>
        </w:rPr>
        <w:tab/>
      </w:r>
      <w:r w:rsidR="00204F44" w:rsidRPr="001578A1">
        <w:rPr>
          <w:b/>
          <w:bCs/>
          <w:caps/>
          <w:color w:val="0070C0"/>
          <w:sz w:val="26"/>
          <w:szCs w:val="26"/>
        </w:rPr>
        <w:t xml:space="preserve">New! </w:t>
      </w:r>
      <w:r w:rsidR="00204F44" w:rsidRPr="001578A1">
        <w:rPr>
          <w:b/>
          <w:bCs/>
          <w:caps/>
          <w:noProof/>
          <w:color w:val="0E425C"/>
          <w:sz w:val="26"/>
          <w:szCs w:val="26"/>
        </w:rPr>
        <w:t xml:space="preserve">Updated Wage Payment Regulations Effective </w:t>
      </w:r>
      <w:r w:rsidR="00204F44" w:rsidRPr="001578A1">
        <w:rPr>
          <w:b/>
          <w:bCs/>
          <w:caps/>
          <w:color w:val="0070C0"/>
          <w:sz w:val="26"/>
          <w:szCs w:val="26"/>
        </w:rPr>
        <w:t>July 1, 2026</w:t>
      </w:r>
    </w:p>
    <w:p w14:paraId="55ECF87D" w14:textId="77777777" w:rsidR="00204F44" w:rsidRPr="003B104F" w:rsidRDefault="00204F44" w:rsidP="00204F44">
      <w:pPr>
        <w:spacing w:after="0" w:line="240" w:lineRule="auto"/>
      </w:pPr>
      <w:r w:rsidRPr="003B104F">
        <w:t xml:space="preserve">The </w:t>
      </w:r>
      <w:r>
        <w:t xml:space="preserve">state’s </w:t>
      </w:r>
      <w:r w:rsidRPr="003B104F">
        <w:t xml:space="preserve">wage payment law, which applies to employers with </w:t>
      </w:r>
      <w:r>
        <w:t>5</w:t>
      </w:r>
      <w:r w:rsidRPr="003B104F">
        <w:t xml:space="preserve"> or more employees, will </w:t>
      </w:r>
      <w:r w:rsidRPr="003B104F">
        <w:rPr>
          <w:b/>
          <w:bCs/>
        </w:rPr>
        <w:t>extend</w:t>
      </w:r>
      <w:r w:rsidRPr="003B104F">
        <w:t xml:space="preserve"> the time employers have to pay employees who are compensated on a commission or piece-work basis. The new timelines are as follows:</w:t>
      </w:r>
    </w:p>
    <w:p w14:paraId="7F05ADB2" w14:textId="77777777" w:rsidR="00204F44" w:rsidRPr="003B104F" w:rsidRDefault="00204F44">
      <w:pPr>
        <w:numPr>
          <w:ilvl w:val="0"/>
          <w:numId w:val="374"/>
        </w:numPr>
        <w:spacing w:after="0" w:line="240" w:lineRule="auto"/>
      </w:pPr>
      <w:r w:rsidRPr="003B104F">
        <w:t>Employees paid monthly must be paid all compensation earned in a month by the last day of the following month (currently, it’s due on the fifth day of the following month).</w:t>
      </w:r>
    </w:p>
    <w:p w14:paraId="17E58126" w14:textId="77777777" w:rsidR="00204F44" w:rsidRPr="003B104F" w:rsidRDefault="00204F44">
      <w:pPr>
        <w:numPr>
          <w:ilvl w:val="0"/>
          <w:numId w:val="374"/>
        </w:numPr>
        <w:spacing w:after="0" w:line="240" w:lineRule="auto"/>
      </w:pPr>
      <w:r w:rsidRPr="003B104F">
        <w:lastRenderedPageBreak/>
        <w:t>Terminated employees need to be paid all earned compensation no later than the last day of the following month after the termination date (currently, it’s due on the next regular payday or 21 days after termination, whichever occurs later).</w:t>
      </w:r>
    </w:p>
    <w:p w14:paraId="5A984F77" w14:textId="77777777" w:rsidR="00204F44" w:rsidRPr="003B104F" w:rsidRDefault="00204F44" w:rsidP="00204F44">
      <w:pPr>
        <w:spacing w:after="0" w:line="240" w:lineRule="auto"/>
      </w:pPr>
      <w:r w:rsidRPr="003B104F">
        <w:t>The new timing requirements only apply to wages and compensation earned on or after the law’s effective date.</w:t>
      </w:r>
    </w:p>
    <w:p w14:paraId="202D7F12" w14:textId="77777777" w:rsidR="00204F44" w:rsidRDefault="00204F44" w:rsidP="00204F44">
      <w:pPr>
        <w:spacing w:after="0" w:line="240" w:lineRule="auto"/>
        <w:rPr>
          <w:b/>
          <w:bCs/>
          <w:caps/>
          <w:color w:val="0E425C"/>
          <w:sz w:val="26"/>
          <w:szCs w:val="26"/>
        </w:rPr>
      </w:pPr>
      <w:r>
        <w:rPr>
          <w:b/>
          <w:bCs/>
          <w:caps/>
          <w:color w:val="0E425C"/>
          <w:sz w:val="26"/>
          <w:szCs w:val="26"/>
        </w:rPr>
        <w:t xml:space="preserve">Reminder: </w:t>
      </w:r>
    </w:p>
    <w:p w14:paraId="2BA52EBA" w14:textId="1230EF1B" w:rsidR="00204F44" w:rsidRDefault="00204F44">
      <w:pPr>
        <w:pStyle w:val="ListParagraph"/>
        <w:numPr>
          <w:ilvl w:val="0"/>
          <w:numId w:val="373"/>
        </w:numPr>
        <w:spacing w:after="0" w:line="240" w:lineRule="auto"/>
        <w:rPr>
          <w:caps/>
          <w:color w:val="0070C0"/>
        </w:rPr>
      </w:pPr>
      <w:r w:rsidRPr="0055141A">
        <w:rPr>
          <w:caps/>
          <w:color w:val="0E425C"/>
        </w:rPr>
        <w:t xml:space="preserve">State Enacts NoncomPete Restrictions </w:t>
      </w:r>
      <w:r>
        <w:rPr>
          <w:caps/>
          <w:color w:val="0E425C"/>
        </w:rPr>
        <w:t>for “LOW-WAGE EARNERS” -</w:t>
      </w:r>
      <w:r w:rsidRPr="0055141A">
        <w:rPr>
          <w:caps/>
          <w:color w:val="0E425C"/>
        </w:rPr>
        <w:t xml:space="preserve"> </w:t>
      </w:r>
      <w:r w:rsidRPr="0055141A">
        <w:rPr>
          <w:caps/>
          <w:color w:val="0070C0"/>
        </w:rPr>
        <w:t>July 1, 2026</w:t>
      </w:r>
    </w:p>
    <w:p w14:paraId="2A67FE06" w14:textId="77777777" w:rsidR="004C1156" w:rsidRPr="004C1156" w:rsidRDefault="004C1156" w:rsidP="004C1156">
      <w:pPr>
        <w:pStyle w:val="ListParagraph"/>
        <w:spacing w:after="0" w:line="240" w:lineRule="auto"/>
        <w:rPr>
          <w:caps/>
          <w:color w:val="0070C0"/>
          <w:sz w:val="20"/>
          <w:szCs w:val="20"/>
        </w:rPr>
      </w:pPr>
    </w:p>
    <w:p w14:paraId="4E5AF863" w14:textId="11F97FB6" w:rsidR="002C0337" w:rsidRDefault="002C0337" w:rsidP="00204F44">
      <w:pPr>
        <w:jc w:val="center"/>
        <w:rPr>
          <w:b/>
          <w:bCs/>
          <w:caps/>
          <w:color w:val="0070C0"/>
          <w:sz w:val="26"/>
          <w:szCs w:val="26"/>
        </w:rPr>
      </w:pPr>
      <w:r w:rsidRPr="00156B3D">
        <w:rPr>
          <w:b/>
          <w:bCs/>
          <w:caps/>
          <w:color w:val="0070C0"/>
          <w:sz w:val="26"/>
          <w:szCs w:val="26"/>
        </w:rPr>
        <w:t xml:space="preserve">New! </w:t>
      </w:r>
      <w:r>
        <w:rPr>
          <w:b/>
          <w:bCs/>
          <w:caps/>
          <w:color w:val="0E425C"/>
          <w:sz w:val="26"/>
          <w:szCs w:val="26"/>
        </w:rPr>
        <w:t xml:space="preserve">State Enacts NoncomPete Restrictions Effective </w:t>
      </w:r>
      <w:r w:rsidRPr="00156B3D">
        <w:rPr>
          <w:b/>
          <w:bCs/>
          <w:caps/>
          <w:color w:val="0070C0"/>
          <w:sz w:val="26"/>
          <w:szCs w:val="26"/>
        </w:rPr>
        <w:t>July 1, 2026</w:t>
      </w:r>
    </w:p>
    <w:p w14:paraId="12F7C077" w14:textId="77777777" w:rsidR="002C0337" w:rsidRDefault="002C0337" w:rsidP="002C0337">
      <w:pPr>
        <w:rPr>
          <w:shd w:val="clear" w:color="auto" w:fill="FFFFFF"/>
        </w:rPr>
      </w:pPr>
      <w:r w:rsidRPr="00156B3D">
        <w:rPr>
          <w:shd w:val="clear" w:color="auto" w:fill="FFFFFF"/>
        </w:rPr>
        <w:t xml:space="preserve">On May 7, 2026, Tennessee enacted </w:t>
      </w:r>
      <w:hyperlink r:id="rId1033" w:history="1">
        <w:r w:rsidRPr="00156B3D">
          <w:rPr>
            <w:b/>
            <w:shd w:val="clear" w:color="auto" w:fill="FFFFFF"/>
          </w:rPr>
          <w:t>House Bill (HB) 1034</w:t>
        </w:r>
      </w:hyperlink>
      <w:r w:rsidRPr="00156B3D">
        <w:rPr>
          <w:shd w:val="clear" w:color="auto" w:fill="FFFFFF"/>
        </w:rPr>
        <w:t xml:space="preserve">, as </w:t>
      </w:r>
      <w:hyperlink r:id="rId1034" w:history="1">
        <w:r w:rsidRPr="00156B3D">
          <w:rPr>
            <w:b/>
            <w:shd w:val="clear" w:color="auto" w:fill="FFFFFF"/>
          </w:rPr>
          <w:t>amended</w:t>
        </w:r>
      </w:hyperlink>
      <w:r w:rsidRPr="00156B3D">
        <w:rPr>
          <w:shd w:val="clear" w:color="auto" w:fill="FFFFFF"/>
        </w:rPr>
        <w:t>, which establishes a framework governing the enforceability of noncompete agreements.</w:t>
      </w:r>
    </w:p>
    <w:p w14:paraId="459F482F" w14:textId="77777777" w:rsidR="002C0337" w:rsidRPr="00156B3D" w:rsidRDefault="002C0337" w:rsidP="002C0337">
      <w:pPr>
        <w:rPr>
          <w:shd w:val="clear" w:color="auto" w:fill="FFFFFF"/>
        </w:rPr>
      </w:pPr>
      <w:r w:rsidRPr="00156B3D">
        <w:rPr>
          <w:shd w:val="clear" w:color="auto" w:fill="FFFFFF"/>
        </w:rPr>
        <w:t>The new law contains several provisions, including the following.</w:t>
      </w:r>
    </w:p>
    <w:p w14:paraId="0AA0FA56" w14:textId="77777777" w:rsidR="002C0337" w:rsidRPr="00652DB1" w:rsidRDefault="002C0337" w:rsidP="002C0337">
      <w:pPr>
        <w:spacing w:after="0"/>
        <w:rPr>
          <w:b/>
          <w:bCs/>
          <w:shd w:val="clear" w:color="auto" w:fill="FFFFFF"/>
        </w:rPr>
      </w:pPr>
      <w:r w:rsidRPr="00652DB1">
        <w:rPr>
          <w:b/>
          <w:bCs/>
          <w:shd w:val="clear" w:color="auto" w:fill="FFFFFF"/>
        </w:rPr>
        <w:t>Compensation Threshold</w:t>
      </w:r>
    </w:p>
    <w:p w14:paraId="5CB05EC0" w14:textId="77777777" w:rsidR="002C0337" w:rsidRPr="00156B3D" w:rsidRDefault="002C0337" w:rsidP="002C0337">
      <w:pPr>
        <w:spacing w:after="0"/>
        <w:rPr>
          <w:shd w:val="clear" w:color="auto" w:fill="FFFFFF"/>
        </w:rPr>
      </w:pPr>
      <w:r w:rsidRPr="00156B3D">
        <w:rPr>
          <w:shd w:val="clear" w:color="auto" w:fill="FFFFFF"/>
        </w:rPr>
        <w:t xml:space="preserve">Employers are </w:t>
      </w:r>
      <w:r w:rsidRPr="00156B3D">
        <w:rPr>
          <w:b/>
          <w:bCs/>
          <w:shd w:val="clear" w:color="auto" w:fill="FFFFFF"/>
        </w:rPr>
        <w:t>prohibited</w:t>
      </w:r>
      <w:r w:rsidRPr="00156B3D">
        <w:rPr>
          <w:shd w:val="clear" w:color="auto" w:fill="FFFFFF"/>
        </w:rPr>
        <w:t xml:space="preserve"> from requiring, requesting or enforcing noncompete agreements against employees who earn</w:t>
      </w:r>
      <w:r w:rsidRPr="00156B3D">
        <w:rPr>
          <w:u w:val="single"/>
          <w:shd w:val="clear" w:color="auto" w:fill="FFFFFF"/>
        </w:rPr>
        <w:t xml:space="preserve"> less than $70,000 annually</w:t>
      </w:r>
      <w:r w:rsidRPr="00156B3D">
        <w:rPr>
          <w:shd w:val="clear" w:color="auto" w:fill="FFFFFF"/>
        </w:rPr>
        <w:t xml:space="preserve">. The law defines </w:t>
      </w:r>
      <w:r w:rsidRPr="00156B3D">
        <w:rPr>
          <w:b/>
          <w:bCs/>
          <w:shd w:val="clear" w:color="auto" w:fill="FFFFFF"/>
        </w:rPr>
        <w:t>compensation</w:t>
      </w:r>
      <w:r w:rsidRPr="00156B3D">
        <w:rPr>
          <w:shd w:val="clear" w:color="auto" w:fill="FFFFFF"/>
        </w:rPr>
        <w:t xml:space="preserve"> broadly to include wages, salary, commissions, nondiscretionary bonuses and other forms of remuneration calculated on an annualized basis. In addition, the law requires the annualized compensation for an hourly employee to be calculated by multiplying the employee’s hourly rate of pay by 40, then multiplying the result by 52.</w:t>
      </w:r>
      <w:r>
        <w:rPr>
          <w:shd w:val="clear" w:color="auto" w:fill="FFFFFF"/>
        </w:rPr>
        <w:t xml:space="preserve"> </w:t>
      </w:r>
      <w:r w:rsidRPr="00156B3D">
        <w:rPr>
          <w:shd w:val="clear" w:color="auto" w:fill="FFFFFF"/>
        </w:rPr>
        <w:t>Any noncompete agreement executed in violation of these provisions is void and unenforceable as a matter of public policy.</w:t>
      </w:r>
    </w:p>
    <w:p w14:paraId="752FDDB7" w14:textId="77777777" w:rsidR="002C0337" w:rsidRPr="00652DB1" w:rsidRDefault="002C0337" w:rsidP="002C0337">
      <w:pPr>
        <w:spacing w:after="0"/>
        <w:rPr>
          <w:b/>
          <w:bCs/>
          <w:shd w:val="clear" w:color="auto" w:fill="FFFFFF"/>
        </w:rPr>
      </w:pPr>
      <w:r w:rsidRPr="00652DB1">
        <w:rPr>
          <w:b/>
          <w:bCs/>
          <w:shd w:val="clear" w:color="auto" w:fill="FFFFFF"/>
        </w:rPr>
        <w:t>Rebuttable Presumptions Regarding Reasonableness in Duration</w:t>
      </w:r>
    </w:p>
    <w:p w14:paraId="485999E2" w14:textId="77777777" w:rsidR="002C0337" w:rsidRPr="00156B3D" w:rsidRDefault="002C0337" w:rsidP="002C0337">
      <w:pPr>
        <w:spacing w:after="0" w:line="240" w:lineRule="auto"/>
        <w:rPr>
          <w:shd w:val="clear" w:color="auto" w:fill="FFFFFF"/>
        </w:rPr>
      </w:pPr>
      <w:r w:rsidRPr="00156B3D">
        <w:rPr>
          <w:shd w:val="clear" w:color="auto" w:fill="FFFFFF"/>
        </w:rPr>
        <w:t xml:space="preserve">The new law creates </w:t>
      </w:r>
      <w:r w:rsidRPr="00156B3D">
        <w:rPr>
          <w:b/>
          <w:bCs/>
          <w:shd w:val="clear" w:color="auto" w:fill="FFFFFF"/>
        </w:rPr>
        <w:t>rebuttable presumptions</w:t>
      </w:r>
      <w:r w:rsidRPr="00156B3D">
        <w:rPr>
          <w:shd w:val="clear" w:color="auto" w:fill="FFFFFF"/>
        </w:rPr>
        <w:t xml:space="preserve"> regarding the </w:t>
      </w:r>
      <w:r w:rsidRPr="00156B3D">
        <w:rPr>
          <w:b/>
          <w:bCs/>
          <w:shd w:val="clear" w:color="auto" w:fill="FFFFFF"/>
        </w:rPr>
        <w:t>reasonableness in time</w:t>
      </w:r>
      <w:r w:rsidRPr="00156B3D">
        <w:rPr>
          <w:shd w:val="clear" w:color="auto" w:fill="FFFFFF"/>
        </w:rPr>
        <w:t xml:space="preserve"> of a restrictive covenant an employer seeks to enforce after the termination of employment or a business relationship. Under HB 1034, a court will presume that a time restraint greater than the following is unreasonable:</w:t>
      </w:r>
    </w:p>
    <w:p w14:paraId="30715C3A"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2</w:t>
      </w:r>
      <w:r w:rsidRPr="00156B3D">
        <w:rPr>
          <w:shd w:val="clear" w:color="auto" w:fill="FFFFFF"/>
        </w:rPr>
        <w:t xml:space="preserve"> years for employees and independent contractors, measured from the date the employment or business relationship terminates;</w:t>
      </w:r>
    </w:p>
    <w:p w14:paraId="07EBF0D8"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3</w:t>
      </w:r>
      <w:r w:rsidRPr="00156B3D">
        <w:rPr>
          <w:shd w:val="clear" w:color="auto" w:fill="FFFFFF"/>
        </w:rPr>
        <w:t xml:space="preserve"> years for distributors, dealers, franchisees, lessees and licensees, measured from the date the business relationship terminates; and</w:t>
      </w:r>
    </w:p>
    <w:p w14:paraId="018344CC"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5</w:t>
      </w:r>
      <w:r w:rsidRPr="00156B3D">
        <w:rPr>
          <w:shd w:val="clear" w:color="auto" w:fill="FFFFFF"/>
        </w:rPr>
        <w:t xml:space="preserve"> years or a period equal to the time during which payments are made to the owner or seller, whichever is longer, for owners or sellers of business interests.</w:t>
      </w:r>
    </w:p>
    <w:p w14:paraId="23F2EDAC" w14:textId="77777777" w:rsidR="002C0337" w:rsidRDefault="002C0337" w:rsidP="002C0337">
      <w:pPr>
        <w:rPr>
          <w:shd w:val="clear" w:color="auto" w:fill="FFFFFF"/>
        </w:rPr>
      </w:pPr>
      <w:r>
        <w:rPr>
          <w:shd w:val="clear" w:color="auto" w:fill="FFFFFF"/>
        </w:rPr>
        <w:t xml:space="preserve">NOTE: </w:t>
      </w:r>
      <w:r w:rsidRPr="00156B3D">
        <w:rPr>
          <w:shd w:val="clear" w:color="auto" w:fill="FFFFFF"/>
        </w:rPr>
        <w:t>Courts may modify a restrictive covenant to render it reasonable and enforceable.</w:t>
      </w:r>
    </w:p>
    <w:p w14:paraId="3994B5BB" w14:textId="77777777" w:rsidR="002C0337" w:rsidRPr="00156B3D" w:rsidRDefault="002C0337" w:rsidP="002C0337">
      <w:pPr>
        <w:rPr>
          <w:shd w:val="clear" w:color="auto" w:fill="FFFFFF"/>
        </w:rPr>
      </w:pPr>
      <w:r w:rsidRPr="00156B3D">
        <w:rPr>
          <w:shd w:val="clear" w:color="auto" w:fill="FFFFFF"/>
        </w:rPr>
        <w:t xml:space="preserve">The new law </w:t>
      </w:r>
      <w:r>
        <w:rPr>
          <w:shd w:val="clear" w:color="auto" w:fill="FFFFFF"/>
        </w:rPr>
        <w:t xml:space="preserve">also </w:t>
      </w:r>
      <w:r w:rsidRPr="00156B3D">
        <w:rPr>
          <w:shd w:val="clear" w:color="auto" w:fill="FFFFFF"/>
        </w:rPr>
        <w:t xml:space="preserve">clarifies that employers </w:t>
      </w:r>
      <w:r w:rsidRPr="00156B3D">
        <w:rPr>
          <w:b/>
          <w:bCs/>
          <w:shd w:val="clear" w:color="auto" w:fill="FFFFFF"/>
        </w:rPr>
        <w:t>may still use and enforce confidentiality or nondisclosure agreements, client or customer nonsolicitation agreements, or employee nonsolicitation agreements</w:t>
      </w:r>
      <w:r w:rsidRPr="00156B3D">
        <w:rPr>
          <w:shd w:val="clear" w:color="auto" w:fill="FFFFFF"/>
        </w:rPr>
        <w:t>.</w:t>
      </w:r>
    </w:p>
    <w:p w14:paraId="190C8889" w14:textId="77777777" w:rsidR="002C0337" w:rsidRPr="00156B3D" w:rsidRDefault="002C0337" w:rsidP="002C0337">
      <w:pPr>
        <w:rPr>
          <w:shd w:val="clear" w:color="auto" w:fill="FFFFFF"/>
        </w:rPr>
      </w:pPr>
      <w:r w:rsidRPr="00156B3D">
        <w:rPr>
          <w:b/>
          <w:bCs/>
          <w:highlight w:val="lightGray"/>
          <w:shd w:val="clear" w:color="auto" w:fill="FFFFFF"/>
        </w:rPr>
        <w:t>Employer Takeaway:</w:t>
      </w:r>
      <w:r>
        <w:rPr>
          <w:shd w:val="clear" w:color="auto" w:fill="FFFFFF"/>
        </w:rPr>
        <w:t xml:space="preserve"> Employers are encouraged to review existing employee agreements to ensure the Agreements do not contain noncompete provisions prohibited by the enactment.</w:t>
      </w:r>
    </w:p>
    <w:p w14:paraId="6C350429" w14:textId="6637184C" w:rsidR="002C0337" w:rsidRPr="002C0337" w:rsidRDefault="002C0337" w:rsidP="002C0337">
      <w:r>
        <w:rPr>
          <w:b/>
          <w:bCs/>
          <w:caps/>
          <w:color w:val="0E425C"/>
          <w:sz w:val="26"/>
          <w:szCs w:val="26"/>
        </w:rPr>
        <w:t xml:space="preserve">Reminder: State to Require Employee Leave for Organ Donors Effective </w:t>
      </w:r>
      <w:r>
        <w:rPr>
          <w:b/>
          <w:bCs/>
          <w:caps/>
          <w:color w:val="0070C0"/>
          <w:sz w:val="26"/>
          <w:szCs w:val="26"/>
        </w:rPr>
        <w:t>April 23, 2026</w:t>
      </w:r>
    </w:p>
    <w:p w14:paraId="711A66D8" w14:textId="2D994691" w:rsidR="00BE4586" w:rsidRDefault="00BE4586" w:rsidP="00BE4586">
      <w:pPr>
        <w:jc w:val="center"/>
        <w:rPr>
          <w:b/>
          <w:bCs/>
          <w:caps/>
          <w:noProof/>
          <w:color w:val="0E425C"/>
          <w:sz w:val="28"/>
          <w:szCs w:val="28"/>
        </w:rPr>
      </w:pPr>
      <w:r w:rsidRPr="00010461">
        <w:rPr>
          <w:b/>
          <w:bCs/>
          <w:caps/>
          <w:color w:val="0070C0"/>
          <w:sz w:val="26"/>
          <w:szCs w:val="26"/>
        </w:rPr>
        <w:t>New!</w:t>
      </w:r>
      <w:r w:rsidRPr="00C72726">
        <w:rPr>
          <w:b/>
          <w:bCs/>
          <w:caps/>
          <w:noProof/>
          <w:color w:val="0E425C"/>
          <w:sz w:val="26"/>
          <w:szCs w:val="26"/>
        </w:rPr>
        <w:t xml:space="preserve"> </w:t>
      </w:r>
      <w:r>
        <w:rPr>
          <w:b/>
          <w:bCs/>
          <w:caps/>
          <w:noProof/>
          <w:color w:val="0E425C"/>
          <w:sz w:val="26"/>
          <w:szCs w:val="26"/>
        </w:rPr>
        <w:t xml:space="preserve">StAte to Require Employee Leave for Organ Donors Effective </w:t>
      </w:r>
      <w:r w:rsidRPr="00327D73">
        <w:rPr>
          <w:b/>
          <w:bCs/>
          <w:caps/>
          <w:color w:val="0070C0"/>
          <w:sz w:val="26"/>
          <w:szCs w:val="26"/>
        </w:rPr>
        <w:t>April 23, 2026</w:t>
      </w:r>
    </w:p>
    <w:p w14:paraId="1CE86B66" w14:textId="77777777" w:rsidR="00BE4586" w:rsidRDefault="00BE4586" w:rsidP="00BE4586">
      <w:r w:rsidRPr="00901AD6">
        <w:t>The state has recently</w:t>
      </w:r>
      <w:r>
        <w:t xml:space="preserve"> enacted a</w:t>
      </w:r>
      <w:r w:rsidRPr="00901AD6">
        <w:t xml:space="preserve"> law providing </w:t>
      </w:r>
      <w:r>
        <w:t>12 weeks of j</w:t>
      </w:r>
      <w:r w:rsidRPr="00901AD6">
        <w:t xml:space="preserve">ob-protected leave for eligible employees who are organ donors. The new law applies to all employers with at least </w:t>
      </w:r>
      <w:r>
        <w:t>1</w:t>
      </w:r>
      <w:r w:rsidRPr="00901AD6">
        <w:t xml:space="preserve"> employee</w:t>
      </w:r>
      <w:r>
        <w:t xml:space="preserve"> in the state.</w:t>
      </w:r>
    </w:p>
    <w:p w14:paraId="1B6CF682" w14:textId="77777777" w:rsidR="00BE4586" w:rsidRPr="00901AD6" w:rsidRDefault="00BE4586" w:rsidP="00BE4586">
      <w:pPr>
        <w:rPr>
          <w:b/>
          <w:bCs/>
        </w:rPr>
      </w:pPr>
      <w:r w:rsidRPr="00901AD6">
        <w:rPr>
          <w:b/>
          <w:bCs/>
        </w:rPr>
        <w:t>Covered Employers &amp; Employees</w:t>
      </w:r>
    </w:p>
    <w:p w14:paraId="3E399385" w14:textId="77777777" w:rsidR="00BE4586" w:rsidRPr="00901AD6" w:rsidRDefault="00BE4586" w:rsidP="00BE4586">
      <w:r>
        <w:t>Employee</w:t>
      </w:r>
      <w:r w:rsidRPr="00901AD6">
        <w:t>s are only covered if they meet the definition of “</w:t>
      </w:r>
      <w:hyperlink r:id="rId1035" w:history="1">
        <w:r w:rsidRPr="00901AD6">
          <w:rPr>
            <w:rStyle w:val="Hyperlink"/>
            <w:color w:val="auto"/>
          </w:rPr>
          <w:t>eligible employee</w:t>
        </w:r>
      </w:hyperlink>
      <w:r w:rsidRPr="00901AD6">
        <w:t>” in the federal Family and Medical Leave Act (FMLA). That means they:</w:t>
      </w:r>
    </w:p>
    <w:p w14:paraId="41DD3B4B" w14:textId="77777777" w:rsidR="00BE4586" w:rsidRPr="00901AD6" w:rsidRDefault="00BE4586" w:rsidP="00BE4586">
      <w:pPr>
        <w:pStyle w:val="Bullet"/>
        <w:spacing w:after="80"/>
        <w:ind w:left="648"/>
        <w:rPr>
          <w:color w:val="auto"/>
        </w:rPr>
      </w:pPr>
      <w:r w:rsidRPr="00901AD6">
        <w:rPr>
          <w:color w:val="auto"/>
        </w:rPr>
        <w:t>Have worked for a covered employer for at least 12 months,</w:t>
      </w:r>
    </w:p>
    <w:p w14:paraId="5F388E40" w14:textId="77777777" w:rsidR="00BE4586" w:rsidRPr="00901AD6" w:rsidRDefault="00BE4586" w:rsidP="00BE4586">
      <w:pPr>
        <w:pStyle w:val="Bullet"/>
        <w:spacing w:after="80"/>
        <w:ind w:left="648"/>
        <w:rPr>
          <w:color w:val="auto"/>
        </w:rPr>
      </w:pPr>
      <w:r w:rsidRPr="00901AD6">
        <w:rPr>
          <w:color w:val="auto"/>
        </w:rPr>
        <w:lastRenderedPageBreak/>
        <w:t>Have at least 1,250 hours of service with the employer during the 12 months before their FMLA leave starts, and</w:t>
      </w:r>
    </w:p>
    <w:p w14:paraId="17B61D92" w14:textId="77777777" w:rsidR="00BE4586" w:rsidRDefault="00BE4586" w:rsidP="00BE4586">
      <w:pPr>
        <w:pStyle w:val="Bullet"/>
        <w:spacing w:after="80"/>
        <w:ind w:left="648"/>
        <w:rPr>
          <w:color w:val="auto"/>
        </w:rPr>
      </w:pPr>
      <w:r w:rsidRPr="00901AD6">
        <w:rPr>
          <w:color w:val="auto"/>
        </w:rPr>
        <w:t xml:space="preserve">Work at a location within 75 miles of where the employer has at least 50 employees. </w:t>
      </w:r>
    </w:p>
    <w:p w14:paraId="4099283B" w14:textId="77777777" w:rsidR="00BE4586" w:rsidRPr="00901AD6" w:rsidRDefault="00BE4586" w:rsidP="00BE4586">
      <w:pPr>
        <w:pStyle w:val="Bullet"/>
        <w:numPr>
          <w:ilvl w:val="0"/>
          <w:numId w:val="0"/>
        </w:numPr>
        <w:spacing w:after="80"/>
        <w:rPr>
          <w:color w:val="auto"/>
        </w:rPr>
      </w:pPr>
      <w:r>
        <w:rPr>
          <w:color w:val="auto"/>
        </w:rPr>
        <w:t>As with any state leave, employees are expected to provide advance notice – 30 days or as soon as reasonably possible.</w:t>
      </w:r>
    </w:p>
    <w:p w14:paraId="56CC1C16" w14:textId="2B57764F" w:rsidR="00400188" w:rsidRPr="00986159" w:rsidRDefault="00BE4586" w:rsidP="00986159">
      <w:r>
        <w:t>ETC is issuing an updated Tennessee State Handbook addendum April 2026 for employer review, adoption and distribution.</w:t>
      </w:r>
    </w:p>
    <w:p w14:paraId="4FAE9F99" w14:textId="77777777" w:rsidR="00400188" w:rsidRDefault="00400188" w:rsidP="009040C5">
      <w:pPr>
        <w:spacing w:after="0" w:line="240" w:lineRule="auto"/>
        <w:jc w:val="both"/>
        <w:rPr>
          <w:rFonts w:ascii="Calibri" w:hAnsi="Calibri" w:cs="Calibri"/>
          <w:b/>
          <w:bCs/>
          <w:color w:val="2E74B5" w:themeColor="accent5" w:themeShade="BF"/>
          <w:sz w:val="28"/>
          <w:szCs w:val="28"/>
          <w:shd w:val="clear" w:color="auto" w:fill="FFFFFF"/>
          <w:lang w:val="en"/>
        </w:rPr>
      </w:pPr>
    </w:p>
    <w:p w14:paraId="37C4A397" w14:textId="10E2C2D5"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Texas</w:t>
      </w:r>
    </w:p>
    <w:p w14:paraId="6810DF7F" w14:textId="04C77ACF" w:rsidR="00132014" w:rsidRPr="00DD7BD1" w:rsidRDefault="00132014" w:rsidP="00132014">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Texas Attorney General Releases Opinion Letter Related DEI </w:t>
      </w:r>
    </w:p>
    <w:p w14:paraId="6A5AF2AF" w14:textId="77777777" w:rsidR="00132014" w:rsidRPr="00DD7BD1" w:rsidRDefault="00132014" w:rsidP="00132014">
      <w:pPr>
        <w:rPr>
          <w:rFonts w:ascii="Calibri" w:hAnsi="Calibri" w:cs="Calibri"/>
          <w:shd w:val="clear" w:color="auto" w:fill="FFFFFF"/>
        </w:rPr>
      </w:pPr>
      <w:r w:rsidRPr="00DD7BD1">
        <w:rPr>
          <w:rFonts w:ascii="Calibri" w:hAnsi="Calibri" w:cs="Calibri"/>
          <w:shd w:val="clear" w:color="auto" w:fill="FFFFFF"/>
        </w:rPr>
        <w:t xml:space="preserve">Texas’s Attorney General recently issued a 74-page </w:t>
      </w:r>
      <w:hyperlink r:id="rId1036" w:history="1">
        <w:r w:rsidRPr="00DD7BD1">
          <w:rPr>
            <w:rStyle w:val="Hyperlink"/>
            <w:rFonts w:ascii="Calibri" w:hAnsi="Calibri" w:cs="Calibri"/>
            <w:shd w:val="clear" w:color="auto" w:fill="FFFFFF"/>
          </w:rPr>
          <w:t>Opinion</w:t>
        </w:r>
      </w:hyperlink>
      <w:r w:rsidRPr="00DD7BD1">
        <w:rPr>
          <w:rFonts w:ascii="Calibri" w:hAnsi="Calibri" w:cs="Calibri"/>
          <w:shd w:val="clear" w:color="auto" w:fill="FFFFFF"/>
        </w:rPr>
        <w:t xml:space="preserve"> questioning the legality of various Diversity, Equity, and Inclusion (DEI) initiatives across the state in both public and private sectors, alleging that the below five employer initiatives where “present day DEI practices” can potentially lead to legal exposure:</w:t>
      </w:r>
    </w:p>
    <w:p w14:paraId="3E1D24D3"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hiring and promotion processes;</w:t>
      </w:r>
    </w:p>
    <w:p w14:paraId="7F1A992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pay, bonuses, and promotion goals;</w:t>
      </w:r>
    </w:p>
    <w:p w14:paraId="3A72599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employee resource groups, mentoring, and training;</w:t>
      </w:r>
    </w:p>
    <w:p w14:paraId="4FE3C966"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supplier diversity; and</w:t>
      </w:r>
    </w:p>
    <w:p w14:paraId="70B23C32"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governance structures and public goals.</w:t>
      </w:r>
    </w:p>
    <w:p w14:paraId="00BC4AD2" w14:textId="77777777" w:rsidR="00132014" w:rsidRPr="00DD7BD1" w:rsidRDefault="00132014" w:rsidP="00132014">
      <w:pPr>
        <w:numPr>
          <w:ilvl w:val="0"/>
          <w:numId w:val="312"/>
        </w:numPr>
        <w:spacing w:after="0" w:line="240" w:lineRule="auto"/>
        <w:rPr>
          <w:rFonts w:ascii="Calibri" w:hAnsi="Calibri" w:cs="Calibri"/>
          <w:shd w:val="clear" w:color="auto" w:fill="FFFFFF"/>
        </w:rPr>
      </w:pPr>
    </w:p>
    <w:p w14:paraId="3A3A425E" w14:textId="1FB884B3" w:rsidR="00132014" w:rsidRPr="00DD7BD1" w:rsidRDefault="00132014" w:rsidP="00132014">
      <w:pPr>
        <w:rPr>
          <w:rFonts w:ascii="Calibri" w:hAnsi="Calibri" w:cs="Calibri"/>
          <w:shd w:val="clear" w:color="auto" w:fill="FFFFFF"/>
        </w:rPr>
      </w:pPr>
      <w:r w:rsidRPr="00DD7BD1">
        <w:rPr>
          <w:rFonts w:ascii="Calibri" w:hAnsi="Calibri" w:cs="Calibri"/>
          <w:b/>
          <w:bCs/>
          <w:highlight w:val="lightGray"/>
          <w:shd w:val="clear" w:color="auto" w:fill="FFFFFF"/>
        </w:rPr>
        <w:t>Key Takeaways</w:t>
      </w:r>
      <w:r w:rsidRPr="00DD7BD1">
        <w:rPr>
          <w:rFonts w:ascii="Calibri" w:hAnsi="Calibri" w:cs="Calibri"/>
          <w:shd w:val="clear" w:color="auto" w:fill="FFFFFF"/>
        </w:rPr>
        <w:t>: Employers are encouraged to examine all DEI-related policies and ensure that these policies do not give preference or impose illegal requirements based on any protected characteristics. This includes reviewing job postings, application forms, internal training materials and programs. Employers are encouraged to consider broader inclusion efforts that don’t single out or favor any demographic groups to avoid allegations of preferential treatment.</w:t>
      </w:r>
    </w:p>
    <w:p w14:paraId="09056878" w14:textId="6B446742" w:rsidR="00D4266B" w:rsidRPr="00DD7BD1" w:rsidRDefault="00D4266B" w:rsidP="00D4266B">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Enacts</w:t>
      </w:r>
      <w:r w:rsidRPr="00DD7BD1">
        <w:rPr>
          <w:rFonts w:ascii="Calibri" w:hAnsi="Calibri" w:cs="Calibri"/>
          <w:b/>
          <w:spacing w:val="-8"/>
          <w:sz w:val="28"/>
        </w:rPr>
        <w:t xml:space="preserve"> </w:t>
      </w:r>
      <w:r w:rsidRPr="00DD7BD1">
        <w:rPr>
          <w:rFonts w:ascii="Calibri" w:hAnsi="Calibri" w:cs="Calibri"/>
          <w:b/>
          <w:spacing w:val="-6"/>
          <w:sz w:val="28"/>
        </w:rPr>
        <w:t>New Law</w:t>
      </w:r>
      <w:r w:rsidRPr="00DD7BD1">
        <w:rPr>
          <w:rFonts w:ascii="Calibri" w:hAnsi="Calibri" w:cs="Calibri"/>
          <w:b/>
          <w:spacing w:val="-5"/>
          <w:sz w:val="28"/>
        </w:rPr>
        <w:t xml:space="preserve"> </w:t>
      </w:r>
      <w:r w:rsidRPr="00DD7BD1">
        <w:rPr>
          <w:rFonts w:ascii="Calibri" w:hAnsi="Calibri" w:cs="Calibri"/>
          <w:b/>
          <w:spacing w:val="-6"/>
          <w:sz w:val="28"/>
        </w:rPr>
        <w:t>for</w:t>
      </w:r>
      <w:r w:rsidRPr="00DD7BD1">
        <w:rPr>
          <w:rFonts w:ascii="Calibri" w:hAnsi="Calibri" w:cs="Calibri"/>
          <w:b/>
          <w:spacing w:val="-7"/>
          <w:sz w:val="28"/>
        </w:rPr>
        <w:t xml:space="preserve"> </w:t>
      </w:r>
      <w:r w:rsidRPr="00DD7BD1">
        <w:rPr>
          <w:rFonts w:ascii="Calibri" w:hAnsi="Calibri" w:cs="Calibri"/>
          <w:b/>
          <w:spacing w:val="-6"/>
          <w:sz w:val="28"/>
        </w:rPr>
        <w:t>Employers</w:t>
      </w:r>
      <w:r w:rsidRPr="00DD7BD1">
        <w:rPr>
          <w:rFonts w:ascii="Calibri" w:hAnsi="Calibri" w:cs="Calibri"/>
          <w:b/>
          <w:spacing w:val="-5"/>
          <w:sz w:val="28"/>
        </w:rPr>
        <w:t xml:space="preserve"> </w:t>
      </w:r>
      <w:r w:rsidRPr="00DD7BD1">
        <w:rPr>
          <w:rFonts w:ascii="Calibri" w:hAnsi="Calibri" w:cs="Calibri"/>
          <w:b/>
          <w:spacing w:val="-6"/>
          <w:sz w:val="28"/>
        </w:rPr>
        <w:t>Using Artificial</w:t>
      </w:r>
      <w:r w:rsidRPr="00DD7BD1">
        <w:rPr>
          <w:rFonts w:ascii="Calibri" w:hAnsi="Calibri" w:cs="Calibri"/>
          <w:b/>
          <w:spacing w:val="-5"/>
          <w:sz w:val="28"/>
        </w:rPr>
        <w:t xml:space="preserve"> </w:t>
      </w:r>
      <w:r w:rsidRPr="00DD7BD1">
        <w:rPr>
          <w:rFonts w:ascii="Calibri" w:hAnsi="Calibri" w:cs="Calibri"/>
          <w:b/>
          <w:spacing w:val="-6"/>
          <w:sz w:val="28"/>
        </w:rPr>
        <w:t>Intelligence</w:t>
      </w:r>
      <w:r w:rsidRPr="00DD7BD1">
        <w:rPr>
          <w:rFonts w:ascii="Calibri" w:hAnsi="Calibri" w:cs="Calibri"/>
          <w:b/>
          <w:spacing w:val="-2"/>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1, 2026</w:t>
      </w:r>
    </w:p>
    <w:p w14:paraId="2F858C33" w14:textId="77777777" w:rsidR="00D4266B" w:rsidRPr="00DD7BD1" w:rsidRDefault="00D4266B" w:rsidP="00D4266B">
      <w:pPr>
        <w:pStyle w:val="BodyText"/>
        <w:spacing w:after="0" w:line="240" w:lineRule="auto"/>
        <w:ind w:right="-187"/>
        <w:jc w:val="left"/>
        <w:rPr>
          <w:rFonts w:cs="Calibri"/>
          <w:color w:val="auto"/>
          <w:szCs w:val="22"/>
        </w:rPr>
      </w:pP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Greg</w:t>
      </w:r>
      <w:r w:rsidRPr="00DD7BD1">
        <w:rPr>
          <w:rFonts w:cs="Calibri"/>
          <w:color w:val="auto"/>
          <w:spacing w:val="-17"/>
          <w:w w:val="110"/>
          <w:szCs w:val="22"/>
        </w:rPr>
        <w:t xml:space="preserve"> </w:t>
      </w:r>
      <w:r w:rsidRPr="00DD7BD1">
        <w:rPr>
          <w:rFonts w:cs="Calibri"/>
          <w:color w:val="auto"/>
          <w:w w:val="110"/>
          <w:szCs w:val="22"/>
        </w:rPr>
        <w:t>Abbott</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Texas</w:t>
      </w:r>
      <w:r w:rsidRPr="00DD7BD1">
        <w:rPr>
          <w:rFonts w:cs="Calibri"/>
          <w:color w:val="auto"/>
          <w:spacing w:val="-16"/>
          <w:w w:val="110"/>
          <w:szCs w:val="22"/>
        </w:rPr>
        <w:t xml:space="preserve"> </w:t>
      </w:r>
      <w:r w:rsidRPr="00DD7BD1">
        <w:rPr>
          <w:rFonts w:cs="Calibri"/>
          <w:color w:val="auto"/>
          <w:w w:val="110"/>
          <w:szCs w:val="22"/>
        </w:rPr>
        <w:t>Responsible</w:t>
      </w:r>
      <w:r w:rsidRPr="00DD7BD1">
        <w:rPr>
          <w:rFonts w:cs="Calibri"/>
          <w:color w:val="auto"/>
          <w:spacing w:val="-17"/>
          <w:w w:val="110"/>
          <w:szCs w:val="22"/>
        </w:rPr>
        <w:t xml:space="preserve"> </w:t>
      </w:r>
      <w:r w:rsidRPr="00DD7BD1">
        <w:rPr>
          <w:rFonts w:cs="Calibri"/>
          <w:color w:val="auto"/>
          <w:w w:val="110"/>
          <w:szCs w:val="22"/>
        </w:rPr>
        <w:t>Artificial</w:t>
      </w:r>
      <w:r w:rsidRPr="00DD7BD1">
        <w:rPr>
          <w:rFonts w:cs="Calibri"/>
          <w:color w:val="auto"/>
          <w:spacing w:val="-17"/>
          <w:w w:val="110"/>
          <w:szCs w:val="22"/>
        </w:rPr>
        <w:t xml:space="preserve"> </w:t>
      </w:r>
      <w:r w:rsidRPr="00DD7BD1">
        <w:rPr>
          <w:rFonts w:cs="Calibri"/>
          <w:color w:val="auto"/>
          <w:w w:val="110"/>
          <w:szCs w:val="22"/>
        </w:rPr>
        <w:t>Intelligence</w:t>
      </w:r>
      <w:r w:rsidRPr="00DD7BD1">
        <w:rPr>
          <w:rFonts w:cs="Calibri"/>
          <w:color w:val="auto"/>
          <w:spacing w:val="-17"/>
          <w:w w:val="110"/>
          <w:szCs w:val="22"/>
        </w:rPr>
        <w:t xml:space="preserve"> </w:t>
      </w:r>
      <w:r w:rsidRPr="00DD7BD1">
        <w:rPr>
          <w:rFonts w:cs="Calibri"/>
          <w:color w:val="auto"/>
          <w:w w:val="110"/>
          <w:szCs w:val="22"/>
        </w:rPr>
        <w:t>Governance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6"/>
          <w:w w:val="110"/>
          <w:szCs w:val="22"/>
        </w:rPr>
        <w:t xml:space="preserve"> </w:t>
      </w:r>
      <w:r w:rsidRPr="00DD7BD1">
        <w:rPr>
          <w:rFonts w:cs="Calibri"/>
          <w:color w:val="auto"/>
          <w:w w:val="110"/>
          <w:szCs w:val="22"/>
        </w:rPr>
        <w:t>(TRAIGA</w:t>
      </w:r>
      <w:hyperlink r:id="rId1037" w:anchor="navpanes%3D0">
        <w:r w:rsidRPr="00DD7BD1">
          <w:rPr>
            <w:rFonts w:cs="Calibri"/>
            <w:color w:val="0000FF"/>
            <w:w w:val="110"/>
            <w:szCs w:val="22"/>
            <w:u w:val="single" w:color="0000FF"/>
          </w:rPr>
          <w: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149</w:t>
        </w:r>
      </w:hyperlink>
      <w:r w:rsidRPr="00DD7BD1">
        <w:rPr>
          <w:rFonts w:cs="Calibri"/>
          <w:w w:val="110"/>
          <w:szCs w:val="22"/>
        </w:rPr>
        <w:t>)</w:t>
      </w:r>
      <w:r w:rsidRPr="00DD7BD1">
        <w:rPr>
          <w:rFonts w:cs="Calibri"/>
          <w:spacing w:val="-17"/>
          <w:w w:val="110"/>
          <w:szCs w:val="22"/>
        </w:rPr>
        <w:t xml:space="preserve"> </w:t>
      </w:r>
      <w:r w:rsidRPr="00DD7BD1">
        <w:rPr>
          <w:rFonts w:cs="Calibri"/>
          <w:color w:val="auto"/>
          <w:w w:val="110"/>
          <w:szCs w:val="22"/>
        </w:rPr>
        <w:t>into law which becomes effective on January 1, 2026.</w:t>
      </w:r>
    </w:p>
    <w:p w14:paraId="31605ABE" w14:textId="77777777" w:rsidR="00D4266B" w:rsidRPr="00DD7BD1" w:rsidRDefault="00D4266B" w:rsidP="00D4266B">
      <w:pPr>
        <w:pStyle w:val="Heading4"/>
        <w:spacing w:before="0"/>
        <w:ind w:right="-187"/>
        <w:rPr>
          <w:rFonts w:ascii="Calibri" w:hAnsi="Calibri" w:cs="Calibri"/>
          <w:b/>
          <w:bCs/>
          <w:i w:val="0"/>
          <w:iCs w:val="0"/>
          <w:color w:val="auto"/>
          <w:spacing w:val="-8"/>
          <w:highlight w:val="lightGray"/>
        </w:rPr>
      </w:pPr>
    </w:p>
    <w:p w14:paraId="5885F92C" w14:textId="77777777" w:rsidR="00D4266B" w:rsidRPr="00DD7BD1" w:rsidRDefault="00D4266B" w:rsidP="00D4266B">
      <w:pPr>
        <w:pStyle w:val="Heading4"/>
        <w:spacing w:before="0" w:line="240" w:lineRule="auto"/>
        <w:ind w:right="-187"/>
        <w:rPr>
          <w:rFonts w:ascii="Calibri" w:hAnsi="Calibri" w:cs="Calibri"/>
          <w:b/>
          <w:bCs/>
          <w:i w:val="0"/>
          <w:iCs w:val="0"/>
          <w:color w:val="auto"/>
        </w:rPr>
      </w:pPr>
      <w:r w:rsidRPr="00DD7BD1">
        <w:rPr>
          <w:rFonts w:ascii="Calibri" w:hAnsi="Calibri" w:cs="Calibri"/>
          <w:b/>
          <w:bCs/>
          <w:i w:val="0"/>
          <w:iCs w:val="0"/>
          <w:color w:val="auto"/>
          <w:spacing w:val="-8"/>
          <w:highlight w:val="lightGray"/>
        </w:rPr>
        <w:t>Recommendations</w:t>
      </w:r>
      <w:r w:rsidRPr="00DD7BD1">
        <w:rPr>
          <w:rFonts w:ascii="Calibri" w:hAnsi="Calibri" w:cs="Calibri"/>
          <w:b/>
          <w:bCs/>
          <w:i w:val="0"/>
          <w:iCs w:val="0"/>
          <w:color w:val="auto"/>
          <w:spacing w:val="-5"/>
          <w:highlight w:val="lightGray"/>
        </w:rPr>
        <w:t xml:space="preserve"> </w:t>
      </w:r>
      <w:r w:rsidRPr="00DD7BD1">
        <w:rPr>
          <w:rFonts w:ascii="Calibri" w:hAnsi="Calibri" w:cs="Calibri"/>
          <w:b/>
          <w:bCs/>
          <w:i w:val="0"/>
          <w:iCs w:val="0"/>
          <w:color w:val="auto"/>
          <w:spacing w:val="-8"/>
          <w:highlight w:val="lightGray"/>
        </w:rPr>
        <w:t>for</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Employers</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Utilizing</w:t>
      </w:r>
      <w:r w:rsidRPr="00DD7BD1">
        <w:rPr>
          <w:rFonts w:ascii="Calibri" w:hAnsi="Calibri" w:cs="Calibri"/>
          <w:b/>
          <w:bCs/>
          <w:i w:val="0"/>
          <w:iCs w:val="0"/>
          <w:color w:val="auto"/>
          <w:spacing w:val="-2"/>
          <w:highlight w:val="lightGray"/>
        </w:rPr>
        <w:t xml:space="preserve"> </w:t>
      </w:r>
      <w:r w:rsidRPr="00DD7BD1">
        <w:rPr>
          <w:rFonts w:ascii="Calibri" w:hAnsi="Calibri" w:cs="Calibri"/>
          <w:b/>
          <w:bCs/>
          <w:i w:val="0"/>
          <w:iCs w:val="0"/>
          <w:color w:val="auto"/>
          <w:spacing w:val="-8"/>
          <w:highlight w:val="lightGray"/>
        </w:rPr>
        <w:t>AI</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Tools</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in</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Employment</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Candidate</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Software</w:t>
      </w:r>
    </w:p>
    <w:p w14:paraId="26B4F822"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If an employer’s Applicant Tracking System (ATS), resume-screener, or candidate-matching AI tool could inadvertently display</w:t>
      </w:r>
      <w:r w:rsidRPr="00DD7BD1">
        <w:rPr>
          <w:rFonts w:cs="Calibri"/>
          <w:color w:val="auto"/>
          <w:spacing w:val="-9"/>
          <w:w w:val="110"/>
          <w:szCs w:val="22"/>
        </w:rPr>
        <w:t xml:space="preserve"> </w:t>
      </w:r>
      <w:r w:rsidRPr="00DD7BD1">
        <w:rPr>
          <w:rFonts w:cs="Calibri"/>
          <w:color w:val="auto"/>
          <w:w w:val="110"/>
          <w:szCs w:val="22"/>
        </w:rPr>
        <w:t>intent to discriminate against protected groups, an employer may be at risk even without disparate impact alone.</w:t>
      </w:r>
    </w:p>
    <w:p w14:paraId="07A00074" w14:textId="77777777" w:rsidR="00D4266B" w:rsidRPr="00DD7BD1" w:rsidRDefault="00D4266B" w:rsidP="00D4266B">
      <w:pPr>
        <w:pStyle w:val="BodyText"/>
        <w:spacing w:after="0" w:line="240" w:lineRule="auto"/>
        <w:ind w:right="-187"/>
        <w:jc w:val="left"/>
        <w:rPr>
          <w:rFonts w:cs="Calibri"/>
          <w:color w:val="auto"/>
          <w:sz w:val="16"/>
          <w:szCs w:val="16"/>
        </w:rPr>
      </w:pPr>
    </w:p>
    <w:p w14:paraId="203E1C4A"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confirm</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any</w:t>
      </w:r>
      <w:r w:rsidRPr="00DD7BD1">
        <w:rPr>
          <w:rFonts w:cs="Calibri"/>
          <w:color w:val="auto"/>
          <w:spacing w:val="-3"/>
          <w:w w:val="110"/>
          <w:szCs w:val="22"/>
        </w:rPr>
        <w:t xml:space="preserve"> </w:t>
      </w:r>
      <w:r w:rsidRPr="00DD7BD1">
        <w:rPr>
          <w:rFonts w:cs="Calibri"/>
          <w:color w:val="auto"/>
          <w:w w:val="110"/>
          <w:szCs w:val="22"/>
        </w:rPr>
        <w:t>tools</w:t>
      </w:r>
      <w:r w:rsidRPr="00DD7BD1">
        <w:rPr>
          <w:rFonts w:cs="Calibri"/>
          <w:color w:val="auto"/>
          <w:spacing w:val="-3"/>
          <w:w w:val="110"/>
          <w:szCs w:val="22"/>
        </w:rPr>
        <w:t xml:space="preserve"> </w:t>
      </w:r>
      <w:r w:rsidRPr="00DD7BD1">
        <w:rPr>
          <w:rFonts w:cs="Calibri"/>
          <w:color w:val="auto"/>
          <w:w w:val="110"/>
          <w:szCs w:val="22"/>
        </w:rPr>
        <w:t>do</w:t>
      </w:r>
      <w:r w:rsidRPr="00DD7BD1">
        <w:rPr>
          <w:rFonts w:cs="Calibri"/>
          <w:color w:val="auto"/>
          <w:spacing w:val="-3"/>
          <w:w w:val="110"/>
          <w:szCs w:val="22"/>
        </w:rPr>
        <w:t xml:space="preserve"> </w:t>
      </w:r>
      <w:r w:rsidRPr="00DD7BD1">
        <w:rPr>
          <w:rFonts w:cs="Calibri"/>
          <w:color w:val="auto"/>
          <w:w w:val="110"/>
          <w:szCs w:val="22"/>
        </w:rPr>
        <w:t>not</w:t>
      </w:r>
      <w:r w:rsidRPr="00DD7BD1">
        <w:rPr>
          <w:rFonts w:cs="Calibri"/>
          <w:color w:val="auto"/>
          <w:spacing w:val="-4"/>
          <w:w w:val="110"/>
          <w:szCs w:val="22"/>
        </w:rPr>
        <w:t xml:space="preserve"> </w:t>
      </w:r>
      <w:r w:rsidRPr="00DD7BD1">
        <w:rPr>
          <w:rFonts w:cs="Calibri"/>
          <w:color w:val="auto"/>
          <w:w w:val="110"/>
          <w:szCs w:val="22"/>
        </w:rPr>
        <w:t>intentionally</w:t>
      </w:r>
      <w:r w:rsidRPr="00DD7BD1">
        <w:rPr>
          <w:rFonts w:cs="Calibri"/>
          <w:color w:val="auto"/>
          <w:spacing w:val="-3"/>
          <w:w w:val="110"/>
          <w:szCs w:val="22"/>
        </w:rPr>
        <w:t xml:space="preserve"> </w:t>
      </w:r>
      <w:r w:rsidRPr="00DD7BD1">
        <w:rPr>
          <w:rFonts w:cs="Calibri"/>
          <w:color w:val="auto"/>
          <w:w w:val="110"/>
          <w:szCs w:val="22"/>
        </w:rPr>
        <w:t>discriminate</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protected</w:t>
      </w:r>
      <w:r w:rsidRPr="00DD7BD1">
        <w:rPr>
          <w:rFonts w:cs="Calibri"/>
          <w:color w:val="auto"/>
          <w:spacing w:val="-6"/>
          <w:w w:val="110"/>
          <w:szCs w:val="22"/>
        </w:rPr>
        <w:t xml:space="preserve"> </w:t>
      </w:r>
      <w:r w:rsidRPr="00DD7BD1">
        <w:rPr>
          <w:rFonts w:cs="Calibri"/>
          <w:color w:val="auto"/>
          <w:w w:val="110"/>
          <w:szCs w:val="22"/>
        </w:rPr>
        <w:t>group.</w:t>
      </w:r>
      <w:r w:rsidRPr="00DD7BD1">
        <w:rPr>
          <w:rFonts w:cs="Calibri"/>
          <w:color w:val="auto"/>
          <w:spacing w:val="-5"/>
          <w:w w:val="110"/>
          <w:szCs w:val="22"/>
        </w:rPr>
        <w:t xml:space="preserve"> </w:t>
      </w:r>
      <w:r w:rsidRPr="00DD7BD1">
        <w:rPr>
          <w:rFonts w:cs="Calibri"/>
          <w:color w:val="auto"/>
          <w:w w:val="110"/>
          <w:szCs w:val="22"/>
        </w:rPr>
        <w:t>Although</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DD7BD1" w:rsidRDefault="00D4266B" w:rsidP="00D4266B">
      <w:pPr>
        <w:pStyle w:val="BodyText"/>
        <w:spacing w:after="0" w:line="240" w:lineRule="auto"/>
        <w:ind w:right="-187"/>
        <w:jc w:val="left"/>
        <w:rPr>
          <w:rFonts w:cs="Calibri"/>
          <w:color w:val="auto"/>
          <w:sz w:val="16"/>
          <w:szCs w:val="16"/>
        </w:rPr>
      </w:pPr>
    </w:p>
    <w:p w14:paraId="41AF9C21" w14:textId="034B5A8C"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Compliance</w:t>
      </w:r>
      <w:r w:rsidRPr="00DD7BD1">
        <w:rPr>
          <w:rFonts w:cs="Calibri"/>
          <w:color w:val="auto"/>
          <w:spacing w:val="-14"/>
          <w:w w:val="110"/>
          <w:szCs w:val="22"/>
        </w:rPr>
        <w:t xml:space="preserve"> </w:t>
      </w:r>
      <w:r w:rsidRPr="00DD7BD1">
        <w:rPr>
          <w:rFonts w:cs="Calibri"/>
          <w:color w:val="auto"/>
          <w:w w:val="110"/>
          <w:szCs w:val="22"/>
        </w:rPr>
        <w:t>hinges</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4"/>
          <w:w w:val="110"/>
          <w:szCs w:val="22"/>
        </w:rPr>
        <w:t xml:space="preserve"> </w:t>
      </w:r>
      <w:r w:rsidRPr="00DD7BD1">
        <w:rPr>
          <w:rFonts w:cs="Calibri"/>
          <w:color w:val="auto"/>
          <w:w w:val="110"/>
          <w:szCs w:val="22"/>
        </w:rPr>
        <w:t>establishing</w:t>
      </w:r>
      <w:r w:rsidRPr="00DD7BD1">
        <w:rPr>
          <w:rFonts w:cs="Calibri"/>
          <w:color w:val="auto"/>
          <w:spacing w:val="-12"/>
          <w:w w:val="110"/>
          <w:szCs w:val="22"/>
        </w:rPr>
        <w:t xml:space="preserve"> </w:t>
      </w:r>
      <w:r w:rsidRPr="00DD7BD1">
        <w:rPr>
          <w:rFonts w:cs="Calibri"/>
          <w:color w:val="auto"/>
          <w:w w:val="110"/>
          <w:szCs w:val="22"/>
        </w:rPr>
        <w:t>internal</w:t>
      </w:r>
      <w:r w:rsidRPr="00DD7BD1">
        <w:rPr>
          <w:rFonts w:cs="Calibri"/>
          <w:color w:val="auto"/>
          <w:spacing w:val="-16"/>
          <w:w w:val="110"/>
          <w:szCs w:val="22"/>
        </w:rPr>
        <w:t xml:space="preserve"> </w:t>
      </w:r>
      <w:r w:rsidRPr="00DD7BD1">
        <w:rPr>
          <w:rFonts w:cs="Calibri"/>
          <w:color w:val="auto"/>
          <w:w w:val="110"/>
          <w:szCs w:val="22"/>
        </w:rPr>
        <w:t>governance:</w:t>
      </w:r>
      <w:r w:rsidRPr="00DD7BD1">
        <w:rPr>
          <w:rFonts w:cs="Calibri"/>
          <w:color w:val="auto"/>
          <w:spacing w:val="-13"/>
          <w:w w:val="110"/>
          <w:szCs w:val="22"/>
        </w:rPr>
        <w:t xml:space="preserve"> </w:t>
      </w:r>
      <w:r w:rsidRPr="00DD7BD1">
        <w:rPr>
          <w:rFonts w:cs="Calibri"/>
          <w:color w:val="auto"/>
          <w:w w:val="110"/>
          <w:szCs w:val="22"/>
        </w:rPr>
        <w:t>AI</w:t>
      </w:r>
      <w:r w:rsidRPr="00DD7BD1">
        <w:rPr>
          <w:rFonts w:cs="Calibri"/>
          <w:color w:val="auto"/>
          <w:spacing w:val="-17"/>
          <w:w w:val="110"/>
          <w:szCs w:val="22"/>
        </w:rPr>
        <w:t xml:space="preserve"> </w:t>
      </w:r>
      <w:r w:rsidRPr="00DD7BD1">
        <w:rPr>
          <w:rFonts w:cs="Calibri"/>
          <w:color w:val="auto"/>
          <w:w w:val="110"/>
          <w:szCs w:val="22"/>
        </w:rPr>
        <w:t>oversight</w:t>
      </w:r>
      <w:r w:rsidRPr="00DD7BD1">
        <w:rPr>
          <w:rFonts w:cs="Calibri"/>
          <w:color w:val="auto"/>
          <w:spacing w:val="-13"/>
          <w:w w:val="110"/>
          <w:szCs w:val="22"/>
        </w:rPr>
        <w:t xml:space="preserve"> </w:t>
      </w:r>
      <w:r w:rsidRPr="00DD7BD1">
        <w:rPr>
          <w:rFonts w:cs="Calibri"/>
          <w:color w:val="auto"/>
          <w:w w:val="110"/>
          <w:szCs w:val="22"/>
        </w:rPr>
        <w:t>teams,</w:t>
      </w:r>
      <w:r w:rsidRPr="00DD7BD1">
        <w:rPr>
          <w:rFonts w:cs="Calibri"/>
          <w:color w:val="auto"/>
          <w:spacing w:val="-16"/>
          <w:w w:val="110"/>
          <w:szCs w:val="22"/>
        </w:rPr>
        <w:t xml:space="preserve"> </w:t>
      </w:r>
      <w:r w:rsidRPr="00DD7BD1">
        <w:rPr>
          <w:rFonts w:cs="Calibri"/>
          <w:color w:val="auto"/>
          <w:w w:val="110"/>
          <w:szCs w:val="22"/>
        </w:rPr>
        <w:t>documentation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data</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D7BD1">
        <w:rPr>
          <w:rFonts w:cs="Calibri"/>
          <w:color w:val="auto"/>
          <w:spacing w:val="-3"/>
          <w:w w:val="110"/>
          <w:szCs w:val="22"/>
        </w:rPr>
        <w:t xml:space="preserve"> </w:t>
      </w:r>
      <w:r w:rsidRPr="00DD7BD1">
        <w:rPr>
          <w:rFonts w:cs="Calibri"/>
          <w:color w:val="auto"/>
          <w:w w:val="110"/>
          <w:szCs w:val="22"/>
        </w:rPr>
        <w:t>job-relatedness of AI tools.</w:t>
      </w:r>
    </w:p>
    <w:p w14:paraId="563B1898" w14:textId="77777777" w:rsidR="00D4266B" w:rsidRPr="00DD7BD1" w:rsidRDefault="00D4266B" w:rsidP="00D4266B">
      <w:pPr>
        <w:pStyle w:val="BodyText"/>
        <w:spacing w:after="0" w:line="240" w:lineRule="auto"/>
        <w:ind w:right="-187"/>
        <w:jc w:val="left"/>
        <w:rPr>
          <w:rFonts w:cs="Calibri"/>
          <w:color w:val="auto"/>
          <w:szCs w:val="22"/>
        </w:rPr>
      </w:pPr>
    </w:p>
    <w:p w14:paraId="12CCC9F0" w14:textId="0CCD793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Changes – Healthcare </w:t>
      </w:r>
      <w:bookmarkStart w:id="142" w:name="_Hlk205278604"/>
      <w:r w:rsidRPr="00DD7BD1">
        <w:rPr>
          <w:rFonts w:ascii="Calibri" w:hAnsi="Calibri" w:cs="Calibri"/>
          <w:b/>
          <w:bCs/>
          <w:sz w:val="28"/>
          <w:szCs w:val="28"/>
          <w:shd w:val="clear" w:color="auto" w:fill="FFFFFF"/>
          <w:lang w:val="en"/>
        </w:rPr>
        <w:t xml:space="preserve">Non-competes in Texas </w:t>
      </w:r>
      <w:r w:rsidRPr="00DD7BD1">
        <w:rPr>
          <w:rFonts w:ascii="Calibri" w:hAnsi="Calibri" w:cs="Calibri"/>
          <w:b/>
          <w:bCs/>
          <w:color w:val="C00000"/>
          <w:sz w:val="28"/>
          <w:szCs w:val="28"/>
          <w:shd w:val="clear" w:color="auto" w:fill="FFFFFF"/>
          <w:lang w:val="en"/>
        </w:rPr>
        <w:t>– Eff September 1, 2025</w:t>
      </w:r>
      <w:bookmarkEnd w:id="142"/>
    </w:p>
    <w:p w14:paraId="556BAFF6" w14:textId="77777777" w:rsidR="00F917CB" w:rsidRPr="00DD7BD1" w:rsidRDefault="00F917CB" w:rsidP="00F917CB">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A </w:t>
      </w:r>
      <w:r w:rsidRPr="00DD7BD1">
        <w:rPr>
          <w:rFonts w:ascii="Calibri" w:hAnsi="Calibri" w:cs="Calibri"/>
          <w:shd w:val="clear" w:color="auto" w:fill="FFFFFF"/>
        </w:rPr>
        <w:t xml:space="preserve">new Texas law that restricts the use of noncompete clauses in physician and other health care practitioner employment contracts </w:t>
      </w:r>
      <w:proofErr w:type="gramStart"/>
      <w:r w:rsidRPr="00DD7BD1">
        <w:rPr>
          <w:rFonts w:ascii="Calibri" w:hAnsi="Calibri" w:cs="Calibri"/>
          <w:shd w:val="clear" w:color="auto" w:fill="FFFFFF"/>
        </w:rPr>
        <w:t>entered into</w:t>
      </w:r>
      <w:proofErr w:type="gramEnd"/>
      <w:r w:rsidRPr="00DD7BD1">
        <w:rPr>
          <w:rFonts w:ascii="Calibri" w:hAnsi="Calibri" w:cs="Calibri"/>
          <w:shd w:val="clear" w:color="auto" w:fill="FFFFFF"/>
        </w:rPr>
        <w:t xml:space="preserve"> or renewed on or after September 1.  With </w:t>
      </w:r>
      <w:hyperlink r:id="rId1038" w:tgtFrame="_blank" w:history="1">
        <w:r w:rsidRPr="00DD7BD1">
          <w:rPr>
            <w:rStyle w:val="Hyperlink"/>
            <w:rFonts w:ascii="Calibri" w:hAnsi="Calibri" w:cs="Calibri"/>
            <w:shd w:val="clear" w:color="auto" w:fill="FFFFFF"/>
          </w:rPr>
          <w:t>Senate Bill 1318</w:t>
        </w:r>
      </w:hyperlink>
      <w:r w:rsidRPr="00DD7BD1">
        <w:rPr>
          <w:rFonts w:ascii="Calibri" w:hAnsi="Calibri" w:cs="Calibri"/>
          <w:shd w:val="clear" w:color="auto" w:fill="FFFFFF"/>
        </w:rPr>
        <w:t>, signed by Governor Greg Abbott on June 20, 2025, Texas makes significant changes to its </w:t>
      </w:r>
      <w:hyperlink r:id="rId1039" w:anchor="15.50" w:tgtFrame="_blank" w:history="1">
        <w:r w:rsidRPr="00DD7BD1">
          <w:rPr>
            <w:rStyle w:val="Hyperlink"/>
            <w:rFonts w:ascii="Calibri" w:hAnsi="Calibri" w:cs="Calibri"/>
            <w:shd w:val="clear" w:color="auto" w:fill="FFFFFF"/>
          </w:rPr>
          <w:t>law</w:t>
        </w:r>
      </w:hyperlink>
      <w:r w:rsidRPr="00DD7BD1">
        <w:rPr>
          <w:rFonts w:ascii="Calibri" w:hAnsi="Calibri" w:cs="Calibri"/>
          <w:shd w:val="clear" w:color="auto" w:fill="FFFFFF"/>
        </w:rPr>
        <w:t xml:space="preserve"> governing noncompete clauses in physician and other health care practitioner </w:t>
      </w:r>
      <w:r w:rsidRPr="00DD7BD1">
        <w:rPr>
          <w:rFonts w:ascii="Calibri" w:hAnsi="Calibri" w:cs="Calibri"/>
          <w:shd w:val="clear" w:color="auto" w:fill="FFFFFF"/>
        </w:rPr>
        <w:lastRenderedPageBreak/>
        <w:t>contracts. The Texas amendment follows a recent nationwide trend to restrict or eliminate noncompete clauses in health care provider contracts. </w:t>
      </w:r>
    </w:p>
    <w:p w14:paraId="1F4A5DEA" w14:textId="77777777" w:rsidR="00F917CB" w:rsidRPr="00DD7BD1" w:rsidRDefault="00F917CB" w:rsidP="00F917CB">
      <w:pPr>
        <w:spacing w:after="0" w:line="240" w:lineRule="auto"/>
        <w:rPr>
          <w:rFonts w:ascii="Calibri" w:hAnsi="Calibri" w:cs="Calibri"/>
          <w:b/>
          <w:bCs/>
          <w:color w:val="C00000"/>
          <w:sz w:val="16"/>
          <w:szCs w:val="16"/>
          <w:highlight w:val="yellow"/>
          <w:shd w:val="clear" w:color="auto" w:fill="FFFFFF"/>
          <w:lang w:val="en"/>
        </w:rPr>
      </w:pPr>
    </w:p>
    <w:p w14:paraId="0301A2EB" w14:textId="77777777" w:rsidR="00F917CB" w:rsidRPr="00DD7BD1" w:rsidRDefault="00F917CB" w:rsidP="00F917CB">
      <w:pPr>
        <w:spacing w:after="0" w:line="240" w:lineRule="auto"/>
        <w:rPr>
          <w:rFonts w:ascii="Calibri" w:hAnsi="Calibri" w:cs="Calibri"/>
          <w:b/>
          <w:bCs/>
          <w:shd w:val="clear" w:color="auto" w:fill="FFFFFF"/>
          <w:lang w:val="en"/>
        </w:rPr>
      </w:pPr>
      <w:r w:rsidRPr="00DD7BD1">
        <w:rPr>
          <w:rFonts w:ascii="Calibri" w:hAnsi="Calibri" w:cs="Calibri"/>
          <w:b/>
          <w:bCs/>
          <w:shd w:val="clear" w:color="auto" w:fill="FFFFFF"/>
          <w:lang w:val="en"/>
        </w:rPr>
        <w:t>Provisions Overview</w:t>
      </w:r>
    </w:p>
    <w:p w14:paraId="70D3BABB"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Noncompete clauses must expire after one year and be limited to a five-mile radius from the practitioner’s main practice location</w:t>
      </w:r>
    </w:p>
    <w:p w14:paraId="05AF7BF8"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The noncompete limitations cover physicians as well as dentists, nurses, and physician assistants</w:t>
      </w:r>
    </w:p>
    <w:p w14:paraId="38339004"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Current contracts are not affected, but any new agreements or contract renewals on or after September 1 are subject to the new law</w:t>
      </w:r>
    </w:p>
    <w:p w14:paraId="2D28C8C3" w14:textId="77777777" w:rsidR="00F917CB" w:rsidRPr="00DD7BD1" w:rsidRDefault="00F917CB" w:rsidP="00F917CB">
      <w:pPr>
        <w:spacing w:after="0" w:line="240" w:lineRule="auto"/>
        <w:rPr>
          <w:rFonts w:ascii="Calibri" w:hAnsi="Calibri" w:cs="Calibri"/>
          <w:sz w:val="16"/>
          <w:szCs w:val="16"/>
          <w:shd w:val="clear" w:color="auto" w:fill="FFFFFF"/>
        </w:rPr>
      </w:pPr>
    </w:p>
    <w:p w14:paraId="10AABC7B"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10D73C8"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contract templates to reflect the one-year duration, five-mile radius, and buyout ceiling requirements for use in drafting new contracts </w:t>
      </w:r>
      <w:proofErr w:type="gramStart"/>
      <w:r w:rsidRPr="00DD7BD1">
        <w:rPr>
          <w:rFonts w:ascii="Calibri" w:hAnsi="Calibri" w:cs="Calibri"/>
          <w:shd w:val="clear" w:color="auto" w:fill="FFFFFF"/>
        </w:rPr>
        <w:t>entered into</w:t>
      </w:r>
      <w:proofErr w:type="gramEnd"/>
      <w:r w:rsidRPr="00DD7BD1">
        <w:rPr>
          <w:rFonts w:ascii="Calibri" w:hAnsi="Calibri" w:cs="Calibri"/>
          <w:shd w:val="clear" w:color="auto" w:fill="FFFFFF"/>
        </w:rPr>
        <w:t xml:space="preserve"> after the effective date.</w:t>
      </w:r>
    </w:p>
    <w:p w14:paraId="5FEC55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Include a defined “primary practice location” in contracts.</w:t>
      </w:r>
    </w:p>
    <w:p w14:paraId="08A6F527"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Inventory existing contracts that will renew after September 1, 2025, and note how they may need to be amended to comply with SB 1318.</w:t>
      </w:r>
    </w:p>
    <w:p w14:paraId="081781EF"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DD7BD1" w:rsidRDefault="00F917CB" w:rsidP="00F917CB">
      <w:pPr>
        <w:spacing w:after="0" w:line="240" w:lineRule="auto"/>
        <w:rPr>
          <w:rFonts w:ascii="Calibri" w:hAnsi="Calibri" w:cs="Calibri"/>
          <w:b/>
          <w:bCs/>
          <w:color w:val="C00000"/>
          <w:highlight w:val="yellow"/>
          <w:shd w:val="clear" w:color="auto" w:fill="FFFFFF"/>
          <w:lang w:val="en"/>
        </w:rPr>
      </w:pPr>
    </w:p>
    <w:p w14:paraId="21EDA510" w14:textId="6F6B4BAD" w:rsidR="00F917CB" w:rsidRPr="00DD7BD1" w:rsidRDefault="00F917CB" w:rsidP="00F917CB">
      <w:pPr>
        <w:spacing w:after="0" w:line="240" w:lineRule="auto"/>
        <w:jc w:val="center"/>
        <w:rPr>
          <w:rFonts w:ascii="Calibri" w:hAnsi="Calibri" w:cs="Calibri"/>
          <w:shd w:val="clear" w:color="auto" w:fill="FFFFFF"/>
        </w:rPr>
      </w:pPr>
      <w:bookmarkStart w:id="143" w:name="_Hlk205278627"/>
      <w:r w:rsidRPr="00DD7BD1">
        <w:rPr>
          <w:rFonts w:ascii="Calibri" w:hAnsi="Calibri" w:cs="Calibri"/>
          <w:b/>
          <w:bCs/>
          <w:sz w:val="28"/>
          <w:szCs w:val="28"/>
          <w:shd w:val="clear" w:color="auto" w:fill="FFFFFF"/>
          <w:lang w:val="en"/>
        </w:rPr>
        <w:t xml:space="preserve">State Expands Medical Marijuana Law – </w:t>
      </w:r>
      <w:r w:rsidRPr="00DD7BD1">
        <w:rPr>
          <w:rFonts w:ascii="Calibri" w:hAnsi="Calibri" w:cs="Calibri"/>
          <w:b/>
          <w:bCs/>
          <w:color w:val="C00000"/>
          <w:sz w:val="28"/>
          <w:szCs w:val="28"/>
          <w:shd w:val="clear" w:color="auto" w:fill="FFFFFF"/>
          <w:lang w:val="en"/>
        </w:rPr>
        <w:t>Eff September 1, 2025</w:t>
      </w:r>
      <w:bookmarkEnd w:id="143"/>
    </w:p>
    <w:p w14:paraId="34E215D4"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278F623"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means Texas employers may see an uptick in employee cannabis use and accommodation requests. Notably, the new law does not provide employment protections.</w:t>
      </w:r>
    </w:p>
    <w:p w14:paraId="65877E45"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1A0409F1" w14:textId="77777777" w:rsidR="00F917CB" w:rsidRPr="00DD7BD1" w:rsidRDefault="00F917CB" w:rsidP="00F917CB">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What’s Changing Under the New Law?</w:t>
      </w:r>
    </w:p>
    <w:p w14:paraId="27FE131B"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Texas Compassionate-Use Program (TCU) has been on the books since 2015, but it was historically too limited to be widely considered a comprehensive medical marijuana program.</w:t>
      </w:r>
    </w:p>
    <w:p w14:paraId="592FC142"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Texas Compassionate-Use Program is still limited compared to other states, the expansion under HB46 has led some advocates to now consider Texas </w:t>
      </w:r>
      <w:hyperlink r:id="rId1040" w:history="1">
        <w:r w:rsidRPr="00DD7BD1">
          <w:rPr>
            <w:rStyle w:val="Hyperlink"/>
            <w:rFonts w:ascii="Calibri" w:hAnsi="Calibri" w:cs="Calibri"/>
            <w:shd w:val="clear" w:color="auto" w:fill="FFFFFF"/>
          </w:rPr>
          <w:t>the 40th state with a comprehensive medical marijuana program</w:t>
        </w:r>
      </w:hyperlink>
      <w:r w:rsidRPr="00DD7BD1">
        <w:rPr>
          <w:rFonts w:ascii="Calibri" w:hAnsi="Calibri" w:cs="Calibri"/>
          <w:shd w:val="clear" w:color="auto" w:fill="FFFFFF"/>
        </w:rPr>
        <w:t>.</w:t>
      </w:r>
    </w:p>
    <w:p w14:paraId="33F14C2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DB3ACDA"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An employer does not commit an unlawful employment practice by adopting a policy prohibiting the employment of an individual who currently uses or possesses a controlled substance as defined in Schedules I and II of the Controlled Substances Act … other </w:t>
      </w:r>
      <w:r w:rsidRPr="00DD7BD1">
        <w:rPr>
          <w:rFonts w:ascii="Calibri" w:hAnsi="Calibri" w:cs="Calibri"/>
          <w:shd w:val="clear" w:color="auto" w:fill="FFFFFF"/>
        </w:rPr>
        <w:lastRenderedPageBreak/>
        <w:t>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25A067C2"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DD7BD1" w:rsidRDefault="00F917CB" w:rsidP="009040C5">
      <w:pPr>
        <w:shd w:val="clear" w:color="auto" w:fill="FFFFFF"/>
        <w:spacing w:after="0" w:line="240" w:lineRule="auto"/>
        <w:jc w:val="center"/>
        <w:outlineLvl w:val="0"/>
        <w:rPr>
          <w:rFonts w:ascii="Calibri" w:eastAsia="Times New Roman" w:hAnsi="Calibri" w:cs="Calibri"/>
          <w:b/>
          <w:bCs/>
          <w:color w:val="231F20"/>
          <w:kern w:val="36"/>
          <w:sz w:val="16"/>
          <w:szCs w:val="16"/>
        </w:rPr>
      </w:pPr>
    </w:p>
    <w:p w14:paraId="0DC4B8BE" w14:textId="042AAE34" w:rsidR="009040C5" w:rsidRPr="00DD7BD1" w:rsidRDefault="009040C5" w:rsidP="009040C5">
      <w:pPr>
        <w:shd w:val="clear" w:color="auto" w:fill="FFFFFF"/>
        <w:spacing w:after="0" w:line="240" w:lineRule="auto"/>
        <w:jc w:val="center"/>
        <w:outlineLvl w:val="0"/>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 xml:space="preserve">Texas Bans COVID-19 Vaccines Effective </w:t>
      </w:r>
      <w:r w:rsidRPr="00DD7BD1">
        <w:rPr>
          <w:rFonts w:ascii="Calibri" w:eastAsia="Times New Roman" w:hAnsi="Calibri" w:cs="Calibri"/>
          <w:b/>
          <w:bCs/>
          <w:color w:val="C00000"/>
          <w:kern w:val="36"/>
          <w:sz w:val="28"/>
          <w:szCs w:val="28"/>
        </w:rPr>
        <w:t>Feb 7, 2024</w:t>
      </w:r>
    </w:p>
    <w:p w14:paraId="4EEFFF2E"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Texas Legislature is in special session and decided to enact a law, which Governor Greg Abbott is promising to sign, that bans the use of COVID-19 vaccine requirements by private employers.</w:t>
      </w:r>
    </w:p>
    <w:p w14:paraId="681D5D5A" w14:textId="77777777" w:rsidR="009040C5" w:rsidRPr="00DD7BD1" w:rsidRDefault="009040C5" w:rsidP="009040C5">
      <w:pPr>
        <w:shd w:val="clear" w:color="auto" w:fill="FFFFFF"/>
        <w:spacing w:after="0" w:line="240" w:lineRule="auto"/>
        <w:jc w:val="both"/>
        <w:rPr>
          <w:rFonts w:ascii="Calibri" w:eastAsia="Times New Roman" w:hAnsi="Calibri" w:cs="Calibri"/>
          <w:sz w:val="12"/>
          <w:szCs w:val="12"/>
        </w:rPr>
      </w:pPr>
    </w:p>
    <w:p w14:paraId="49933723"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w:t>
      </w:r>
      <w:r w:rsidRPr="00DD7BD1">
        <w:rPr>
          <w:rFonts w:ascii="Calibri" w:eastAsia="Times New Roman" w:hAnsi="Calibri" w:cs="Calibri"/>
          <w:b/>
          <w:bCs/>
        </w:rPr>
        <w:t xml:space="preserve"> Senate Bill 7</w:t>
      </w:r>
      <w:r w:rsidRPr="00DD7BD1">
        <w:rPr>
          <w:rFonts w:ascii="Calibri" w:eastAsia="Times New Roman" w:hAnsi="Calibri" w:cs="Calibri"/>
        </w:rPr>
        <w:t xml:space="preserve">, takes effect </w:t>
      </w:r>
      <w:r w:rsidRPr="00DD7BD1">
        <w:rPr>
          <w:rFonts w:ascii="Calibri" w:eastAsia="Times New Roman" w:hAnsi="Calibri" w:cs="Calibri"/>
          <w:color w:val="C00000"/>
        </w:rPr>
        <w:t>February 7, 2024</w:t>
      </w:r>
      <w:r w:rsidRPr="00DD7BD1">
        <w:rPr>
          <w:rFonts w:ascii="Calibri" w:eastAsia="Times New Roman" w:hAnsi="Calibri" w:cs="Calibri"/>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DD7BD1" w:rsidRDefault="00427CA7" w:rsidP="00427CA7">
      <w:pPr>
        <w:spacing w:after="0" w:line="240" w:lineRule="auto"/>
        <w:jc w:val="both"/>
        <w:rPr>
          <w:rFonts w:ascii="Calibri" w:hAnsi="Calibri" w:cs="Calibri"/>
          <w:b/>
          <w:bCs/>
          <w:color w:val="2E74B5" w:themeColor="accent5" w:themeShade="BF"/>
          <w:sz w:val="16"/>
          <w:szCs w:val="16"/>
          <w:shd w:val="clear" w:color="auto" w:fill="FFFFFF"/>
          <w:lang w:val="en"/>
        </w:rPr>
      </w:pPr>
    </w:p>
    <w:p w14:paraId="2E3C3012" w14:textId="30C41879" w:rsidR="00427CA7" w:rsidRPr="00DD7BD1" w:rsidRDefault="00427CA7" w:rsidP="00427CA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Utah</w:t>
      </w:r>
    </w:p>
    <w:p w14:paraId="75B38E71" w14:textId="77777777" w:rsidR="004C1156" w:rsidRDefault="004C1156" w:rsidP="004C1156">
      <w:pPr>
        <w:rPr>
          <w:b/>
          <w:bCs/>
          <w:caps/>
          <w:color w:val="0E425C"/>
          <w:sz w:val="26"/>
          <w:szCs w:val="26"/>
        </w:rPr>
      </w:pPr>
      <w:r w:rsidRPr="004B1FAC">
        <w:rPr>
          <w:b/>
          <w:bCs/>
          <w:caps/>
          <w:color w:val="0E425C"/>
          <w:sz w:val="26"/>
          <w:szCs w:val="26"/>
        </w:rPr>
        <w:t>Reminder:</w:t>
      </w:r>
    </w:p>
    <w:p w14:paraId="74CCF3D8" w14:textId="743615F9" w:rsidR="004C1156" w:rsidRPr="004C1156" w:rsidRDefault="004C1156">
      <w:pPr>
        <w:pStyle w:val="ListParagraph"/>
        <w:numPr>
          <w:ilvl w:val="0"/>
          <w:numId w:val="373"/>
        </w:numPr>
        <w:spacing w:after="100" w:line="276" w:lineRule="auto"/>
        <w:rPr>
          <w:caps/>
          <w:color w:val="0E425C"/>
        </w:rPr>
      </w:pPr>
      <w:r w:rsidRPr="0055141A">
        <w:rPr>
          <w:caps/>
          <w:color w:val="0E425C"/>
          <w:u w:val="single"/>
        </w:rPr>
        <w:t>Hospital</w:t>
      </w:r>
      <w:r w:rsidRPr="0055141A">
        <w:rPr>
          <w:caps/>
          <w:color w:val="0E425C"/>
        </w:rPr>
        <w:t xml:space="preserve"> Workplace Violence Reporting Due </w:t>
      </w:r>
      <w:r w:rsidRPr="0055141A">
        <w:rPr>
          <w:caps/>
          <w:color w:val="0070C0"/>
        </w:rPr>
        <w:t>November 1, 2026</w:t>
      </w:r>
    </w:p>
    <w:p w14:paraId="4CDC8D17" w14:textId="7DF68157" w:rsidR="002C0337" w:rsidRPr="002C0337" w:rsidRDefault="002C0337" w:rsidP="002C0337">
      <w:pPr>
        <w:rPr>
          <w:b/>
          <w:bCs/>
          <w:caps/>
          <w:noProof/>
          <w:color w:val="0E425C"/>
          <w:sz w:val="28"/>
          <w:szCs w:val="28"/>
          <w:u w:val="single"/>
        </w:rPr>
      </w:pPr>
      <w:r>
        <w:rPr>
          <w:b/>
          <w:bCs/>
          <w:caps/>
          <w:noProof/>
          <w:color w:val="0E425C"/>
          <w:sz w:val="26"/>
          <w:szCs w:val="26"/>
        </w:rPr>
        <w:t xml:space="preserve">Reminder: State Bans healthcare &amp; Veterinarian Noncompetes Effective </w:t>
      </w:r>
      <w:r w:rsidRPr="00906780">
        <w:rPr>
          <w:b/>
          <w:bCs/>
          <w:caps/>
          <w:color w:val="0070C0"/>
          <w:sz w:val="26"/>
          <w:szCs w:val="26"/>
        </w:rPr>
        <w:t>May 6, 2026</w:t>
      </w:r>
    </w:p>
    <w:p w14:paraId="6DA0DB02" w14:textId="381D0884" w:rsidR="001A331F" w:rsidRPr="00DD66CF" w:rsidRDefault="001A331F" w:rsidP="001A331F">
      <w:pPr>
        <w:jc w:val="center"/>
        <w:rPr>
          <w:b/>
          <w:bCs/>
          <w:caps/>
          <w:noProof/>
          <w:color w:val="0E425C"/>
          <w:sz w:val="26"/>
          <w:szCs w:val="26"/>
        </w:rPr>
      </w:pPr>
      <w:r w:rsidRPr="00010461">
        <w:rPr>
          <w:b/>
          <w:bCs/>
          <w:caps/>
          <w:color w:val="0070C0"/>
          <w:sz w:val="26"/>
          <w:szCs w:val="26"/>
        </w:rPr>
        <w:t xml:space="preserve">New! </w:t>
      </w:r>
      <w:r>
        <w:rPr>
          <w:b/>
          <w:bCs/>
          <w:caps/>
          <w:noProof/>
          <w:color w:val="0E425C"/>
          <w:sz w:val="26"/>
          <w:szCs w:val="26"/>
        </w:rPr>
        <w:t>StAte Enacts Hospital Wo</w:t>
      </w:r>
      <w:r w:rsidR="00DA7C7B">
        <w:rPr>
          <w:b/>
          <w:bCs/>
          <w:caps/>
          <w:noProof/>
          <w:color w:val="0E425C"/>
          <w:sz w:val="26"/>
          <w:szCs w:val="26"/>
        </w:rPr>
        <w:t>R</w:t>
      </w:r>
      <w:r>
        <w:rPr>
          <w:b/>
          <w:bCs/>
          <w:caps/>
          <w:noProof/>
          <w:color w:val="0E425C"/>
          <w:sz w:val="26"/>
          <w:szCs w:val="26"/>
        </w:rPr>
        <w:t xml:space="preserve">kplace Violence Reporting RegulaTions effective </w:t>
      </w:r>
      <w:r w:rsidRPr="00010461">
        <w:rPr>
          <w:b/>
          <w:bCs/>
          <w:caps/>
          <w:color w:val="0070C0"/>
          <w:sz w:val="26"/>
          <w:szCs w:val="26"/>
        </w:rPr>
        <w:t xml:space="preserve">May 6 </w:t>
      </w:r>
      <w:r w:rsidRPr="00A50463">
        <w:rPr>
          <w:b/>
          <w:bCs/>
          <w:caps/>
          <w:noProof/>
          <w:color w:val="0E425C"/>
          <w:sz w:val="26"/>
          <w:szCs w:val="26"/>
        </w:rPr>
        <w:t>&amp;</w:t>
      </w:r>
      <w:r w:rsidRPr="00010461">
        <w:rPr>
          <w:b/>
          <w:bCs/>
          <w:caps/>
          <w:color w:val="0070C0"/>
          <w:sz w:val="26"/>
          <w:szCs w:val="26"/>
        </w:rPr>
        <w:t xml:space="preserve"> November 1, 2026</w:t>
      </w:r>
    </w:p>
    <w:p w14:paraId="4EFED14A" w14:textId="77777777" w:rsidR="001A331F" w:rsidRDefault="001A331F" w:rsidP="001A331F">
      <w:r w:rsidRPr="00980CDB">
        <w:t>Utah has enacted</w:t>
      </w:r>
      <w:r>
        <w:t xml:space="preserve"> </w:t>
      </w:r>
      <w:hyperlink r:id="rId1041" w:history="1">
        <w:r w:rsidRPr="00695668">
          <w:rPr>
            <w:rStyle w:val="Hyperlink"/>
          </w:rPr>
          <w:t xml:space="preserve">House Bill </w:t>
        </w:r>
        <w:r>
          <w:rPr>
            <w:rStyle w:val="Hyperlink"/>
          </w:rPr>
          <w:t xml:space="preserve">(HB) </w:t>
        </w:r>
        <w:r w:rsidRPr="00695668">
          <w:rPr>
            <w:rStyle w:val="Hyperlink"/>
          </w:rPr>
          <w:t>380</w:t>
        </w:r>
      </w:hyperlink>
      <w:r w:rsidRPr="00980CDB">
        <w:t>, requiring hospitals to implement a comprehensive workplace violence reporting system that includes mandatory reporting, documentation and analysis requirements. HB 380 goes into effect on May 6, 2026, and hospitals must have their formal reporting systems in place by Nov. 1, 2026.</w:t>
      </w:r>
    </w:p>
    <w:p w14:paraId="20AFDD93" w14:textId="4B897548" w:rsidR="001A331F" w:rsidRPr="00980CDB" w:rsidRDefault="001A331F" w:rsidP="001A331F">
      <w:pPr>
        <w:jc w:val="center"/>
      </w:pPr>
      <w:r w:rsidRPr="00B50C17">
        <w:rPr>
          <w:b/>
          <w:bCs/>
          <w:caps/>
          <w:color w:val="0070C0"/>
          <w:sz w:val="26"/>
          <w:szCs w:val="26"/>
        </w:rPr>
        <w:t xml:space="preserve">New! </w:t>
      </w:r>
      <w:r w:rsidRPr="00B50C17">
        <w:rPr>
          <w:b/>
          <w:bCs/>
          <w:caps/>
          <w:noProof/>
          <w:color w:val="0E425C"/>
          <w:sz w:val="26"/>
          <w:szCs w:val="26"/>
        </w:rPr>
        <w:t>State Bans Healthcare &amp; Veterinarian Noncompetes Effective</w:t>
      </w:r>
      <w:r>
        <w:t xml:space="preserve"> </w:t>
      </w:r>
      <w:r w:rsidRPr="00B50C17">
        <w:rPr>
          <w:b/>
          <w:bCs/>
          <w:caps/>
          <w:color w:val="0070C0"/>
          <w:sz w:val="26"/>
          <w:szCs w:val="26"/>
        </w:rPr>
        <w:t>May 6, 202</w:t>
      </w:r>
      <w:r w:rsidR="009633E3">
        <w:rPr>
          <w:b/>
          <w:bCs/>
          <w:caps/>
          <w:color w:val="0070C0"/>
          <w:sz w:val="26"/>
          <w:szCs w:val="26"/>
        </w:rPr>
        <w:t>6</w:t>
      </w:r>
    </w:p>
    <w:p w14:paraId="1946B71A" w14:textId="01D22A32" w:rsidR="00986159" w:rsidRPr="001A331F" w:rsidRDefault="001A331F" w:rsidP="001A331F">
      <w:r w:rsidRPr="009F1D7F">
        <w:t xml:space="preserve">Utah passed </w:t>
      </w:r>
      <w:hyperlink r:id="rId1042" w:history="1">
        <w:r w:rsidRPr="00411CC9">
          <w:rPr>
            <w:rStyle w:val="Hyperlink"/>
          </w:rPr>
          <w:t>House Bill (HB) 270</w:t>
        </w:r>
      </w:hyperlink>
      <w:r w:rsidRPr="009F1D7F">
        <w:t>, which bans noncompete agreements and certain nonsolicitation agreements with health care workers and</w:t>
      </w:r>
      <w:r>
        <w:t xml:space="preserve"> </w:t>
      </w:r>
      <w:hyperlink r:id="rId1043" w:history="1">
        <w:r w:rsidRPr="00F60DB7">
          <w:rPr>
            <w:rStyle w:val="Hyperlink"/>
          </w:rPr>
          <w:t>Senate Bill (SB) 111</w:t>
        </w:r>
      </w:hyperlink>
      <w:r w:rsidRPr="009F1D7F">
        <w:t>, which bans noncompete, nonsolicitation and nondisclosure agreements with veterinarians.  The laws do not void existing enforceable noncompete agreements; however, employers of health care workers or veterinarians should review and revise template agreements to ensure they do not contain prohibited provisions in advance of the effective date.</w:t>
      </w:r>
    </w:p>
    <w:p w14:paraId="6CC21B5E" w14:textId="77777777" w:rsidR="001A331F" w:rsidRDefault="001A331F" w:rsidP="00427CA7">
      <w:pPr>
        <w:spacing w:after="0" w:line="240" w:lineRule="auto"/>
        <w:jc w:val="center"/>
        <w:rPr>
          <w:rFonts w:ascii="Calibri" w:hAnsi="Calibri" w:cs="Calibri"/>
          <w:b/>
          <w:bCs/>
          <w:sz w:val="28"/>
          <w:szCs w:val="28"/>
          <w:shd w:val="clear" w:color="auto" w:fill="FFFFFF"/>
          <w:lang w:val="en"/>
        </w:rPr>
      </w:pPr>
    </w:p>
    <w:p w14:paraId="560CE6F3" w14:textId="60D1D415" w:rsidR="00427CA7" w:rsidRPr="00DD7BD1" w:rsidRDefault="00427CA7" w:rsidP="00427CA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Adds Military Protections</w:t>
      </w:r>
    </w:p>
    <w:p w14:paraId="4804CBE6"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Utah has re-enacted and expanded its military protections—the </w:t>
      </w:r>
      <w:hyperlink r:id="rId1044" w:history="1">
        <w:r w:rsidRPr="00DD7BD1">
          <w:rPr>
            <w:rStyle w:val="Hyperlink"/>
            <w:rFonts w:ascii="Calibri" w:eastAsia="Times New Roman" w:hAnsi="Calibri" w:cs="Calibri"/>
          </w:rPr>
          <w:t>Utah National Guard Amendments</w:t>
        </w:r>
      </w:hyperlink>
      <w:r w:rsidRPr="00DD7BD1">
        <w:rPr>
          <w:rFonts w:ascii="Calibri" w:eastAsia="Times New Roman" w:hAnsi="Calibri" w:cs="Calibri"/>
        </w:rPr>
        <w:t xml:space="preserve"> law was signed and took effect immediately on</w:t>
      </w:r>
      <w:r w:rsidRPr="00DD7BD1">
        <w:rPr>
          <w:rFonts w:ascii="Calibri" w:eastAsia="Times New Roman" w:hAnsi="Calibri" w:cs="Calibri"/>
          <w:color w:val="282828"/>
        </w:rPr>
        <w:t xml:space="preserve"> </w:t>
      </w:r>
      <w:r w:rsidRPr="00DD7BD1">
        <w:rPr>
          <w:rFonts w:ascii="Calibri" w:eastAsia="Times New Roman" w:hAnsi="Calibri" w:cs="Calibri"/>
          <w:color w:val="C00000"/>
        </w:rPr>
        <w:t>March 18, 2024</w:t>
      </w:r>
      <w:r w:rsidRPr="00DD7BD1">
        <w:rPr>
          <w:rFonts w:ascii="Calibri" w:eastAsia="Times New Roman" w:hAnsi="Calibri" w:cs="Calibri"/>
          <w:color w:val="282828"/>
        </w:rPr>
        <w:t xml:space="preserve">. </w:t>
      </w:r>
      <w:r w:rsidRPr="00DD7BD1">
        <w:rPr>
          <w:rFonts w:ascii="Calibri" w:eastAsia="Times New Roman" w:hAnsi="Calibri" w:cs="Calibri"/>
        </w:rPr>
        <w:t xml:space="preserve">The law requires employers of </w:t>
      </w:r>
      <w:r w:rsidRPr="00DD7BD1">
        <w:rPr>
          <w:rFonts w:ascii="Calibri" w:eastAsia="Times New Roman" w:hAnsi="Calibri" w:cs="Calibri"/>
          <w:b/>
          <w:bCs/>
        </w:rPr>
        <w:t xml:space="preserve">all sizes </w:t>
      </w:r>
      <w:r w:rsidRPr="00DD7BD1">
        <w:rPr>
          <w:rFonts w:ascii="Calibri" w:eastAsia="Times New Roman" w:hAnsi="Calibri" w:cs="Calibri"/>
        </w:rPr>
        <w:t>to provide military leave and other employment rights.</w:t>
      </w:r>
    </w:p>
    <w:p w14:paraId="7B0F054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Specifically, employers are required to:</w:t>
      </w:r>
    </w:p>
    <w:p w14:paraId="0A4B5782"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up to five (5) years of leave to employees who are members of a reserve component of the U.S. Armed Forces when they are ordered to active duty (including for training), inactive duty training, or state active duty</w:t>
      </w:r>
    </w:p>
    <w:p w14:paraId="0768C583"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D7BD1" w:rsidRDefault="00427CA7" w:rsidP="00427CA7">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lastRenderedPageBreak/>
        <w:t>Action Item</w:t>
      </w:r>
      <w:r w:rsidRPr="00DD7BD1">
        <w:rPr>
          <w:rFonts w:ascii="Calibri" w:eastAsia="Times New Roman" w:hAnsi="Calibri" w:cs="Calibri"/>
        </w:rPr>
        <w:br/>
        <w:t xml:space="preserve">Review your Company’s USERRA/Military Leave Policy to ensure no updates are needed.  </w:t>
      </w:r>
    </w:p>
    <w:p w14:paraId="4F7840C3" w14:textId="77777777" w:rsidR="00427CA7" w:rsidRPr="00DD7BD1" w:rsidRDefault="00427CA7" w:rsidP="00427CA7">
      <w:pPr>
        <w:shd w:val="clear" w:color="auto" w:fill="FFFFFF"/>
        <w:spacing w:after="0" w:line="240" w:lineRule="auto"/>
        <w:jc w:val="both"/>
        <w:rPr>
          <w:rFonts w:ascii="Calibri" w:eastAsia="Times New Roman" w:hAnsi="Calibri" w:cs="Calibri"/>
          <w:sz w:val="12"/>
          <w:szCs w:val="12"/>
        </w:rPr>
      </w:pPr>
    </w:p>
    <w:p w14:paraId="535949F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Below is Paragraph 1 extracted from ETC’s USERRA/Military Leave Policy with policy clarification language added for review, consideration and possible inclusion in your own Policy:</w:t>
      </w:r>
    </w:p>
    <w:p w14:paraId="56EAF22C" w14:textId="77777777" w:rsidR="00427CA7" w:rsidRPr="00DD7BD1" w:rsidRDefault="00427CA7" w:rsidP="00427CA7">
      <w:pPr>
        <w:shd w:val="clear" w:color="auto" w:fill="FFFFFF"/>
        <w:spacing w:after="0" w:line="240" w:lineRule="auto"/>
        <w:rPr>
          <w:rFonts w:ascii="Calibri" w:eastAsia="Times New Roman" w:hAnsi="Calibri" w:cs="Calibri"/>
          <w:sz w:val="16"/>
          <w:szCs w:val="16"/>
        </w:rPr>
      </w:pPr>
    </w:p>
    <w:p w14:paraId="0E59717B" w14:textId="77777777" w:rsidR="00427CA7" w:rsidRPr="00DD7BD1" w:rsidRDefault="00427CA7" w:rsidP="00427CA7">
      <w:pPr>
        <w:pBdr>
          <w:top w:val="nil"/>
          <w:left w:val="nil"/>
          <w:bottom w:val="nil"/>
          <w:right w:val="nil"/>
          <w:between w:val="nil"/>
        </w:pBdr>
        <w:ind w:left="900" w:right="1170"/>
        <w:jc w:val="both"/>
        <w:rPr>
          <w:rFonts w:ascii="Calibri" w:hAnsi="Calibri" w:cs="Calibri"/>
        </w:rPr>
      </w:pPr>
      <w:r w:rsidRPr="00DD7BD1">
        <w:rPr>
          <w:rFonts w:ascii="Calibri" w:hAnsi="Calibri" w:cs="Calibri"/>
        </w:rPr>
        <w:t xml:space="preserve">In compliance with the Uniformed Services Employment and Reemployment Rights Act (“USERRA”), all employees are immediately eligible for an unpaid military leave of absence. A military leave will be granted if an employee is absent </w:t>
      </w:r>
      <w:proofErr w:type="gramStart"/>
      <w:r w:rsidRPr="00DD7BD1">
        <w:rPr>
          <w:rFonts w:ascii="Calibri" w:hAnsi="Calibri" w:cs="Calibri"/>
        </w:rPr>
        <w:t>in order to</w:t>
      </w:r>
      <w:proofErr w:type="gramEnd"/>
      <w:r w:rsidRPr="00DD7BD1">
        <w:rPr>
          <w:rFonts w:ascii="Calibri" w:hAnsi="Calibri" w:cs="Calibri"/>
        </w:rPr>
        <w:t xml:space="preserve">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DD7BD1">
        <w:rPr>
          <w:rFonts w:ascii="Calibri" w:hAnsi="Calibri" w:cs="Calibri"/>
          <w:color w:val="C00000"/>
          <w:highlight w:val="yellow"/>
        </w:rPr>
        <w:t>and/or</w:t>
      </w:r>
      <w:r w:rsidRPr="00DD7BD1">
        <w:rPr>
          <w:rFonts w:ascii="Calibri" w:hAnsi="Calibri" w:cs="Calibri"/>
          <w:color w:val="C00000"/>
        </w:rPr>
        <w:t xml:space="preserve"> </w:t>
      </w:r>
      <w:r w:rsidRPr="00DD7BD1">
        <w:rPr>
          <w:rFonts w:ascii="Calibri" w:hAnsi="Calibri" w:cs="Calibri"/>
          <w:color w:val="C00000"/>
          <w:highlight w:val="yellow"/>
        </w:rPr>
        <w:t>State Defense Force or the like, when mandated by state regulations</w:t>
      </w:r>
      <w:r w:rsidRPr="00DD7BD1">
        <w:rPr>
          <w:rFonts w:ascii="Calibri" w:hAnsi="Calibri" w:cs="Calibri"/>
          <w:color w:val="C00000"/>
        </w:rPr>
        <w:t xml:space="preserve"> </w:t>
      </w:r>
      <w:r w:rsidRPr="00DD7BD1">
        <w:rPr>
          <w:rFonts w:ascii="Calibri" w:hAnsi="Calibri" w:cs="Calibri"/>
        </w:rPr>
        <w:t>will retain certain rights with respect to reinstatement, seniority, layoffs, compensation, length of service promotions, and length of service pay increases as required by applicable federal or state law.</w:t>
      </w:r>
    </w:p>
    <w:p w14:paraId="186339F4" w14:textId="1200E7F2" w:rsidR="00427CA7" w:rsidRPr="00DD7BD1" w:rsidRDefault="00427CA7" w:rsidP="00427CA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Utah Voids Confidentiality Pacts for Sexual Assault and Harassment</w:t>
      </w:r>
    </w:p>
    <w:p w14:paraId="31B2F6F2" w14:textId="77777777" w:rsidR="00427CA7" w:rsidRPr="00DD7BD1" w:rsidRDefault="00427CA7" w:rsidP="00427CA7">
      <w:pPr>
        <w:pStyle w:val="BodyText"/>
        <w:rPr>
          <w:rFonts w:cs="Calibri"/>
          <w:color w:val="auto"/>
          <w:szCs w:val="22"/>
        </w:rPr>
      </w:pPr>
      <w:r w:rsidRPr="00DD7BD1">
        <w:rPr>
          <w:rFonts w:cs="Calibri"/>
          <w:color w:val="auto"/>
          <w:szCs w:val="22"/>
        </w:rPr>
        <w:t>Under a new Utah law</w:t>
      </w:r>
      <w:r w:rsidRPr="00DD7BD1">
        <w:rPr>
          <w:rFonts w:cs="Calibri"/>
          <w:szCs w:val="22"/>
        </w:rPr>
        <w:t xml:space="preserve">, </w:t>
      </w:r>
      <w:hyperlink r:id="rId1045" w:history="1">
        <w:r w:rsidRPr="00DD7BD1">
          <w:rPr>
            <w:rStyle w:val="Hyperlink"/>
            <w:rFonts w:cs="Calibri"/>
            <w:szCs w:val="22"/>
          </w:rPr>
          <w:t>House Bill (HB) 55</w:t>
        </w:r>
      </w:hyperlink>
      <w:r w:rsidRPr="00DD7BD1">
        <w:rPr>
          <w:rFonts w:cs="Calibri"/>
          <w:szCs w:val="22"/>
        </w:rPr>
        <w:t xml:space="preserve">, </w:t>
      </w:r>
      <w:r w:rsidRPr="00DD7BD1">
        <w:rPr>
          <w:rFonts w:cs="Calibri"/>
          <w:color w:val="auto"/>
          <w:szCs w:val="22"/>
        </w:rPr>
        <w:t xml:space="preserve">certain nondisclosure and </w:t>
      </w:r>
      <w:proofErr w:type="spellStart"/>
      <w:r w:rsidRPr="00DD7BD1">
        <w:rPr>
          <w:rFonts w:cs="Calibri"/>
          <w:color w:val="auto"/>
          <w:szCs w:val="22"/>
        </w:rPr>
        <w:t>nondisparagement</w:t>
      </w:r>
      <w:proofErr w:type="spellEnd"/>
      <w:r w:rsidRPr="00DD7BD1">
        <w:rPr>
          <w:rFonts w:cs="Calibri"/>
          <w:color w:val="auto"/>
          <w:szCs w:val="22"/>
        </w:rPr>
        <w:t xml:space="preserve">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DD7BD1" w:rsidRDefault="00427CA7" w:rsidP="00427CA7">
      <w:pPr>
        <w:pStyle w:val="SubHeader"/>
        <w:rPr>
          <w:rFonts w:cs="Calibri"/>
          <w:color w:val="auto"/>
          <w:sz w:val="22"/>
          <w:szCs w:val="22"/>
        </w:rPr>
      </w:pPr>
      <w:r w:rsidRPr="00DD7BD1">
        <w:rPr>
          <w:rFonts w:cs="Calibri"/>
          <w:color w:val="auto"/>
          <w:sz w:val="22"/>
          <w:szCs w:val="22"/>
        </w:rPr>
        <w:t xml:space="preserve">Unenforceable Agreements  </w:t>
      </w:r>
    </w:p>
    <w:p w14:paraId="72AD4C99" w14:textId="77777777" w:rsidR="00427CA7" w:rsidRPr="00DD7BD1" w:rsidRDefault="00427CA7" w:rsidP="00427CA7">
      <w:pPr>
        <w:pStyle w:val="BodyText"/>
        <w:spacing w:after="120"/>
        <w:rPr>
          <w:rFonts w:cs="Calibri"/>
          <w:color w:val="auto"/>
          <w:szCs w:val="22"/>
        </w:rPr>
      </w:pPr>
      <w:r w:rsidRPr="00DD7BD1">
        <w:rPr>
          <w:rFonts w:cs="Calibri"/>
          <w:color w:val="auto"/>
          <w:szCs w:val="22"/>
        </w:rPr>
        <w:t>Under HB 55, an agreement is deemed void and unenforceable if it is between an employee (or former employee) and employer (of any size) and either:</w:t>
      </w:r>
    </w:p>
    <w:p w14:paraId="7D60734D"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DD7BD1" w:rsidRDefault="00427CA7" w:rsidP="00427CA7">
      <w:pPr>
        <w:pStyle w:val="SubHeader"/>
        <w:spacing w:before="160"/>
        <w:rPr>
          <w:rFonts w:cs="Calibri"/>
          <w:color w:val="auto"/>
          <w:sz w:val="22"/>
          <w:szCs w:val="22"/>
        </w:rPr>
      </w:pPr>
      <w:r w:rsidRPr="00DD7BD1">
        <w:rPr>
          <w:rFonts w:cs="Calibri"/>
          <w:color w:val="auto"/>
          <w:sz w:val="22"/>
          <w:szCs w:val="22"/>
        </w:rPr>
        <w:t>Permitted Agreements</w:t>
      </w:r>
    </w:p>
    <w:p w14:paraId="423B4188" w14:textId="77777777" w:rsidR="00427CA7" w:rsidRPr="00DD7BD1" w:rsidRDefault="00427CA7" w:rsidP="00427CA7">
      <w:pPr>
        <w:pStyle w:val="BodyText"/>
        <w:rPr>
          <w:rFonts w:cs="Calibri"/>
          <w:color w:val="auto"/>
          <w:szCs w:val="22"/>
        </w:rPr>
      </w:pPr>
      <w:r w:rsidRPr="00DD7BD1">
        <w:rPr>
          <w:rFonts w:cs="Calibri"/>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DD7BD1" w:rsidRDefault="00427CA7" w:rsidP="00427CA7">
      <w:pPr>
        <w:pStyle w:val="BodyText"/>
        <w:spacing w:after="0" w:line="240" w:lineRule="auto"/>
        <w:rPr>
          <w:rFonts w:cs="Calibri"/>
          <w:b/>
          <w:color w:val="auto"/>
          <w:szCs w:val="22"/>
        </w:rPr>
      </w:pPr>
      <w:r w:rsidRPr="00DD7BD1">
        <w:rPr>
          <w:rFonts w:cs="Calibri"/>
          <w:b/>
          <w:color w:val="auto"/>
          <w:szCs w:val="22"/>
          <w:highlight w:val="lightGray"/>
        </w:rPr>
        <w:t>Employer Takeaway:</w:t>
      </w:r>
    </w:p>
    <w:p w14:paraId="24E6499E" w14:textId="77777777" w:rsidR="00427CA7" w:rsidRPr="00DD7BD1" w:rsidRDefault="00427CA7" w:rsidP="00427CA7">
      <w:pPr>
        <w:pStyle w:val="BodyText"/>
        <w:spacing w:after="0" w:line="240" w:lineRule="auto"/>
        <w:rPr>
          <w:rFonts w:cs="Calibri"/>
          <w:color w:val="auto"/>
          <w:szCs w:val="22"/>
        </w:rPr>
      </w:pPr>
      <w:r w:rsidRPr="00DD7BD1">
        <w:rPr>
          <w:rFonts w:cs="Calibri"/>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DD7BD1" w:rsidRDefault="009040C5" w:rsidP="009040C5">
      <w:pPr>
        <w:shd w:val="clear" w:color="auto" w:fill="FFFFFF"/>
        <w:spacing w:after="0" w:line="240" w:lineRule="auto"/>
        <w:jc w:val="both"/>
        <w:rPr>
          <w:rFonts w:ascii="Calibri" w:eastAsia="Times New Roman" w:hAnsi="Calibri" w:cs="Calibri"/>
          <w:sz w:val="16"/>
          <w:szCs w:val="16"/>
        </w:rPr>
      </w:pPr>
    </w:p>
    <w:p w14:paraId="0D673C42" w14:textId="640EEDAE" w:rsidR="004B7569" w:rsidRPr="00DD7BD1" w:rsidRDefault="004B7569"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Vermont</w:t>
      </w:r>
    </w:p>
    <w:p w14:paraId="0E7A21B6" w14:textId="77777777" w:rsidR="004C1156" w:rsidRDefault="004C1156" w:rsidP="004C1156">
      <w:pPr>
        <w:rPr>
          <w:b/>
          <w:bCs/>
          <w:caps/>
          <w:color w:val="0070C0"/>
          <w:sz w:val="26"/>
          <w:szCs w:val="26"/>
        </w:rPr>
      </w:pPr>
      <w:r w:rsidRPr="00FF7771">
        <w:rPr>
          <w:b/>
          <w:bCs/>
          <w:caps/>
          <w:noProof/>
          <w:color w:val="0E425C"/>
          <w:sz w:val="26"/>
          <w:szCs w:val="26"/>
        </w:rPr>
        <w:t>Reminder:</w:t>
      </w:r>
      <w:r>
        <w:rPr>
          <w:b/>
          <w:bCs/>
          <w:caps/>
          <w:color w:val="0070C0"/>
          <w:sz w:val="26"/>
          <w:szCs w:val="26"/>
        </w:rPr>
        <w:t xml:space="preserve"> </w:t>
      </w:r>
    </w:p>
    <w:p w14:paraId="4B1C73F4" w14:textId="3AE3371C" w:rsidR="004C1156" w:rsidRPr="004C1156" w:rsidRDefault="004C1156">
      <w:pPr>
        <w:pStyle w:val="ListParagraph"/>
        <w:numPr>
          <w:ilvl w:val="0"/>
          <w:numId w:val="373"/>
        </w:numPr>
        <w:spacing w:after="100" w:line="276" w:lineRule="auto"/>
        <w:rPr>
          <w:caps/>
          <w:noProof/>
          <w:color w:val="0E425C"/>
        </w:rPr>
      </w:pPr>
      <w:r w:rsidRPr="0055141A">
        <w:rPr>
          <w:caps/>
          <w:noProof/>
          <w:color w:val="0E425C"/>
        </w:rPr>
        <w:t xml:space="preserve">State’s Employee Retirement Savings Program Next Effective date </w:t>
      </w:r>
      <w:r w:rsidRPr="0055141A">
        <w:rPr>
          <w:caps/>
          <w:color w:val="0070C0"/>
        </w:rPr>
        <w:t>July 1, 2026</w:t>
      </w:r>
    </w:p>
    <w:p w14:paraId="36A29A7E" w14:textId="59F5F09C" w:rsidR="002C0337" w:rsidRDefault="002C0337" w:rsidP="002C0337">
      <w:pPr>
        <w:rPr>
          <w:b/>
          <w:bCs/>
          <w:caps/>
          <w:noProof/>
          <w:color w:val="0E425C"/>
          <w:sz w:val="28"/>
          <w:szCs w:val="28"/>
        </w:rPr>
      </w:pPr>
      <w:r w:rsidRPr="00FF7771">
        <w:rPr>
          <w:b/>
          <w:bCs/>
          <w:caps/>
          <w:noProof/>
          <w:color w:val="0E425C"/>
          <w:sz w:val="26"/>
          <w:szCs w:val="26"/>
        </w:rPr>
        <w:t>Reminder:</w:t>
      </w:r>
      <w:r>
        <w:rPr>
          <w:b/>
          <w:bCs/>
          <w:caps/>
          <w:color w:val="0070C0"/>
          <w:sz w:val="26"/>
          <w:szCs w:val="26"/>
        </w:rPr>
        <w:t xml:space="preserve"> </w:t>
      </w:r>
      <w:r w:rsidRPr="007D4E6B">
        <w:rPr>
          <w:b/>
          <w:bCs/>
          <w:caps/>
          <w:noProof/>
          <w:color w:val="0E425C"/>
          <w:sz w:val="26"/>
          <w:szCs w:val="26"/>
        </w:rPr>
        <w:t xml:space="preserve">State’s Employee Retirement Savings Program </w:t>
      </w:r>
      <w:r>
        <w:rPr>
          <w:b/>
          <w:bCs/>
          <w:caps/>
          <w:noProof/>
          <w:color w:val="0E425C"/>
          <w:sz w:val="26"/>
          <w:szCs w:val="26"/>
        </w:rPr>
        <w:t xml:space="preserve">Next </w:t>
      </w:r>
      <w:r w:rsidRPr="007D4E6B">
        <w:rPr>
          <w:b/>
          <w:bCs/>
          <w:caps/>
          <w:noProof/>
          <w:color w:val="0E425C"/>
          <w:sz w:val="26"/>
          <w:szCs w:val="26"/>
        </w:rPr>
        <w:t xml:space="preserve">Effective date </w:t>
      </w:r>
      <w:r w:rsidRPr="005642DE">
        <w:rPr>
          <w:b/>
          <w:bCs/>
          <w:caps/>
          <w:color w:val="0070C0"/>
          <w:sz w:val="26"/>
          <w:szCs w:val="26"/>
        </w:rPr>
        <w:t>July 1, 2026</w:t>
      </w:r>
    </w:p>
    <w:p w14:paraId="170D9FC1" w14:textId="77777777" w:rsidR="002C0337" w:rsidRDefault="002C0337" w:rsidP="002C0337">
      <w:pPr>
        <w:rPr>
          <w:shd w:val="clear" w:color="auto" w:fill="FFFFFF"/>
        </w:rPr>
      </w:pPr>
      <w:r w:rsidRPr="004D632E">
        <w:rPr>
          <w:shd w:val="clear" w:color="auto" w:fill="FFFFFF"/>
        </w:rPr>
        <w:lastRenderedPageBreak/>
        <w:t>The</w:t>
      </w:r>
      <w:r w:rsidRPr="00936463">
        <w:rPr>
          <w:shd w:val="clear" w:color="auto" w:fill="FFFFFF"/>
        </w:rPr>
        <w:t> Vermont Saves program’s employer effective date</w:t>
      </w:r>
      <w:r w:rsidRPr="004D632E">
        <w:rPr>
          <w:shd w:val="clear" w:color="auto" w:fill="FFFFFF"/>
        </w:rPr>
        <w:t> is </w:t>
      </w:r>
      <w:r w:rsidRPr="004D632E">
        <w:rPr>
          <w:b/>
          <w:bCs/>
          <w:shd w:val="clear" w:color="auto" w:fill="FFFFFF"/>
        </w:rPr>
        <w:t>July 1, 2025</w:t>
      </w:r>
      <w:r w:rsidRPr="004D632E">
        <w:rPr>
          <w:shd w:val="clear" w:color="auto" w:fill="FFFFFF"/>
        </w:rPr>
        <w:t>, when the rollout began in phases based on employer size</w:t>
      </w:r>
      <w:r>
        <w:rPr>
          <w:shd w:val="clear" w:color="auto" w:fill="FFFFFF"/>
        </w:rPr>
        <w:t xml:space="preserve">. </w:t>
      </w:r>
      <w:r w:rsidRPr="00AB7EE3">
        <w:rPr>
          <w:shd w:val="clear" w:color="auto" w:fill="FFFFFF"/>
        </w:rPr>
        <w:t>Vermont businesses with 5 or more employees who do not already offer a qualified retirement plan must participate</w:t>
      </w:r>
      <w:r>
        <w:rPr>
          <w:shd w:val="clear" w:color="auto" w:fill="FFFFFF"/>
        </w:rPr>
        <w:t xml:space="preserve"> according to the rollout schedule</w:t>
      </w:r>
      <w:r w:rsidRPr="00AB7EE3">
        <w:rPr>
          <w:shd w:val="clear" w:color="auto" w:fill="FFFFFF"/>
        </w:rPr>
        <w:t>.  Employers must set up payroll deductions, track opt-outs and register by the applicable deadline; they do not contribute funds or pay fees</w:t>
      </w:r>
      <w:r>
        <w:rPr>
          <w:shd w:val="clear" w:color="auto" w:fill="FFFFFF"/>
        </w:rPr>
        <w:t>.</w:t>
      </w:r>
    </w:p>
    <w:p w14:paraId="00B669A3"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July 1, 2025</w:t>
      </w:r>
      <w:r w:rsidRPr="00815E04">
        <w:rPr>
          <w:shd w:val="clear" w:color="auto" w:fill="FFFFFF"/>
        </w:rPr>
        <w:t> – Employers with </w:t>
      </w:r>
      <w:r w:rsidRPr="00815E04">
        <w:rPr>
          <w:b/>
          <w:bCs/>
          <w:shd w:val="clear" w:color="auto" w:fill="FFFFFF"/>
        </w:rPr>
        <w:t>25 or more employees</w:t>
      </w:r>
      <w:r w:rsidRPr="00815E04">
        <w:rPr>
          <w:shd w:val="clear" w:color="auto" w:fill="FFFFFF"/>
        </w:rPr>
        <w:t> must enroll covered employees.</w:t>
      </w:r>
    </w:p>
    <w:p w14:paraId="70FF405E"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January 1, 2026</w:t>
      </w:r>
      <w:r w:rsidRPr="00815E04">
        <w:rPr>
          <w:shd w:val="clear" w:color="auto" w:fill="FFFFFF"/>
        </w:rPr>
        <w:t> – Employers with </w:t>
      </w:r>
      <w:r w:rsidRPr="00815E04">
        <w:rPr>
          <w:b/>
          <w:bCs/>
          <w:shd w:val="clear" w:color="auto" w:fill="FFFFFF"/>
        </w:rPr>
        <w:t>15–24 employees</w:t>
      </w:r>
      <w:r w:rsidRPr="00815E04">
        <w:rPr>
          <w:shd w:val="clear" w:color="auto" w:fill="FFFFFF"/>
        </w:rPr>
        <w:t> must enroll covered employees.</w:t>
      </w:r>
    </w:p>
    <w:p w14:paraId="0B555229"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July 1, 2026</w:t>
      </w:r>
      <w:r w:rsidRPr="00815E04">
        <w:rPr>
          <w:shd w:val="clear" w:color="auto" w:fill="FFFFFF"/>
        </w:rPr>
        <w:t> – Employers with </w:t>
      </w:r>
      <w:r w:rsidRPr="00815E04">
        <w:rPr>
          <w:b/>
          <w:bCs/>
          <w:shd w:val="clear" w:color="auto" w:fill="FFFFFF"/>
        </w:rPr>
        <w:t>5–14 employees</w:t>
      </w:r>
      <w:r w:rsidRPr="00815E04">
        <w:rPr>
          <w:shd w:val="clear" w:color="auto" w:fill="FFFFFF"/>
        </w:rPr>
        <w:t> must enroll covered employees.</w:t>
      </w:r>
    </w:p>
    <w:p w14:paraId="34F503E1" w14:textId="213129CD" w:rsidR="002C0337" w:rsidRPr="002C0337" w:rsidRDefault="002C0337" w:rsidP="002C0337">
      <w:pPr>
        <w:rPr>
          <w:shd w:val="clear" w:color="auto" w:fill="FFFFFF"/>
        </w:rPr>
      </w:pPr>
      <w:r>
        <w:rPr>
          <w:shd w:val="clear" w:color="auto" w:fill="FFFFFF"/>
        </w:rPr>
        <w:t xml:space="preserve">Access the </w:t>
      </w:r>
      <w:hyperlink r:id="rId1046" w:history="1">
        <w:r w:rsidRPr="00120EA0">
          <w:rPr>
            <w:rStyle w:val="Hyperlink"/>
            <w:shd w:val="clear" w:color="auto" w:fill="FFFFFF"/>
          </w:rPr>
          <w:t>State’s Vermont Saves</w:t>
        </w:r>
      </w:hyperlink>
      <w:r>
        <w:rPr>
          <w:shd w:val="clear" w:color="auto" w:fill="FFFFFF"/>
        </w:rPr>
        <w:t xml:space="preserve"> dedicated site to learn more.</w:t>
      </w:r>
    </w:p>
    <w:p w14:paraId="1E08D7E0" w14:textId="0E5383D4" w:rsidR="00F31142" w:rsidRPr="00DD7BD1" w:rsidRDefault="00F31142" w:rsidP="00F311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08A4316D" w14:textId="66F6D330" w:rsidR="00F31142" w:rsidRPr="00DD7BD1" w:rsidRDefault="00F31142" w:rsidP="00F31142">
      <w:pPr>
        <w:spacing w:after="0" w:line="240" w:lineRule="auto"/>
        <w:rPr>
          <w:rFonts w:ascii="Calibri" w:hAnsi="Calibri" w:cs="Calibri"/>
          <w:shd w:val="clear" w:color="auto" w:fill="FFFFFF"/>
        </w:rPr>
      </w:pPr>
      <w:r w:rsidRPr="00DD7BD1">
        <w:rPr>
          <w:rFonts w:ascii="Calibri" w:hAnsi="Calibri" w:cs="Calibri"/>
          <w:shd w:val="clear" w:color="auto" w:fill="FFFFFF"/>
        </w:rPr>
        <w:t>On January 1, 2026, Vermont’s minimum wage will increase to $14.42 per hour. The minimum base wage for tipped employees will increase to $7.21 per hour. Vermont’s minimum wage applies to employers that have two or more employees. Employers that have only one employee can pay the federal minimum wage. </w:t>
      </w:r>
    </w:p>
    <w:p w14:paraId="317DA84B" w14:textId="77777777" w:rsidR="00F31142" w:rsidRPr="00DD7BD1" w:rsidRDefault="00F31142" w:rsidP="00F31142">
      <w:pPr>
        <w:spacing w:after="0" w:line="240" w:lineRule="auto"/>
        <w:rPr>
          <w:rFonts w:ascii="Calibri" w:hAnsi="Calibri" w:cs="Calibri"/>
          <w:shd w:val="clear" w:color="auto" w:fill="FFFFFF"/>
        </w:rPr>
      </w:pPr>
    </w:p>
    <w:p w14:paraId="4B507A78" w14:textId="16319EC2" w:rsidR="00FA4062" w:rsidRPr="00DD7BD1" w:rsidRDefault="005F266D" w:rsidP="00F311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Expanded Short-term &amp; Parental Leave Allowances – </w:t>
      </w:r>
      <w:r w:rsidRPr="00DD7BD1">
        <w:rPr>
          <w:rFonts w:ascii="Calibri" w:hAnsi="Calibri" w:cs="Calibri"/>
          <w:b/>
          <w:bCs/>
          <w:color w:val="C00000"/>
          <w:sz w:val="28"/>
          <w:szCs w:val="28"/>
          <w:shd w:val="clear" w:color="auto" w:fill="FFFFFF"/>
          <w:lang w:val="en"/>
        </w:rPr>
        <w:t>July 1, 2025</w:t>
      </w:r>
    </w:p>
    <w:p w14:paraId="7DEE0706" w14:textId="2BF69380"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Governor of Vermont signed House Bill 461,</w:t>
      </w:r>
      <w:r w:rsidR="005C31E9" w:rsidRPr="00DD7BD1">
        <w:rPr>
          <w:rFonts w:ascii="Calibri" w:hAnsi="Calibri" w:cs="Calibri"/>
        </w:rPr>
        <w:t xml:space="preserve"> </w:t>
      </w:r>
      <w:hyperlink r:id="rId1047" w:history="1">
        <w:r w:rsidR="005C31E9" w:rsidRPr="00DD7BD1">
          <w:rPr>
            <w:rStyle w:val="Hyperlink"/>
            <w:rFonts w:ascii="Calibri" w:hAnsi="Calibri" w:cs="Calibri"/>
          </w:rPr>
          <w:t>H. 461</w:t>
        </w:r>
      </w:hyperlink>
      <w:r w:rsidR="005C31E9" w:rsidRPr="00DD7BD1">
        <w:rPr>
          <w:rFonts w:ascii="Calibri" w:hAnsi="Calibri" w:cs="Calibri"/>
        </w:rPr>
        <w:t>,</w:t>
      </w:r>
      <w:r w:rsidRPr="00DD7BD1">
        <w:rPr>
          <w:rFonts w:ascii="Calibri" w:hAnsi="Calibri" w:cs="Calibri"/>
          <w:shd w:val="clear" w:color="auto" w:fill="FFFFFF"/>
        </w:rPr>
        <w:t xml:space="preserve"> substantially expanding the Vermont Parental and Family Leave Act. The changes go into effect on July 1, 2025. </w:t>
      </w:r>
    </w:p>
    <w:p w14:paraId="3423A298" w14:textId="77777777" w:rsidR="000411F2" w:rsidRPr="00DD7BD1" w:rsidRDefault="000411F2" w:rsidP="005F266D">
      <w:pPr>
        <w:spacing w:after="0" w:line="240" w:lineRule="auto"/>
        <w:rPr>
          <w:rFonts w:ascii="Calibri" w:hAnsi="Calibri" w:cs="Calibri"/>
          <w:shd w:val="clear" w:color="auto" w:fill="FFFFFF"/>
        </w:rPr>
      </w:pPr>
    </w:p>
    <w:p w14:paraId="215B46A6" w14:textId="716E16E3" w:rsidR="000411F2" w:rsidRPr="00DD7BD1" w:rsidRDefault="000411F2" w:rsidP="005F266D">
      <w:pPr>
        <w:spacing w:after="0" w:line="240" w:lineRule="auto"/>
        <w:rPr>
          <w:rFonts w:ascii="Calibri" w:hAnsi="Calibri" w:cs="Calibri"/>
          <w:shd w:val="clear" w:color="auto" w:fill="FFFFFF"/>
        </w:rPr>
      </w:pPr>
      <w:r w:rsidRPr="00DD7BD1">
        <w:rPr>
          <w:rFonts w:ascii="Calibri" w:hAnsi="Calibri" w:cs="Calibri"/>
          <w:shd w:val="clear" w:color="auto" w:fill="FFFFFF"/>
        </w:rPr>
        <w:t>Short term Family Leave is applicable to employers with 15 or more employees who work an average of 30 hours per week over the course of an entire year while Parental Leave covers employers with 10 or more workers who work an average of 30 hours per week over the course of an entire year.</w:t>
      </w:r>
    </w:p>
    <w:p w14:paraId="694293FF" w14:textId="243A2860" w:rsidR="000411F2" w:rsidRPr="00DD7BD1" w:rsidRDefault="000411F2" w:rsidP="005F266D">
      <w:pPr>
        <w:spacing w:after="0" w:line="240" w:lineRule="auto"/>
        <w:rPr>
          <w:rFonts w:ascii="Calibri" w:hAnsi="Calibri" w:cs="Calibri"/>
          <w:shd w:val="clear" w:color="auto" w:fill="FFFFFF"/>
        </w:rPr>
      </w:pPr>
    </w:p>
    <w:p w14:paraId="7089C8FC" w14:textId="190D5AA2"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Key changes: </w:t>
      </w:r>
    </w:p>
    <w:p w14:paraId="51880053" w14:textId="5B799B79" w:rsidR="005F266D" w:rsidRPr="00DD7BD1" w:rsidRDefault="005F266D">
      <w:pPr>
        <w:numPr>
          <w:ilvl w:val="0"/>
          <w:numId w:val="189"/>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DD7BD1" w:rsidRDefault="005F266D">
      <w:pPr>
        <w:numPr>
          <w:ilvl w:val="1"/>
          <w:numId w:val="190"/>
        </w:numPr>
        <w:spacing w:after="0" w:line="240" w:lineRule="auto"/>
        <w:rPr>
          <w:rFonts w:ascii="Calibri" w:hAnsi="Calibri" w:cs="Calibri"/>
          <w:shd w:val="clear" w:color="auto" w:fill="FFFFFF"/>
        </w:rPr>
      </w:pPr>
      <w:r w:rsidRPr="00DD7BD1">
        <w:rPr>
          <w:rFonts w:ascii="Calibri" w:hAnsi="Calibri" w:cs="Calibri"/>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DD7BD1" w:rsidRDefault="005F266D">
      <w:pPr>
        <w:numPr>
          <w:ilvl w:val="1"/>
          <w:numId w:val="191"/>
        </w:numPr>
        <w:spacing w:after="0" w:line="240" w:lineRule="auto"/>
        <w:rPr>
          <w:rFonts w:ascii="Calibri" w:hAnsi="Calibri" w:cs="Calibri"/>
          <w:shd w:val="clear" w:color="auto" w:fill="FFFFFF"/>
        </w:rPr>
      </w:pPr>
      <w:r w:rsidRPr="00DD7BD1">
        <w:rPr>
          <w:rFonts w:ascii="Calibri" w:hAnsi="Calibri" w:cs="Calibri"/>
          <w:shd w:val="clear" w:color="auto" w:fill="FFFFFF"/>
        </w:rPr>
        <w:t>The amendment permits up to 2 weeks for bereavement leave (within the overall 12-week entitlement), permitting up to 5 days to be used consecutively.  </w:t>
      </w:r>
    </w:p>
    <w:p w14:paraId="4A779C88" w14:textId="77777777" w:rsidR="005F266D" w:rsidRPr="00DD7BD1" w:rsidRDefault="005F266D">
      <w:pPr>
        <w:numPr>
          <w:ilvl w:val="1"/>
          <w:numId w:val="192"/>
        </w:numPr>
        <w:spacing w:after="0" w:line="240" w:lineRule="auto"/>
        <w:rPr>
          <w:rFonts w:ascii="Calibri" w:hAnsi="Calibri" w:cs="Calibri"/>
          <w:shd w:val="clear" w:color="auto" w:fill="FFFFFF"/>
        </w:rPr>
      </w:pPr>
      <w:r w:rsidRPr="00DD7BD1">
        <w:rPr>
          <w:rFonts w:ascii="Calibri" w:hAnsi="Calibri" w:cs="Calibri"/>
          <w:shd w:val="clear" w:color="auto" w:fill="FFFFFF"/>
        </w:rPr>
        <w:t>The law also expands the leave an employee can take to bond with an adopted child to children 18 years and under (from 16).</w:t>
      </w:r>
    </w:p>
    <w:p w14:paraId="69BCF110" w14:textId="77777777" w:rsidR="005F266D" w:rsidRPr="00DD7BD1" w:rsidRDefault="005F266D">
      <w:pPr>
        <w:numPr>
          <w:ilvl w:val="0"/>
          <w:numId w:val="193"/>
        </w:numPr>
        <w:spacing w:after="0" w:line="240" w:lineRule="auto"/>
        <w:rPr>
          <w:rFonts w:ascii="Calibri" w:hAnsi="Calibri" w:cs="Calibri"/>
          <w:shd w:val="clear" w:color="auto" w:fill="FFFFFF"/>
        </w:rPr>
      </w:pPr>
      <w:r w:rsidRPr="00DD7BD1">
        <w:rPr>
          <w:rFonts w:ascii="Calibri" w:hAnsi="Calibri" w:cs="Calibri"/>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DD7BD1" w:rsidRDefault="005F266D">
      <w:pPr>
        <w:numPr>
          <w:ilvl w:val="0"/>
          <w:numId w:val="19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Expansion of Covered Relationships. Prior to the amendment, the law permitted an employee to take leave for the serious health condition of their child (including a stepchild, ward, or foster child), parent, parent-in-law, and spouse. The amendment expands this to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following relationships: </w:t>
      </w:r>
    </w:p>
    <w:p w14:paraId="2618D16E" w14:textId="5FE0756C" w:rsidR="005F266D" w:rsidRPr="00DD7BD1" w:rsidRDefault="005F266D">
      <w:pPr>
        <w:numPr>
          <w:ilvl w:val="1"/>
          <w:numId w:val="195"/>
        </w:numPr>
        <w:spacing w:after="0" w:line="240" w:lineRule="auto"/>
        <w:rPr>
          <w:rFonts w:ascii="Calibri" w:hAnsi="Calibri" w:cs="Calibri"/>
          <w:shd w:val="clear" w:color="auto" w:fill="FFFFFF"/>
        </w:rPr>
      </w:pPr>
      <w:r w:rsidRPr="00DD7BD1">
        <w:rPr>
          <w:rFonts w:ascii="Calibri" w:hAnsi="Calibri" w:cs="Calibri"/>
          <w:shd w:val="clear" w:color="auto" w:fill="FFFFFF"/>
        </w:rPr>
        <w:t>Child:  </w:t>
      </w:r>
    </w:p>
    <w:p w14:paraId="557EA228" w14:textId="6B1A624C" w:rsidR="005F266D" w:rsidRPr="00DD7BD1" w:rsidRDefault="005F266D">
      <w:pPr>
        <w:numPr>
          <w:ilvl w:val="2"/>
          <w:numId w:val="196"/>
        </w:numPr>
        <w:spacing w:after="0" w:line="240" w:lineRule="auto"/>
        <w:rPr>
          <w:rFonts w:ascii="Calibri" w:hAnsi="Calibri" w:cs="Calibri"/>
          <w:shd w:val="clear" w:color="auto" w:fill="FFFFFF"/>
        </w:rPr>
      </w:pPr>
      <w:r w:rsidRPr="00DD7BD1">
        <w:rPr>
          <w:rFonts w:ascii="Calibri" w:hAnsi="Calibri" w:cs="Calibri"/>
          <w:shd w:val="clear" w:color="auto" w:fill="FFFFFF"/>
        </w:rPr>
        <w:t>employee’s biological, adopted, or foster child </w:t>
      </w:r>
    </w:p>
    <w:p w14:paraId="41E2A9FD" w14:textId="17605C2E" w:rsidR="005F266D" w:rsidRPr="00DD7BD1" w:rsidRDefault="005F266D">
      <w:pPr>
        <w:numPr>
          <w:ilvl w:val="2"/>
          <w:numId w:val="197"/>
        </w:numPr>
        <w:spacing w:after="0" w:line="240" w:lineRule="auto"/>
        <w:rPr>
          <w:rFonts w:ascii="Calibri" w:hAnsi="Calibri" w:cs="Calibri"/>
          <w:shd w:val="clear" w:color="auto" w:fill="FFFFFF"/>
        </w:rPr>
      </w:pPr>
      <w:r w:rsidRPr="00DD7BD1">
        <w:rPr>
          <w:rFonts w:ascii="Calibri" w:hAnsi="Calibri" w:cs="Calibri"/>
          <w:shd w:val="clear" w:color="auto" w:fill="FFFFFF"/>
        </w:rPr>
        <w:t>employee’s stepchild or legal ward </w:t>
      </w:r>
    </w:p>
    <w:p w14:paraId="2B72C11E" w14:textId="094D8411" w:rsidR="005F266D" w:rsidRPr="00DD7BD1" w:rsidRDefault="005F266D">
      <w:pPr>
        <w:numPr>
          <w:ilvl w:val="2"/>
          <w:numId w:val="198"/>
        </w:numPr>
        <w:spacing w:after="0" w:line="240" w:lineRule="auto"/>
        <w:rPr>
          <w:rFonts w:ascii="Calibri" w:hAnsi="Calibri" w:cs="Calibri"/>
          <w:shd w:val="clear" w:color="auto" w:fill="FFFFFF"/>
        </w:rPr>
      </w:pPr>
      <w:r w:rsidRPr="00DD7BD1">
        <w:rPr>
          <w:rFonts w:ascii="Calibri" w:hAnsi="Calibri" w:cs="Calibri"/>
          <w:shd w:val="clear" w:color="auto" w:fill="FFFFFF"/>
        </w:rPr>
        <w:t>child of the employee’s spouse or civil union or domestic partner </w:t>
      </w:r>
    </w:p>
    <w:p w14:paraId="5359DC2A" w14:textId="0C326E97" w:rsidR="005F266D" w:rsidRPr="00DD7BD1" w:rsidRDefault="005F266D">
      <w:pPr>
        <w:numPr>
          <w:ilvl w:val="2"/>
          <w:numId w:val="199"/>
        </w:numPr>
        <w:spacing w:after="0" w:line="240" w:lineRule="auto"/>
        <w:rPr>
          <w:rFonts w:ascii="Calibri" w:hAnsi="Calibri" w:cs="Calibri"/>
          <w:shd w:val="clear" w:color="auto" w:fill="FFFFFF"/>
        </w:rPr>
      </w:pPr>
      <w:r w:rsidRPr="00DD7BD1">
        <w:rPr>
          <w:rFonts w:ascii="Calibri" w:hAnsi="Calibri" w:cs="Calibri"/>
          <w:shd w:val="clear" w:color="auto" w:fill="FFFFFF"/>
        </w:rPr>
        <w:t>child to whom the employee stands in loco parentis, regardless of legal documentation </w:t>
      </w:r>
    </w:p>
    <w:p w14:paraId="396025C7" w14:textId="77777777" w:rsidR="005F266D" w:rsidRPr="00DD7BD1" w:rsidRDefault="005F266D" w:rsidP="005F266D">
      <w:pPr>
        <w:spacing w:after="0" w:line="240" w:lineRule="auto"/>
        <w:ind w:left="1440"/>
        <w:rPr>
          <w:rFonts w:ascii="Calibri" w:hAnsi="Calibri" w:cs="Calibri"/>
          <w:shd w:val="clear" w:color="auto" w:fill="FFFFFF"/>
        </w:rPr>
      </w:pPr>
    </w:p>
    <w:p w14:paraId="544A910D" w14:textId="0507D519" w:rsidR="005F266D" w:rsidRPr="00DD7BD1" w:rsidRDefault="005F266D">
      <w:pPr>
        <w:numPr>
          <w:ilvl w:val="2"/>
          <w:numId w:val="200"/>
        </w:numPr>
        <w:spacing w:after="0" w:line="240" w:lineRule="auto"/>
        <w:rPr>
          <w:rFonts w:ascii="Calibri" w:hAnsi="Calibri" w:cs="Calibri"/>
          <w:shd w:val="clear" w:color="auto" w:fill="FFFFFF"/>
        </w:rPr>
      </w:pPr>
      <w:r w:rsidRPr="00DD7BD1">
        <w:rPr>
          <w:rFonts w:ascii="Calibri" w:hAnsi="Calibri" w:cs="Calibri"/>
          <w:shd w:val="clear" w:color="auto" w:fill="FFFFFF"/>
        </w:rPr>
        <w:t>individual to whom the employee stood in loco parentis when the individual was under 18 years of age </w:t>
      </w:r>
    </w:p>
    <w:p w14:paraId="4BAB84F3" w14:textId="77777777" w:rsidR="005F266D" w:rsidRPr="00DD7BD1" w:rsidRDefault="005F266D">
      <w:pPr>
        <w:numPr>
          <w:ilvl w:val="2"/>
          <w:numId w:val="2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an individual for whom the employee provides caregiving responsibilities </w:t>
      </w:r>
      <w:proofErr w:type="gramStart"/>
      <w:r w:rsidRPr="00DD7BD1">
        <w:rPr>
          <w:rFonts w:ascii="Calibri" w:hAnsi="Calibri" w:cs="Calibri"/>
          <w:shd w:val="clear" w:color="auto" w:fill="FFFFFF"/>
        </w:rPr>
        <w:t>similar to</w:t>
      </w:r>
      <w:proofErr w:type="gramEnd"/>
      <w:r w:rsidRPr="00DD7BD1">
        <w:rPr>
          <w:rFonts w:ascii="Calibri" w:hAnsi="Calibri" w:cs="Calibri"/>
          <w:shd w:val="clear" w:color="auto" w:fill="FFFFFF"/>
        </w:rPr>
        <w:t xml:space="preserve"> those of a parent-child relationship</w:t>
      </w:r>
    </w:p>
    <w:p w14:paraId="0E184755" w14:textId="77777777" w:rsidR="005F266D" w:rsidRPr="00DD7BD1" w:rsidRDefault="005F266D" w:rsidP="005F266D">
      <w:pPr>
        <w:spacing w:after="0" w:line="240" w:lineRule="auto"/>
        <w:ind w:left="720"/>
        <w:rPr>
          <w:rFonts w:ascii="Calibri" w:hAnsi="Calibri" w:cs="Calibri"/>
          <w:shd w:val="clear" w:color="auto" w:fill="FFFFFF"/>
        </w:rPr>
      </w:pPr>
    </w:p>
    <w:p w14:paraId="4EBB5D59" w14:textId="5F1EC717" w:rsidR="005F266D" w:rsidRPr="00DD7BD1" w:rsidRDefault="005F266D">
      <w:pPr>
        <w:numPr>
          <w:ilvl w:val="1"/>
          <w:numId w:val="202"/>
        </w:numPr>
        <w:spacing w:after="0" w:line="240" w:lineRule="auto"/>
        <w:rPr>
          <w:rFonts w:ascii="Calibri" w:hAnsi="Calibri" w:cs="Calibri"/>
          <w:shd w:val="clear" w:color="auto" w:fill="FFFFFF"/>
        </w:rPr>
      </w:pPr>
      <w:r w:rsidRPr="00DD7BD1">
        <w:rPr>
          <w:rFonts w:ascii="Calibri" w:hAnsi="Calibri" w:cs="Calibri"/>
          <w:shd w:val="clear" w:color="auto" w:fill="FFFFFF"/>
        </w:rPr>
        <w:t>Parent: </w:t>
      </w:r>
    </w:p>
    <w:p w14:paraId="62D34287" w14:textId="2104889F" w:rsidR="005F266D" w:rsidRPr="00DD7BD1" w:rsidRDefault="005F266D">
      <w:pPr>
        <w:numPr>
          <w:ilvl w:val="2"/>
          <w:numId w:val="203"/>
        </w:numPr>
        <w:spacing w:after="0" w:line="240" w:lineRule="auto"/>
        <w:rPr>
          <w:rFonts w:ascii="Calibri" w:hAnsi="Calibri" w:cs="Calibri"/>
          <w:shd w:val="clear" w:color="auto" w:fill="FFFFFF"/>
        </w:rPr>
      </w:pPr>
      <w:r w:rsidRPr="00DD7BD1">
        <w:rPr>
          <w:rFonts w:ascii="Calibri" w:hAnsi="Calibri" w:cs="Calibri"/>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DD7BD1" w:rsidRDefault="005F266D">
      <w:pPr>
        <w:numPr>
          <w:ilvl w:val="2"/>
          <w:numId w:val="204"/>
        </w:numPr>
        <w:spacing w:after="0" w:line="240" w:lineRule="auto"/>
        <w:rPr>
          <w:rFonts w:ascii="Calibri" w:hAnsi="Calibri" w:cs="Calibri"/>
          <w:shd w:val="clear" w:color="auto" w:fill="FFFFFF"/>
        </w:rPr>
      </w:pPr>
      <w:r w:rsidRPr="00DD7BD1">
        <w:rPr>
          <w:rFonts w:ascii="Calibri" w:hAnsi="Calibri" w:cs="Calibri"/>
          <w:shd w:val="clear" w:color="auto" w:fill="FFFFFF"/>
        </w:rPr>
        <w:t>Legal guardian of an employee or employee’s spouse or civil union or domestic partner </w:t>
      </w:r>
    </w:p>
    <w:p w14:paraId="7B5E5D62" w14:textId="77777777" w:rsidR="005F266D" w:rsidRPr="00DD7BD1" w:rsidRDefault="005F266D">
      <w:pPr>
        <w:numPr>
          <w:ilvl w:val="2"/>
          <w:numId w:val="205"/>
        </w:numPr>
        <w:spacing w:after="0" w:line="240" w:lineRule="auto"/>
        <w:rPr>
          <w:rFonts w:ascii="Calibri" w:hAnsi="Calibri" w:cs="Calibri"/>
          <w:shd w:val="clear" w:color="auto" w:fill="FFFFFF"/>
        </w:rPr>
      </w:pPr>
      <w:r w:rsidRPr="00DD7BD1">
        <w:rPr>
          <w:rFonts w:ascii="Calibri" w:hAnsi="Calibri" w:cs="Calibri"/>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DD7BD1" w:rsidRDefault="005F266D" w:rsidP="005F266D">
      <w:pPr>
        <w:spacing w:after="0" w:line="240" w:lineRule="auto"/>
        <w:rPr>
          <w:rFonts w:ascii="Calibri" w:hAnsi="Calibri" w:cs="Calibri"/>
          <w:shd w:val="clear" w:color="auto" w:fill="FFFFFF"/>
        </w:rPr>
      </w:pPr>
    </w:p>
    <w:p w14:paraId="7CCBB35F" w14:textId="77777777" w:rsidR="005F266D" w:rsidRPr="00DD7BD1" w:rsidRDefault="005F266D">
      <w:pPr>
        <w:numPr>
          <w:ilvl w:val="1"/>
          <w:numId w:val="206"/>
        </w:numPr>
        <w:spacing w:after="0" w:line="240" w:lineRule="auto"/>
        <w:rPr>
          <w:rFonts w:ascii="Calibri" w:hAnsi="Calibri" w:cs="Calibri"/>
          <w:shd w:val="clear" w:color="auto" w:fill="FFFFFF"/>
        </w:rPr>
      </w:pPr>
      <w:r w:rsidRPr="00DD7BD1">
        <w:rPr>
          <w:rFonts w:ascii="Calibri" w:hAnsi="Calibri" w:cs="Calibri"/>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DD7BD1" w:rsidRDefault="005F266D" w:rsidP="005F266D">
      <w:pPr>
        <w:spacing w:after="0" w:line="240" w:lineRule="auto"/>
        <w:ind w:left="720"/>
        <w:rPr>
          <w:rFonts w:ascii="Calibri" w:hAnsi="Calibri" w:cs="Calibri"/>
          <w:shd w:val="clear" w:color="auto" w:fill="FFFFFF"/>
        </w:rPr>
      </w:pPr>
    </w:p>
    <w:p w14:paraId="687C32B6" w14:textId="77777777" w:rsidR="005F266D" w:rsidRPr="00DD7BD1" w:rsidRDefault="005F266D">
      <w:pPr>
        <w:numPr>
          <w:ilvl w:val="1"/>
          <w:numId w:val="207"/>
        </w:numPr>
        <w:spacing w:after="0" w:line="240" w:lineRule="auto"/>
        <w:rPr>
          <w:rFonts w:ascii="Calibri" w:hAnsi="Calibri" w:cs="Calibri"/>
          <w:shd w:val="clear" w:color="auto" w:fill="FFFFFF"/>
        </w:rPr>
      </w:pPr>
      <w:r w:rsidRPr="00DD7BD1">
        <w:rPr>
          <w:rFonts w:ascii="Calibri" w:hAnsi="Calibri" w:cs="Calibri"/>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Pr="00DD7BD1" w:rsidRDefault="005F266D" w:rsidP="005F266D">
      <w:pPr>
        <w:spacing w:after="0" w:line="240" w:lineRule="auto"/>
        <w:ind w:left="720"/>
        <w:rPr>
          <w:rFonts w:ascii="Calibri" w:hAnsi="Calibri" w:cs="Calibri"/>
          <w:shd w:val="clear" w:color="auto" w:fill="FFFFFF"/>
        </w:rPr>
      </w:pPr>
    </w:p>
    <w:p w14:paraId="799A81D5" w14:textId="247DCF02" w:rsidR="005F266D" w:rsidRPr="00DD7BD1" w:rsidRDefault="005F266D">
      <w:pPr>
        <w:numPr>
          <w:ilvl w:val="0"/>
          <w:numId w:val="208"/>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DD7BD1" w:rsidRDefault="005F266D">
      <w:pPr>
        <w:numPr>
          <w:ilvl w:val="1"/>
          <w:numId w:val="209"/>
        </w:numPr>
        <w:spacing w:after="0" w:line="240" w:lineRule="auto"/>
        <w:rPr>
          <w:rFonts w:ascii="Calibri" w:hAnsi="Calibri" w:cs="Calibri"/>
          <w:shd w:val="clear" w:color="auto" w:fill="FFFFFF"/>
        </w:rPr>
      </w:pPr>
      <w:r w:rsidRPr="00DD7BD1">
        <w:rPr>
          <w:rFonts w:ascii="Calibri" w:hAnsi="Calibri" w:cs="Calibri"/>
          <w:shd w:val="clear" w:color="auto" w:fill="FFFFFF"/>
        </w:rPr>
        <w:t>school activities of the employee’s child </w:t>
      </w:r>
    </w:p>
    <w:p w14:paraId="4E3DAC33" w14:textId="12BB7708" w:rsidR="005F266D" w:rsidRPr="00DD7BD1" w:rsidRDefault="005F266D">
      <w:pPr>
        <w:numPr>
          <w:ilvl w:val="1"/>
          <w:numId w:val="210"/>
        </w:numPr>
        <w:spacing w:after="0" w:line="240" w:lineRule="auto"/>
        <w:rPr>
          <w:rFonts w:ascii="Calibri" w:hAnsi="Calibri" w:cs="Calibri"/>
          <w:shd w:val="clear" w:color="auto" w:fill="FFFFFF"/>
        </w:rPr>
      </w:pPr>
      <w:r w:rsidRPr="00DD7BD1">
        <w:rPr>
          <w:rFonts w:ascii="Calibri" w:hAnsi="Calibri" w:cs="Calibri"/>
          <w:shd w:val="clear" w:color="auto" w:fill="FFFFFF"/>
        </w:rPr>
        <w:t>routine medical or dental appointments, or other professional services for the employee’s child (including step, foster, or ward), parent, parent-in-law, or spouse </w:t>
      </w:r>
    </w:p>
    <w:p w14:paraId="2F03ED1C" w14:textId="77777777" w:rsidR="005F266D" w:rsidRPr="00DD7BD1" w:rsidRDefault="005F266D">
      <w:pPr>
        <w:numPr>
          <w:ilvl w:val="1"/>
          <w:numId w:val="211"/>
        </w:numPr>
        <w:spacing w:after="0" w:line="240" w:lineRule="auto"/>
        <w:rPr>
          <w:rFonts w:ascii="Calibri" w:hAnsi="Calibri" w:cs="Calibri"/>
          <w:shd w:val="clear" w:color="auto" w:fill="FFFFFF"/>
        </w:rPr>
      </w:pPr>
      <w:r w:rsidRPr="00DD7BD1">
        <w:rPr>
          <w:rFonts w:ascii="Calibri" w:hAnsi="Calibri" w:cs="Calibri"/>
          <w:shd w:val="clear" w:color="auto" w:fill="FFFFFF"/>
        </w:rPr>
        <w:t>to respond to a medical emergency involving the child (including step, foster, or ward), parent, parent-in-law, or spouse </w:t>
      </w:r>
    </w:p>
    <w:p w14:paraId="3720DDEC" w14:textId="77777777" w:rsidR="000411F2" w:rsidRPr="00DD7BD1" w:rsidRDefault="000411F2" w:rsidP="005F266D">
      <w:pPr>
        <w:spacing w:after="0" w:line="240" w:lineRule="auto"/>
        <w:rPr>
          <w:rFonts w:ascii="Calibri" w:hAnsi="Calibri" w:cs="Calibri"/>
          <w:shd w:val="clear" w:color="auto" w:fill="FFFFFF"/>
        </w:rPr>
      </w:pPr>
    </w:p>
    <w:p w14:paraId="116B88BA" w14:textId="77777777" w:rsidR="000411F2"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law expands the covered relationships for all reasons under the Short-Term Family leave to include the same covered relationships listed above. </w:t>
      </w:r>
    </w:p>
    <w:p w14:paraId="779A4DD8" w14:textId="77777777" w:rsidR="000411F2" w:rsidRPr="00DD7BD1" w:rsidRDefault="000411F2" w:rsidP="005F266D">
      <w:pPr>
        <w:spacing w:after="0" w:line="240" w:lineRule="auto"/>
        <w:rPr>
          <w:rFonts w:ascii="Calibri" w:hAnsi="Calibri" w:cs="Calibri"/>
          <w:shd w:val="clear" w:color="auto" w:fill="FFFFFF"/>
        </w:rPr>
      </w:pPr>
    </w:p>
    <w:p w14:paraId="04D8B605" w14:textId="4733326A"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ETC releas</w:t>
      </w:r>
      <w:r w:rsidR="005C31E9"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w:t>
      </w:r>
      <w:r w:rsidR="005C31E9" w:rsidRPr="00DD7BD1">
        <w:rPr>
          <w:rFonts w:ascii="Calibri" w:hAnsi="Calibri" w:cs="Calibri"/>
          <w:shd w:val="clear" w:color="auto" w:fill="FFFFFF"/>
        </w:rPr>
        <w:t>June 2025</w:t>
      </w:r>
    </w:p>
    <w:p w14:paraId="4A051941" w14:textId="77777777" w:rsidR="005F266D" w:rsidRPr="00DD7BD1" w:rsidRDefault="005F266D" w:rsidP="005F266D">
      <w:pPr>
        <w:spacing w:after="0" w:line="240" w:lineRule="auto"/>
        <w:rPr>
          <w:rFonts w:ascii="Calibri" w:hAnsi="Calibri" w:cs="Calibri"/>
          <w:sz w:val="16"/>
          <w:szCs w:val="16"/>
          <w:shd w:val="clear" w:color="auto" w:fill="FFFFFF"/>
        </w:rPr>
      </w:pPr>
    </w:p>
    <w:p w14:paraId="00F2C9DC" w14:textId="4B7B1138"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Pay Ranges in Job Postings – </w:t>
      </w:r>
      <w:r w:rsidRPr="00DD7BD1">
        <w:rPr>
          <w:rFonts w:ascii="Calibri" w:hAnsi="Calibri" w:cs="Calibri"/>
          <w:b/>
          <w:bCs/>
          <w:color w:val="C00000"/>
          <w:sz w:val="28"/>
          <w:szCs w:val="28"/>
          <w:shd w:val="clear" w:color="auto" w:fill="FFFFFF"/>
          <w:lang w:val="en"/>
        </w:rPr>
        <w:t>July 1, 2025</w:t>
      </w:r>
    </w:p>
    <w:p w14:paraId="7D36B8C9" w14:textId="77777777" w:rsidR="00AD4A8E" w:rsidRPr="00DD7BD1" w:rsidRDefault="00AD4A8E" w:rsidP="00AD4A8E">
      <w:pPr>
        <w:rPr>
          <w:rFonts w:ascii="Calibri" w:hAnsi="Calibri" w:cs="Calibri"/>
        </w:rPr>
      </w:pPr>
      <w:r w:rsidRPr="00DD7BD1">
        <w:rPr>
          <w:rFonts w:ascii="Calibri" w:hAnsi="Calibri" w:cs="Calibri"/>
        </w:rPr>
        <w:t>Effective July 1, 2025, Vermont employers with five or more employees, at least one of which works in the state of Vermont, must include the compensation or range of compensation in each job advertisement. The </w:t>
      </w:r>
      <w:hyperlink r:id="rId1048" w:tgtFrame="_blank" w:history="1">
        <w:r w:rsidRPr="00DD7BD1">
          <w:rPr>
            <w:rStyle w:val="Hyperlink"/>
            <w:rFonts w:ascii="Calibri" w:hAnsi="Calibri" w:cs="Calibri"/>
          </w:rPr>
          <w:t>law</w:t>
        </w:r>
      </w:hyperlink>
      <w:r w:rsidRPr="00DD7BD1">
        <w:rPr>
          <w:rFonts w:ascii="Calibri" w:hAnsi="Calibri" w:cs="Calibri"/>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DD7BD1" w:rsidRDefault="00AD4A8E" w:rsidP="00AD4A8E">
      <w:pPr>
        <w:rPr>
          <w:rFonts w:ascii="Calibri" w:hAnsi="Calibri" w:cs="Calibri"/>
        </w:rPr>
      </w:pPr>
      <w:r w:rsidRPr="00DD7BD1">
        <w:rPr>
          <w:rFonts w:ascii="Calibri" w:hAnsi="Calibri" w:cs="Calibri"/>
        </w:rPr>
        <w:t xml:space="preserve">(Amend job postings to include the required information by July 1, 2025. </w:t>
      </w:r>
      <w:hyperlink r:id="rId1049" w:tgtFrame="_blank" w:history="1">
        <w:r w:rsidRPr="00DD7BD1">
          <w:rPr>
            <w:rStyle w:val="Hyperlink"/>
            <w:rFonts w:ascii="Calibri" w:hAnsi="Calibri" w:cs="Calibri"/>
          </w:rPr>
          <w:t>VT H 704</w:t>
        </w:r>
      </w:hyperlink>
      <w:r w:rsidRPr="00DD7BD1">
        <w:rPr>
          <w:rFonts w:ascii="Calibri" w:hAnsi="Calibri" w:cs="Calibri"/>
        </w:rPr>
        <w:t> was signed by the governor on June 4, 2024.)</w:t>
      </w:r>
    </w:p>
    <w:p w14:paraId="3A552BDF" w14:textId="6771337D"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bookmarkStart w:id="144" w:name="_Hlk199401159"/>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Limits Captive Audience Meetings – </w:t>
      </w:r>
      <w:r w:rsidRPr="00DD7BD1">
        <w:rPr>
          <w:rFonts w:ascii="Calibri" w:hAnsi="Calibri" w:cs="Calibri"/>
          <w:b/>
          <w:bCs/>
          <w:color w:val="C00000"/>
          <w:sz w:val="28"/>
          <w:szCs w:val="28"/>
          <w:shd w:val="clear" w:color="auto" w:fill="FFFFFF"/>
        </w:rPr>
        <w:t>July 1, 2024</w:t>
      </w:r>
    </w:p>
    <w:p w14:paraId="7080D72F"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 xml:space="preserve">Beginning July 1, 2024, employers of all sizes can’t take—or threaten to take—adverse action against an employee to get them to attend, or for not attending, an employer-sponsored meeting if its primary purpose is to express the employer’s opinion on religious or political matters as per </w:t>
      </w:r>
      <w:hyperlink r:id="rId1050" w:tgtFrame="_blank" w:history="1">
        <w:r w:rsidRPr="00DD7BD1">
          <w:rPr>
            <w:rStyle w:val="Hyperlink"/>
            <w:rFonts w:ascii="Calibri" w:hAnsi="Calibri" w:cs="Calibri"/>
          </w:rPr>
          <w:t>VT S 102</w:t>
        </w:r>
      </w:hyperlink>
      <w:r w:rsidRPr="00DD7BD1">
        <w:rPr>
          <w:rFonts w:ascii="Calibri" w:hAnsi="Calibri" w:cs="Calibri"/>
        </w:rPr>
        <w:t> which was enacted on May 28, 2024.</w:t>
      </w:r>
    </w:p>
    <w:p w14:paraId="19CC29BA"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The same applies to participating in or viewing communications for this purpose. These types of laws are primarily aimed at preventing employees from being forced to attend anti-unionization meetings. </w:t>
      </w:r>
    </w:p>
    <w:p w14:paraId="48697D97"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This law defines matters as </w:t>
      </w:r>
      <w:r w:rsidRPr="00DD7BD1">
        <w:rPr>
          <w:rFonts w:ascii="Calibri" w:hAnsi="Calibri" w:cs="Calibri"/>
          <w:i/>
          <w:iCs/>
        </w:rPr>
        <w:t>religious </w:t>
      </w:r>
      <w:r w:rsidRPr="00DD7BD1">
        <w:rPr>
          <w:rFonts w:ascii="Calibri" w:hAnsi="Calibri" w:cs="Calibri"/>
        </w:rPr>
        <w:t>if they relate to religious affiliation and practice and the decision to join or support any religious organization or institution. Matters are considered </w:t>
      </w:r>
      <w:r w:rsidRPr="00DD7BD1">
        <w:rPr>
          <w:rFonts w:ascii="Calibri" w:hAnsi="Calibri" w:cs="Calibri"/>
          <w:i/>
          <w:iCs/>
        </w:rPr>
        <w:t>political</w:t>
      </w:r>
      <w:r w:rsidRPr="00DD7BD1">
        <w:rPr>
          <w:rFonts w:ascii="Calibri" w:hAnsi="Calibri" w:cs="Calibri"/>
        </w:rPr>
        <w:t> if they relate to any of the following:</w:t>
      </w:r>
    </w:p>
    <w:p w14:paraId="1203EC7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affiliation</w:t>
      </w:r>
    </w:p>
    <w:p w14:paraId="3B934635"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lastRenderedPageBreak/>
        <w:t>Elections for political office</w:t>
      </w:r>
    </w:p>
    <w:p w14:paraId="1BF922D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parties </w:t>
      </w:r>
    </w:p>
    <w:p w14:paraId="3FBA65CD"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Legislative proposals</w:t>
      </w:r>
    </w:p>
    <w:p w14:paraId="6CE03F30"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The decision to join or support any political party or political, civic, community, fraternal, or labor organization </w:t>
      </w:r>
    </w:p>
    <w:p w14:paraId="71E50CD8" w14:textId="77777777" w:rsidR="001C5F42" w:rsidRPr="00DD7BD1" w:rsidRDefault="001C5F42" w:rsidP="001C5F42">
      <w:pPr>
        <w:shd w:val="clear" w:color="auto" w:fill="FFFFFF"/>
        <w:tabs>
          <w:tab w:val="num" w:pos="-360"/>
        </w:tabs>
        <w:spacing w:after="0" w:line="240" w:lineRule="auto"/>
        <w:ind w:left="810"/>
        <w:jc w:val="both"/>
        <w:rPr>
          <w:rFonts w:ascii="Calibri" w:hAnsi="Calibri" w:cs="Calibri"/>
        </w:rPr>
      </w:pPr>
      <w:r w:rsidRPr="00DD7BD1">
        <w:rPr>
          <w:rFonts w:ascii="Calibri"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Allow employees to opt out of any meeting or communication covered by this law and make sure supervisors understand the law. </w:t>
      </w:r>
    </w:p>
    <w:bookmarkEnd w:id="144"/>
    <w:p w14:paraId="2D0C4BFC" w14:textId="77777777" w:rsidR="001C5F42" w:rsidRPr="00DD7BD1" w:rsidRDefault="001C5F42" w:rsidP="00A83553">
      <w:pPr>
        <w:spacing w:after="0" w:line="240" w:lineRule="auto"/>
        <w:rPr>
          <w:rFonts w:ascii="Calibri" w:hAnsi="Calibri" w:cs="Calibri"/>
          <w:b/>
          <w:bCs/>
          <w:lang w:val="en"/>
        </w:rPr>
      </w:pPr>
    </w:p>
    <w:p w14:paraId="2AF25101" w14:textId="184FC2E5" w:rsidR="004B7569" w:rsidRPr="00DD7BD1" w:rsidRDefault="00AD4A8E" w:rsidP="004B7569">
      <w:pPr>
        <w:spacing w:after="0" w:line="240" w:lineRule="auto"/>
        <w:jc w:val="center"/>
        <w:rPr>
          <w:rFonts w:ascii="Calibri" w:eastAsia="Times New Roman" w:hAnsi="Calibri" w:cs="Calibri"/>
        </w:rPr>
      </w:pPr>
      <w:r w:rsidRPr="00DD7BD1">
        <w:rPr>
          <w:rFonts w:ascii="Calibri" w:hAnsi="Calibri" w:cs="Calibri"/>
          <w:b/>
          <w:bCs/>
          <w:sz w:val="28"/>
          <w:szCs w:val="28"/>
          <w:lang w:val="en"/>
        </w:rPr>
        <w:t>State</w:t>
      </w:r>
      <w:r w:rsidR="004B7569" w:rsidRPr="00DD7BD1">
        <w:rPr>
          <w:rFonts w:ascii="Calibri" w:hAnsi="Calibri" w:cs="Calibri"/>
          <w:b/>
          <w:bCs/>
          <w:sz w:val="28"/>
          <w:szCs w:val="28"/>
          <w:shd w:val="clear" w:color="auto" w:fill="FFFFFF"/>
          <w:lang w:val="en"/>
        </w:rPr>
        <w:t xml:space="preserve"> Expands Protections for Race - </w:t>
      </w:r>
      <w:r w:rsidR="004B7569" w:rsidRPr="00DD7BD1">
        <w:rPr>
          <w:rFonts w:ascii="Calibri" w:hAnsi="Calibri" w:cs="Calibri"/>
          <w:b/>
          <w:bCs/>
          <w:color w:val="C00000"/>
          <w:sz w:val="28"/>
          <w:szCs w:val="28"/>
          <w:shd w:val="clear" w:color="auto" w:fill="FFFFFF"/>
          <w:lang w:val="en"/>
        </w:rPr>
        <w:t>July 1</w:t>
      </w:r>
    </w:p>
    <w:p w14:paraId="2D1A4AF6"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Benning 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This definition creates a </w:t>
      </w:r>
      <w:r w:rsidRPr="00DD7BD1">
        <w:rPr>
          <w:rFonts w:ascii="Calibri" w:eastAsia="Times New Roman" w:hAnsi="Calibri" w:cs="Calibri"/>
          <w:i/>
          <w:iCs/>
        </w:rPr>
        <w:t>very</w:t>
      </w:r>
      <w:r w:rsidRPr="00DD7BD1">
        <w:rPr>
          <w:rFonts w:ascii="Calibri" w:eastAsia="Times New Roman" w:hAnsi="Calibri" w:cs="Calibri"/>
        </w:rPr>
        <w:t> broad set of protections for employees and has the potential for wide application, such as protecting dialect and styles of dress.</w:t>
      </w:r>
    </w:p>
    <w:p w14:paraId="644CA6AB" w14:textId="77777777" w:rsidR="004B7569" w:rsidRPr="00DD7BD1" w:rsidRDefault="004B7569" w:rsidP="004B7569">
      <w:pPr>
        <w:spacing w:after="0" w:line="240" w:lineRule="auto"/>
        <w:jc w:val="both"/>
        <w:rPr>
          <w:rFonts w:ascii="Calibri" w:eastAsia="Times New Roman" w:hAnsi="Calibri" w:cs="Calibri"/>
          <w:sz w:val="16"/>
          <w:szCs w:val="16"/>
        </w:rPr>
      </w:pPr>
    </w:p>
    <w:p w14:paraId="6BA2D0F3"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Take-aways:</w:t>
      </w:r>
    </w:p>
    <w:p w14:paraId="6036EA85"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Ensure your EEO Policy includes an expanded definition of race:</w:t>
      </w:r>
      <w:r w:rsidRPr="00DD7BD1">
        <w:rPr>
          <w:rFonts w:ascii="Calibri" w:hAnsi="Calibri" w:cs="Calibri"/>
        </w:rPr>
        <w:t xml:space="preserve"> </w:t>
      </w:r>
    </w:p>
    <w:p w14:paraId="35CFCE0D"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 xml:space="preserve">      Sample Policy language: </w:t>
      </w:r>
    </w:p>
    <w:p w14:paraId="0020AB7B" w14:textId="77777777" w:rsidR="004B7569" w:rsidRPr="00DD7BD1" w:rsidRDefault="004B7569" w:rsidP="004B7569">
      <w:pPr>
        <w:shd w:val="clear" w:color="auto" w:fill="FFFFFF"/>
        <w:spacing w:after="0" w:line="240" w:lineRule="auto"/>
        <w:ind w:left="1620" w:right="630"/>
        <w:jc w:val="both"/>
        <w:rPr>
          <w:rFonts w:ascii="Calibri" w:hAnsi="Calibri" w:cs="Calibri"/>
          <w:color w:val="000000"/>
          <w:sz w:val="23"/>
          <w:szCs w:val="23"/>
        </w:rPr>
      </w:pPr>
      <w:r w:rsidRPr="00DD7BD1">
        <w:rPr>
          <w:rFonts w:ascii="Calibri" w:hAnsi="Calibri" w:cs="Calibri"/>
          <w:i/>
          <w:iCs/>
          <w:color w:val="000000"/>
          <w:sz w:val="23"/>
          <w:szCs w:val="23"/>
        </w:rPr>
        <w:t xml:space="preserve">COMPANY is an Equal Opportunity Employer that does not discriminate on the basis of actual or perceived race, and traits commonly or historically associated with race </w:t>
      </w:r>
      <w:r w:rsidRPr="00DD7BD1">
        <w:rPr>
          <w:rFonts w:ascii="Calibri" w:hAnsi="Calibri" w:cs="Calibri"/>
          <w:i/>
          <w:iCs/>
          <w:color w:val="C00000"/>
          <w:sz w:val="23"/>
          <w:szCs w:val="23"/>
        </w:rPr>
        <w:t xml:space="preserve">including but not limited to hair texture and hair styles such as afros, braids, twists, knots, </w:t>
      </w:r>
      <w:sdt>
        <w:sdtPr>
          <w:rPr>
            <w:rFonts w:ascii="Calibri" w:hAnsi="Calibri" w:cs="Calibri"/>
            <w:i/>
            <w:iCs/>
          </w:rPr>
          <w:tag w:val="goog_rdk_3"/>
          <w:id w:val="-1864890186"/>
        </w:sdtPr>
        <w:sdtContent/>
      </w:sdt>
      <w:r w:rsidRPr="00DD7BD1">
        <w:rPr>
          <w:rFonts w:ascii="Calibri" w:hAnsi="Calibri" w:cs="Calibri"/>
          <w:i/>
          <w:iCs/>
          <w:color w:val="C00000"/>
          <w:sz w:val="23"/>
          <w:szCs w:val="23"/>
        </w:rPr>
        <w:t>locks and high-top fades</w:t>
      </w:r>
      <w:r w:rsidRPr="00DD7BD1">
        <w:rPr>
          <w:rFonts w:ascii="Calibri" w:hAnsi="Calibri" w:cs="Calibri"/>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sidRPr="00DD7BD1">
        <w:rPr>
          <w:rFonts w:ascii="Calibri" w:hAnsi="Calibri" w:cs="Calibri"/>
          <w:color w:val="000000"/>
          <w:sz w:val="23"/>
          <w:szCs w:val="23"/>
        </w:rPr>
        <w:t>.</w:t>
      </w:r>
    </w:p>
    <w:p w14:paraId="005F5099"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hAnsi="Calibri" w:cs="Calibri"/>
          <w:color w:val="000000"/>
          <w:sz w:val="23"/>
          <w:szCs w:val="23"/>
        </w:rPr>
        <w:t>IF</w:t>
      </w:r>
      <w:r w:rsidRPr="00DD7BD1">
        <w:rPr>
          <w:rFonts w:ascii="Calibri" w:eastAsia="Times New Roman" w:hAnsi="Calibri" w:cs="Calibri"/>
        </w:rPr>
        <w:t xml:space="preserve"> you have dress or grooming policies that regulate hairstyles or head coverings, consider whether they’re </w:t>
      </w:r>
      <w:proofErr w:type="gramStart"/>
      <w:r w:rsidRPr="00DD7BD1">
        <w:rPr>
          <w:rFonts w:ascii="Calibri" w:eastAsia="Times New Roman" w:hAnsi="Calibri" w:cs="Calibri"/>
        </w:rPr>
        <w:t>absolutely necessary</w:t>
      </w:r>
      <w:proofErr w:type="gramEnd"/>
      <w:r w:rsidRPr="00DD7BD1">
        <w:rPr>
          <w:rFonts w:ascii="Calibri" w:eastAsia="Times New Roman" w:hAnsi="Calibri" w:cs="Calibri"/>
        </w:rPr>
        <w:t xml:space="preserve"> for your organization. If you believe that they are, consider consulting with an attorney to ensure they don’t run afoul of this law.</w:t>
      </w:r>
    </w:p>
    <w:p w14:paraId="63A3B8ED"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DD7BD1" w:rsidRDefault="004B7569">
      <w:pPr>
        <w:pStyle w:val="ListParagraph"/>
        <w:numPr>
          <w:ilvl w:val="0"/>
          <w:numId w:val="67"/>
        </w:numPr>
        <w:shd w:val="clear" w:color="auto" w:fill="FFFFFF"/>
        <w:tabs>
          <w:tab w:val="clear" w:pos="720"/>
        </w:tabs>
        <w:spacing w:after="0" w:line="240" w:lineRule="auto"/>
        <w:ind w:left="990" w:right="630"/>
        <w:jc w:val="both"/>
        <w:rPr>
          <w:rFonts w:ascii="Calibri" w:eastAsia="Times New Roman" w:hAnsi="Calibri" w:cs="Calibri"/>
        </w:rPr>
      </w:pPr>
      <w:r w:rsidRPr="00DD7BD1">
        <w:rPr>
          <w:rFonts w:ascii="Calibri" w:eastAsia="Times New Roman" w:hAnsi="Calibri" w:cs="Calibri"/>
        </w:rPr>
        <w:t>Update your equal employment opportunity (EEO) policy to make it clear that race includes traits associated with or perceived to be associated with race</w:t>
      </w:r>
    </w:p>
    <w:p w14:paraId="0D4C81A2" w14:textId="77777777" w:rsidR="004B7569" w:rsidRPr="00DD7BD1" w:rsidRDefault="004B7569" w:rsidP="004B7569">
      <w:pPr>
        <w:spacing w:after="0" w:line="240" w:lineRule="auto"/>
        <w:jc w:val="both"/>
        <w:rPr>
          <w:rFonts w:ascii="Calibri" w:hAnsi="Calibri" w:cs="Calibri"/>
          <w:color w:val="000000" w:themeColor="text1"/>
          <w:shd w:val="clear" w:color="auto" w:fill="FFFFFF"/>
        </w:rPr>
      </w:pPr>
      <w:r w:rsidRPr="00DD7BD1">
        <w:rPr>
          <w:rFonts w:ascii="Calibri" w:hAnsi="Calibri" w:cs="Calibri"/>
        </w:rPr>
        <w:t>(</w:t>
      </w:r>
      <w:hyperlink r:id="rId1051" w:tgtFrame="_blank" w:history="1">
        <w:r w:rsidRPr="00DD7BD1">
          <w:rPr>
            <w:rStyle w:val="Hyperlink"/>
            <w:rFonts w:ascii="Calibri" w:hAnsi="Calibri" w:cs="Calibri"/>
          </w:rPr>
          <w:t>VT H. 363</w:t>
        </w:r>
      </w:hyperlink>
      <w:r w:rsidRPr="00DD7BD1">
        <w:rPr>
          <w:rFonts w:ascii="Calibri" w:hAnsi="Calibri" w:cs="Calibri"/>
          <w:color w:val="282828"/>
          <w:shd w:val="clear" w:color="auto" w:fill="FFFFFF"/>
        </w:rPr>
        <w:t> </w:t>
      </w:r>
      <w:r w:rsidRPr="00DD7BD1">
        <w:rPr>
          <w:rFonts w:ascii="Calibri" w:hAnsi="Calibri" w:cs="Calibri"/>
          <w:color w:val="000000" w:themeColor="text1"/>
          <w:shd w:val="clear" w:color="auto" w:fill="FFFFFF"/>
        </w:rPr>
        <w:t>was signed by the governor on April 25, 2024)</w:t>
      </w:r>
    </w:p>
    <w:p w14:paraId="4B15E989" w14:textId="77777777" w:rsidR="004B7569" w:rsidRPr="00DD7BD1" w:rsidRDefault="004B7569" w:rsidP="004B7569">
      <w:pPr>
        <w:spacing w:after="0" w:line="240" w:lineRule="auto"/>
        <w:rPr>
          <w:rFonts w:ascii="Calibri" w:hAnsi="Calibri" w:cs="Calibri"/>
          <w:b/>
          <w:bCs/>
          <w:color w:val="C00000"/>
          <w:sz w:val="16"/>
          <w:szCs w:val="16"/>
          <w:shd w:val="clear" w:color="auto" w:fill="FFFFFF"/>
          <w:lang w:val="en"/>
        </w:rPr>
      </w:pPr>
    </w:p>
    <w:p w14:paraId="22AD03C3" w14:textId="715E5F13" w:rsidR="004B7569" w:rsidRPr="00DD7BD1" w:rsidRDefault="004B7569" w:rsidP="004B7569">
      <w:pPr>
        <w:spacing w:after="0" w:line="240" w:lineRule="auto"/>
        <w:jc w:val="center"/>
        <w:rPr>
          <w:rFonts w:ascii="Calibri" w:hAnsi="Calibri" w:cs="Calibri"/>
          <w:b/>
          <w:bCs/>
          <w:color w:val="C00000"/>
          <w:sz w:val="28"/>
          <w:szCs w:val="28"/>
          <w:shd w:val="clear" w:color="auto" w:fill="FFFFFF"/>
          <w:lang w:val="en"/>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State’s Paid Leave Expansion – July 1</w:t>
      </w:r>
    </w:p>
    <w:p w14:paraId="62762542"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DD7BD1">
        <w:rPr>
          <w:rFonts w:ascii="Calibri" w:hAnsi="Calibri" w:cs="Calibri"/>
          <w:color w:val="C00000"/>
          <w:sz w:val="22"/>
          <w:szCs w:val="22"/>
        </w:rPr>
        <w:t>July 1, 2024</w:t>
      </w:r>
      <w:r w:rsidRPr="00DD7BD1">
        <w:rPr>
          <w:rFonts w:ascii="Calibri" w:hAnsi="Calibri" w:cs="Calibri"/>
          <w:sz w:val="22"/>
          <w:szCs w:val="22"/>
        </w:rPr>
        <w:t>.</w:t>
      </w:r>
    </w:p>
    <w:p w14:paraId="69803183"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6"/>
          <w:szCs w:val="16"/>
        </w:rPr>
      </w:pPr>
    </w:p>
    <w:p w14:paraId="75F854F0"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lastRenderedPageBreak/>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2"/>
          <w:szCs w:val="12"/>
        </w:rPr>
      </w:pPr>
    </w:p>
    <w:p w14:paraId="1E11C77C"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1052">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1053"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DD7BD1">
        <w:rPr>
          <w:rFonts w:ascii="Calibri" w:hAnsi="Calibri" w:cs="Calibri"/>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The birth of a child and to care for the newborn child within one year of birth;</w:t>
      </w:r>
    </w:p>
    <w:p w14:paraId="502DC06B"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 employee’s adoption of a child or foster care placement and to care for the newly placed child within one year of placement;</w:t>
      </w:r>
    </w:p>
    <w:p w14:paraId="063BAC28"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Caring for the employee’s spouse, child, stepchild, foster child, ward who lives with the employee, parent, or parent of the employee’s spouse who has a serious health condition;</w:t>
      </w:r>
    </w:p>
    <w:p w14:paraId="3A48217F"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 serious health condition that makes the employee unable to perform the essential functions of their job; or</w:t>
      </w:r>
    </w:p>
    <w:p w14:paraId="7C39C9FE"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46A5C89D" w14:textId="327353EB"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Virginia</w:t>
      </w:r>
    </w:p>
    <w:p w14:paraId="6019D744" w14:textId="77777777" w:rsidR="004C1156" w:rsidRDefault="004C1156" w:rsidP="004C1156">
      <w:pPr>
        <w:spacing w:after="0" w:line="240" w:lineRule="auto"/>
        <w:rPr>
          <w:b/>
          <w:bCs/>
          <w:caps/>
          <w:noProof/>
          <w:color w:val="0E425C"/>
          <w:sz w:val="28"/>
          <w:szCs w:val="28"/>
        </w:rPr>
      </w:pPr>
      <w:r w:rsidRPr="005D1B29">
        <w:rPr>
          <w:b/>
          <w:bCs/>
          <w:caps/>
          <w:color w:val="0070C0"/>
          <w:sz w:val="26"/>
          <w:szCs w:val="26"/>
        </w:rPr>
        <w:t xml:space="preserve">New! </w:t>
      </w:r>
      <w:r w:rsidRPr="005D1B29">
        <w:rPr>
          <w:b/>
          <w:bCs/>
          <w:caps/>
          <w:noProof/>
          <w:color w:val="0E425C"/>
          <w:sz w:val="26"/>
          <w:szCs w:val="26"/>
        </w:rPr>
        <w:t>State’s Clean Slate Law Effective</w:t>
      </w:r>
      <w:r w:rsidRPr="005D1B29">
        <w:rPr>
          <w:b/>
          <w:bCs/>
          <w:caps/>
          <w:color w:val="0070C0"/>
          <w:sz w:val="26"/>
          <w:szCs w:val="26"/>
        </w:rPr>
        <w:t xml:space="preserve"> July 1, 2026</w:t>
      </w:r>
    </w:p>
    <w:p w14:paraId="5A642C96" w14:textId="77777777" w:rsidR="004C1156" w:rsidRDefault="004C1156" w:rsidP="004C1156">
      <w:pPr>
        <w:spacing w:after="0" w:line="240" w:lineRule="auto"/>
      </w:pPr>
      <w:r w:rsidRPr="00D64067">
        <w:t>The state’s Clean Slate Law, effective July 1, 2026, significantly expands protections for individuals with criminal records by allowing certain convictions to be sealed from public view and restricting how employers can use that information</w:t>
      </w:r>
      <w:r>
        <w:t>.</w:t>
      </w:r>
      <w:r w:rsidRPr="00D64067">
        <w:rPr>
          <w:rFonts w:ascii="Aptos" w:hAnsi="Aptos"/>
          <w:color w:val="000000"/>
          <w:shd w:val="clear" w:color="auto" w:fill="FFFFFF"/>
        </w:rPr>
        <w:t xml:space="preserve"> </w:t>
      </w:r>
      <w:r>
        <w:t>E</w:t>
      </w:r>
      <w:r w:rsidRPr="00D64067">
        <w:t>mployers of all sizes generally can</w:t>
      </w:r>
      <w:r>
        <w:t xml:space="preserve"> longer</w:t>
      </w:r>
      <w:r w:rsidRPr="00D64067">
        <w:t xml:space="preserve"> require applicants to disclose sealed arrests, charges, or convictions at any point during the hiring process, including on employment applications or during interviews. Additionally, when responding to employer questions about arrests, charges, or convictions, applicants don’t have to reference or provide information about their </w:t>
      </w:r>
      <w:r w:rsidRPr="00D64067">
        <w:rPr>
          <w:i/>
          <w:iCs/>
        </w:rPr>
        <w:t>sealed</w:t>
      </w:r>
      <w:r w:rsidRPr="00D64067">
        <w:t> arrests, charges, or convictions.</w:t>
      </w:r>
    </w:p>
    <w:p w14:paraId="500F4B03" w14:textId="77777777" w:rsidR="004C1156" w:rsidRPr="005D1B29" w:rsidRDefault="004C1156" w:rsidP="004C1156">
      <w:pPr>
        <w:spacing w:after="0" w:line="240" w:lineRule="auto"/>
      </w:pPr>
      <w:r w:rsidRPr="00D64067">
        <w:t>The law contains several exceptions to this restriction</w:t>
      </w:r>
      <w:r>
        <w:t>.</w:t>
      </w:r>
      <w:r w:rsidRPr="00D64067">
        <w:t xml:space="preserve"> </w:t>
      </w:r>
      <w:r>
        <w:t>R</w:t>
      </w:r>
      <w:r w:rsidRPr="005D1B29">
        <w:t>estrictions do not apply to private employers if:</w:t>
      </w:r>
    </w:p>
    <w:p w14:paraId="75BD87BB" w14:textId="77777777" w:rsidR="004C1156" w:rsidRPr="005D1B29" w:rsidRDefault="004C1156">
      <w:pPr>
        <w:numPr>
          <w:ilvl w:val="0"/>
          <w:numId w:val="375"/>
        </w:numPr>
        <w:spacing w:after="0" w:line="240" w:lineRule="auto"/>
      </w:pPr>
      <w:r w:rsidRPr="005D1B29">
        <w:t>State law requires the employer to inquire about these records;</w:t>
      </w:r>
    </w:p>
    <w:p w14:paraId="030D0261" w14:textId="77777777" w:rsidR="004C1156" w:rsidRPr="005D1B29" w:rsidRDefault="004C1156">
      <w:pPr>
        <w:numPr>
          <w:ilvl w:val="0"/>
          <w:numId w:val="375"/>
        </w:numPr>
        <w:spacing w:after="0" w:line="240" w:lineRule="auto"/>
      </w:pPr>
      <w:r w:rsidRPr="005D1B29">
        <w:t>Federal law requires the employer to inquire about these records; or</w:t>
      </w:r>
    </w:p>
    <w:p w14:paraId="2520F704" w14:textId="77777777" w:rsidR="004C1156" w:rsidRPr="005D1B29" w:rsidRDefault="004C1156">
      <w:pPr>
        <w:numPr>
          <w:ilvl w:val="0"/>
          <w:numId w:val="375"/>
        </w:numPr>
        <w:spacing w:after="0" w:line="240" w:lineRule="auto"/>
      </w:pPr>
      <w:r w:rsidRPr="005D1B29">
        <w:t>Access to the work premises is restricted in the interest of national security pursuant to federal law or contract or executive order.</w:t>
      </w:r>
    </w:p>
    <w:p w14:paraId="7CB11BA2" w14:textId="77777777" w:rsidR="004C1156" w:rsidRPr="005D1B29" w:rsidRDefault="004C1156" w:rsidP="004C1156">
      <w:pPr>
        <w:spacing w:after="0" w:line="240" w:lineRule="auto"/>
      </w:pPr>
      <w:r w:rsidRPr="005D1B29">
        <w:t>Employers whose employment application contains questions about the applicant’s prior arrests, charges, or convictions must include notice to applicants that sealed criminal history does not need to be disclosed.</w:t>
      </w:r>
    </w:p>
    <w:p w14:paraId="317E1C20" w14:textId="77777777" w:rsidR="004C1156" w:rsidRPr="005D1B29" w:rsidRDefault="004C1156" w:rsidP="004C1156">
      <w:pPr>
        <w:spacing w:after="0" w:line="240" w:lineRule="auto"/>
      </w:pPr>
      <w:r w:rsidRPr="005D1B29">
        <w:t>For more information, see the Virginia State Crime Commission’s  </w:t>
      </w:r>
      <w:hyperlink r:id="rId1054" w:tgtFrame="_blank" w:history="1">
        <w:r w:rsidRPr="005D1B29">
          <w:rPr>
            <w:rStyle w:val="Hyperlink"/>
          </w:rPr>
          <w:t>FAQs: Virginia’s Criminal Record Sealing Laws</w:t>
        </w:r>
      </w:hyperlink>
      <w:r w:rsidRPr="005D1B29">
        <w:t>.</w:t>
      </w:r>
    </w:p>
    <w:p w14:paraId="4E09BE48" w14:textId="77777777" w:rsidR="004C1156" w:rsidRDefault="004C1156" w:rsidP="004C1156">
      <w:pPr>
        <w:spacing w:after="0" w:line="240" w:lineRule="auto"/>
      </w:pPr>
      <w:r w:rsidRPr="005D1B29">
        <w:t>Va. Code Ann. § 19.2-392.15</w:t>
      </w:r>
    </w:p>
    <w:p w14:paraId="66D5B502" w14:textId="77777777" w:rsidR="004C1156" w:rsidRPr="005D1B29" w:rsidRDefault="004C1156" w:rsidP="004C1156">
      <w:pPr>
        <w:spacing w:after="0" w:line="240" w:lineRule="auto"/>
        <w:rPr>
          <w:b/>
          <w:bCs/>
        </w:rPr>
      </w:pPr>
      <w:r w:rsidRPr="00D64067">
        <w:rPr>
          <w:b/>
          <w:bCs/>
          <w:highlight w:val="lightGray"/>
        </w:rPr>
        <w:t>Employer Takeaway:</w:t>
      </w:r>
      <w:r>
        <w:rPr>
          <w:b/>
          <w:bCs/>
        </w:rPr>
        <w:t xml:space="preserve"> </w:t>
      </w:r>
      <w:r w:rsidRPr="00D64067">
        <w:t>Employers are encouraged to review and update job application(s) and/or any applicable candidate screening process to ensure compliance with the enactment.  Should an employer’s employment application/application process include criminal history questions, add the required notice either directly in the application or as a separate document provided to applicants.</w:t>
      </w:r>
    </w:p>
    <w:p w14:paraId="2F8DFA4D" w14:textId="77777777" w:rsidR="004C1156" w:rsidRPr="004B1FAC" w:rsidRDefault="004C1156" w:rsidP="004C1156">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74C81703" w14:textId="77777777" w:rsidR="004C1156" w:rsidRPr="0055141A" w:rsidRDefault="004C1156">
      <w:pPr>
        <w:pStyle w:val="ListParagraph"/>
        <w:numPr>
          <w:ilvl w:val="0"/>
          <w:numId w:val="373"/>
        </w:numPr>
        <w:spacing w:after="100" w:line="276" w:lineRule="auto"/>
        <w:rPr>
          <w:caps/>
          <w:color w:val="0070C0"/>
        </w:rPr>
      </w:pPr>
      <w:r w:rsidRPr="0055141A">
        <w:rPr>
          <w:caps/>
          <w:color w:val="0E425C"/>
        </w:rPr>
        <w:t xml:space="preserve">State Enacts Regulations Protecting Employees from Coersion Based on Immigration Status Effective </w:t>
      </w:r>
      <w:r w:rsidRPr="0055141A">
        <w:rPr>
          <w:caps/>
          <w:color w:val="0070C0"/>
        </w:rPr>
        <w:t>July 1, 2026</w:t>
      </w:r>
    </w:p>
    <w:p w14:paraId="3B27D363" w14:textId="77777777" w:rsidR="004C1156" w:rsidRPr="0055141A" w:rsidRDefault="004C1156">
      <w:pPr>
        <w:pStyle w:val="ListParagraph"/>
        <w:numPr>
          <w:ilvl w:val="0"/>
          <w:numId w:val="373"/>
        </w:numPr>
        <w:spacing w:after="100" w:line="276" w:lineRule="auto"/>
        <w:rPr>
          <w:caps/>
          <w:color w:val="0070C0"/>
        </w:rPr>
      </w:pPr>
      <w:r w:rsidRPr="0055141A">
        <w:rPr>
          <w:caps/>
          <w:color w:val="0E425C"/>
        </w:rPr>
        <w:t xml:space="preserve">Noncompete Agreements Unenforceable Effective </w:t>
      </w:r>
      <w:r w:rsidRPr="0055141A">
        <w:rPr>
          <w:caps/>
          <w:color w:val="0070C0"/>
        </w:rPr>
        <w:t>July 1, 2026</w:t>
      </w:r>
    </w:p>
    <w:p w14:paraId="01E55C34" w14:textId="77777777" w:rsidR="004C1156" w:rsidRPr="0055141A" w:rsidRDefault="004C1156">
      <w:pPr>
        <w:pStyle w:val="ListParagraph"/>
        <w:numPr>
          <w:ilvl w:val="0"/>
          <w:numId w:val="373"/>
        </w:numPr>
        <w:spacing w:after="100" w:line="276" w:lineRule="auto"/>
        <w:rPr>
          <w:caps/>
          <w:color w:val="0070C0"/>
        </w:rPr>
      </w:pPr>
      <w:r w:rsidRPr="0055141A">
        <w:rPr>
          <w:caps/>
          <w:color w:val="0E425C"/>
        </w:rPr>
        <w:t xml:space="preserve">Noncompete Agreements </w:t>
      </w:r>
      <w:r w:rsidRPr="0055141A">
        <w:rPr>
          <w:caps/>
          <w:color w:val="0E425C"/>
          <w:u w:val="single"/>
        </w:rPr>
        <w:t>healthcare Professionals</w:t>
      </w:r>
      <w:r w:rsidRPr="0055141A">
        <w:rPr>
          <w:caps/>
          <w:color w:val="0E425C"/>
        </w:rPr>
        <w:t xml:space="preserve"> Banned </w:t>
      </w:r>
      <w:r w:rsidRPr="0055141A">
        <w:rPr>
          <w:caps/>
          <w:color w:val="0070C0"/>
        </w:rPr>
        <w:t>July 1, 2026</w:t>
      </w:r>
    </w:p>
    <w:p w14:paraId="570EE532" w14:textId="77777777" w:rsidR="004C1156" w:rsidRPr="0055141A" w:rsidRDefault="004C1156">
      <w:pPr>
        <w:pStyle w:val="ListParagraph"/>
        <w:numPr>
          <w:ilvl w:val="0"/>
          <w:numId w:val="373"/>
        </w:numPr>
        <w:spacing w:after="100" w:line="276" w:lineRule="auto"/>
        <w:rPr>
          <w:caps/>
          <w:color w:val="0070C0"/>
        </w:rPr>
      </w:pPr>
      <w:r w:rsidRPr="0055141A">
        <w:rPr>
          <w:caps/>
          <w:color w:val="0E425C"/>
        </w:rPr>
        <w:t xml:space="preserve">Direct Support Service Employees are Nonexempt Effective </w:t>
      </w:r>
      <w:r w:rsidRPr="0055141A">
        <w:rPr>
          <w:caps/>
          <w:color w:val="0070C0"/>
        </w:rPr>
        <w:t>July 1, 2026</w:t>
      </w:r>
    </w:p>
    <w:p w14:paraId="717B92BE" w14:textId="77777777" w:rsidR="004C1156" w:rsidRDefault="004C1156">
      <w:pPr>
        <w:pStyle w:val="ListParagraph"/>
        <w:numPr>
          <w:ilvl w:val="0"/>
          <w:numId w:val="373"/>
        </w:numPr>
        <w:spacing w:after="100" w:line="276" w:lineRule="auto"/>
        <w:rPr>
          <w:caps/>
          <w:color w:val="0070C0"/>
        </w:rPr>
      </w:pPr>
      <w:r w:rsidRPr="0055141A">
        <w:rPr>
          <w:caps/>
          <w:color w:val="0E425C"/>
        </w:rPr>
        <w:t xml:space="preserve">State Enacts Equal Pay &amp; Pay Transparency Regulations - </w:t>
      </w:r>
      <w:r w:rsidRPr="0055141A">
        <w:rPr>
          <w:caps/>
          <w:color w:val="0070C0"/>
        </w:rPr>
        <w:t>July 1, 2026</w:t>
      </w:r>
    </w:p>
    <w:p w14:paraId="2CB9833A" w14:textId="77777777" w:rsidR="004C1156" w:rsidRPr="00D92AF0" w:rsidRDefault="004C1156">
      <w:pPr>
        <w:pStyle w:val="ListParagraph"/>
        <w:numPr>
          <w:ilvl w:val="1"/>
          <w:numId w:val="373"/>
        </w:numPr>
        <w:spacing w:after="100" w:line="276" w:lineRule="auto"/>
        <w:rPr>
          <w:rFonts w:eastAsia="Times New Roman"/>
        </w:rPr>
      </w:pPr>
      <w:r w:rsidRPr="00D92AF0">
        <w:rPr>
          <w:rFonts w:eastAsia="Times New Roman"/>
        </w:rPr>
        <w:t>Job P</w:t>
      </w:r>
      <w:r>
        <w:rPr>
          <w:rFonts w:eastAsia="Times New Roman"/>
        </w:rPr>
        <w:t>o</w:t>
      </w:r>
      <w:r w:rsidRPr="00D92AF0">
        <w:rPr>
          <w:rFonts w:eastAsia="Times New Roman"/>
        </w:rPr>
        <w:t>stings &amp; Prohibited Salary History Inquiries</w:t>
      </w:r>
    </w:p>
    <w:p w14:paraId="63EC19D1" w14:textId="77777777" w:rsidR="004C1156" w:rsidRPr="0055141A" w:rsidRDefault="004C1156">
      <w:pPr>
        <w:pStyle w:val="ListParagraph"/>
        <w:numPr>
          <w:ilvl w:val="0"/>
          <w:numId w:val="373"/>
        </w:numPr>
        <w:spacing w:after="100" w:line="276" w:lineRule="auto"/>
        <w:rPr>
          <w:caps/>
          <w:color w:val="0070C0"/>
        </w:rPr>
      </w:pPr>
      <w:r w:rsidRPr="0055141A">
        <w:rPr>
          <w:caps/>
          <w:noProof/>
          <w:color w:val="0E425C"/>
        </w:rPr>
        <w:t xml:space="preserve">State Amends Human Rights Act effective </w:t>
      </w:r>
      <w:r w:rsidRPr="0055141A">
        <w:rPr>
          <w:caps/>
          <w:color w:val="0070C0"/>
        </w:rPr>
        <w:t>July 1, 2026</w:t>
      </w:r>
    </w:p>
    <w:p w14:paraId="73A74748" w14:textId="77777777" w:rsidR="004C1156" w:rsidRPr="0055141A" w:rsidRDefault="004C1156">
      <w:pPr>
        <w:pStyle w:val="ListParagraph"/>
        <w:numPr>
          <w:ilvl w:val="0"/>
          <w:numId w:val="373"/>
        </w:numPr>
        <w:spacing w:after="100" w:line="276" w:lineRule="auto"/>
        <w:rPr>
          <w:caps/>
          <w:color w:val="0070C0"/>
        </w:rPr>
      </w:pPr>
      <w:r w:rsidRPr="0055141A">
        <w:rPr>
          <w:caps/>
          <w:noProof/>
          <w:color w:val="0E425C"/>
        </w:rPr>
        <w:t>State Passes Emergency Responder Leave effective</w:t>
      </w:r>
      <w:r w:rsidRPr="0055141A">
        <w:t xml:space="preserve"> </w:t>
      </w:r>
      <w:r w:rsidRPr="0055141A">
        <w:rPr>
          <w:caps/>
          <w:color w:val="0070C0"/>
        </w:rPr>
        <w:t>July 1, 2026</w:t>
      </w:r>
    </w:p>
    <w:p w14:paraId="7366859F" w14:textId="77777777" w:rsidR="004C1156" w:rsidRPr="0055141A" w:rsidRDefault="004C1156">
      <w:pPr>
        <w:pStyle w:val="ListParagraph"/>
        <w:numPr>
          <w:ilvl w:val="0"/>
          <w:numId w:val="373"/>
        </w:numPr>
        <w:spacing w:after="100" w:line="276" w:lineRule="auto"/>
        <w:rPr>
          <w:caps/>
          <w:color w:val="0070C0"/>
        </w:rPr>
      </w:pPr>
      <w:r w:rsidRPr="0055141A">
        <w:rPr>
          <w:caps/>
          <w:color w:val="0E425C"/>
        </w:rPr>
        <w:lastRenderedPageBreak/>
        <w:t xml:space="preserve">State Expands Wage Payment &amp; Misclassification Penalties - </w:t>
      </w:r>
      <w:r w:rsidRPr="0055141A">
        <w:rPr>
          <w:caps/>
          <w:color w:val="0070C0"/>
        </w:rPr>
        <w:t>July 1, 2026</w:t>
      </w:r>
    </w:p>
    <w:p w14:paraId="7CB47382" w14:textId="64AAFE27" w:rsidR="004C1156" w:rsidRPr="00895A33" w:rsidRDefault="004C1156">
      <w:pPr>
        <w:pStyle w:val="ListParagraph"/>
        <w:numPr>
          <w:ilvl w:val="0"/>
          <w:numId w:val="373"/>
        </w:numPr>
        <w:spacing w:after="100" w:line="276" w:lineRule="auto"/>
        <w:rPr>
          <w:caps/>
          <w:color w:val="0070C0"/>
        </w:rPr>
      </w:pPr>
      <w:r w:rsidRPr="0055141A">
        <w:rPr>
          <w:caps/>
          <w:noProof/>
          <w:color w:val="0E425C"/>
        </w:rPr>
        <w:t xml:space="preserve">State Enacts New </w:t>
      </w:r>
      <w:r w:rsidRPr="0055141A">
        <w:rPr>
          <w:caps/>
          <w:noProof/>
          <w:color w:val="0E425C"/>
          <w:u w:val="single"/>
        </w:rPr>
        <w:t>Hospital-specific</w:t>
      </w:r>
      <w:r w:rsidRPr="0055141A">
        <w:rPr>
          <w:caps/>
          <w:noProof/>
          <w:color w:val="0E425C"/>
        </w:rPr>
        <w:t xml:space="preserve"> Workplace Violence Reporting Requirements Effective</w:t>
      </w:r>
      <w:r w:rsidRPr="0055141A">
        <w:rPr>
          <w:caps/>
          <w:color w:val="0070C0"/>
        </w:rPr>
        <w:t xml:space="preserve"> July 1, 2026</w:t>
      </w:r>
    </w:p>
    <w:p w14:paraId="3859A0C8" w14:textId="77777777" w:rsidR="004C1156" w:rsidRDefault="004C1156" w:rsidP="002C0337">
      <w:pPr>
        <w:rPr>
          <w:b/>
          <w:bCs/>
          <w:caps/>
          <w:color w:val="0070C0"/>
          <w:sz w:val="26"/>
          <w:szCs w:val="26"/>
        </w:rPr>
      </w:pPr>
    </w:p>
    <w:p w14:paraId="463F39BF" w14:textId="31C04667" w:rsidR="002C0337" w:rsidRDefault="002C0337" w:rsidP="002C0337">
      <w:pPr>
        <w:rPr>
          <w:b/>
          <w:bCs/>
          <w:caps/>
          <w:color w:val="0070C0"/>
          <w:sz w:val="26"/>
          <w:szCs w:val="26"/>
        </w:rPr>
      </w:pPr>
      <w:r w:rsidRPr="004B7BC8">
        <w:rPr>
          <w:b/>
          <w:bCs/>
          <w:caps/>
          <w:color w:val="0070C0"/>
          <w:sz w:val="26"/>
          <w:szCs w:val="26"/>
        </w:rPr>
        <w:t xml:space="preserve">New! </w:t>
      </w:r>
      <w:r w:rsidRPr="004B7BC8">
        <w:rPr>
          <w:b/>
          <w:bCs/>
          <w:caps/>
          <w:color w:val="0E425C"/>
          <w:sz w:val="26"/>
          <w:szCs w:val="26"/>
        </w:rPr>
        <w:t xml:space="preserve">State Enacts Regulations Protecting Employees from Coersion Based on Immigration Status Effective </w:t>
      </w:r>
      <w:r w:rsidRPr="004B7BC8">
        <w:rPr>
          <w:b/>
          <w:bCs/>
          <w:caps/>
          <w:color w:val="0070C0"/>
          <w:sz w:val="26"/>
          <w:szCs w:val="26"/>
        </w:rPr>
        <w:t>July 1, 2026</w:t>
      </w:r>
    </w:p>
    <w:p w14:paraId="02972EAE" w14:textId="77777777" w:rsidR="002C0337" w:rsidRDefault="002C0337" w:rsidP="002C0337">
      <w:r w:rsidRPr="004B7BC8">
        <w:t xml:space="preserve">On May 14, 2026, Virginia </w:t>
      </w:r>
      <w:hyperlink r:id="rId1055" w:history="1">
        <w:r w:rsidRPr="004B7BC8">
          <w:rPr>
            <w:rStyle w:val="Hyperlink"/>
          </w:rPr>
          <w:t>amended</w:t>
        </w:r>
      </w:hyperlink>
      <w:r w:rsidRPr="004B7BC8">
        <w:t xml:space="preserve"> the state’s employment laws to protect employees from coercion in the workplace based on immigration status.</w:t>
      </w:r>
    </w:p>
    <w:p w14:paraId="7CE677F6" w14:textId="77777777" w:rsidR="002C0337" w:rsidRDefault="002C0337" w:rsidP="002C0337">
      <w:r w:rsidRPr="004B7BC8">
        <w:t xml:space="preserve">The amendment bans employers from using coercion or issuing threats to employees based on immigration status in furtherance of committing a violation of the Virginia Minimum Wage Act or provisions related to the payment of wages, including rules issued by the Virginia Department of Labor and Industry (VDOLI). The amendment defines </w:t>
      </w:r>
      <w:r w:rsidRPr="004B7BC8">
        <w:rPr>
          <w:b/>
          <w:bCs/>
        </w:rPr>
        <w:t>“coercion”</w:t>
      </w:r>
      <w:r w:rsidRPr="004B7BC8">
        <w:t xml:space="preserve"> as a threat to compel or induce a person to engage in conduct that the person has a legal right to abstain from or to abstain from conduct that the person has a legal right to engage in. Under the amendment, </w:t>
      </w:r>
      <w:r w:rsidRPr="004B7BC8">
        <w:rPr>
          <w:b/>
          <w:bCs/>
        </w:rPr>
        <w:t>“threat”</w:t>
      </w:r>
      <w:r w:rsidRPr="004B7BC8">
        <w:t xml:space="preserve"> means any implicit or explicit communication specifically pertaining to an employee’s or an employee’s family member’s immigration status that is made by an employer to deter an employee from engaging in protected activities or exercising a right under Virginia law or any rules issued by the VDOLI.</w:t>
      </w:r>
    </w:p>
    <w:p w14:paraId="309525C3" w14:textId="77777777" w:rsidR="002C0337" w:rsidRPr="004B7BC8" w:rsidRDefault="002C0337" w:rsidP="002C0337">
      <w:r w:rsidRPr="004B7BC8">
        <w:t>If the VDOLI determines that an employer has violated the law, it will assess a civil penalty for each act of coercion or threat issued, as follows:</w:t>
      </w:r>
    </w:p>
    <w:p w14:paraId="64D66AF3" w14:textId="77777777" w:rsidR="002C0337" w:rsidRPr="004B7BC8" w:rsidRDefault="002C0337">
      <w:pPr>
        <w:pStyle w:val="ListParagraph"/>
        <w:numPr>
          <w:ilvl w:val="0"/>
          <w:numId w:val="361"/>
        </w:numPr>
        <w:spacing w:after="100" w:line="276" w:lineRule="auto"/>
      </w:pPr>
      <w:r w:rsidRPr="004B7BC8">
        <w:t>For the first violation, a civil penalty not to exceed $5,000;</w:t>
      </w:r>
    </w:p>
    <w:p w14:paraId="10D1E690" w14:textId="77777777" w:rsidR="002C0337" w:rsidRPr="004B7BC8" w:rsidRDefault="002C0337">
      <w:pPr>
        <w:pStyle w:val="ListParagraph"/>
        <w:numPr>
          <w:ilvl w:val="0"/>
          <w:numId w:val="361"/>
        </w:numPr>
        <w:spacing w:after="100" w:line="276" w:lineRule="auto"/>
      </w:pPr>
      <w:r w:rsidRPr="004B7BC8">
        <w:t>For a second violation, a civil penalty not to exceed $9,000; and</w:t>
      </w:r>
    </w:p>
    <w:p w14:paraId="5F86E692" w14:textId="77777777" w:rsidR="002C0337" w:rsidRPr="00906780" w:rsidRDefault="002C0337">
      <w:pPr>
        <w:pStyle w:val="ListParagraph"/>
        <w:numPr>
          <w:ilvl w:val="0"/>
          <w:numId w:val="361"/>
        </w:numPr>
        <w:spacing w:after="100" w:line="276" w:lineRule="auto"/>
      </w:pPr>
      <w:r w:rsidRPr="004B7BC8">
        <w:t>For any subsequent violation, a civil penalty not to exceed $12,000.</w:t>
      </w:r>
    </w:p>
    <w:p w14:paraId="55485B16" w14:textId="77777777" w:rsidR="002C0337" w:rsidRDefault="002C0337" w:rsidP="002C0337">
      <w:r w:rsidRPr="00643727">
        <w:rPr>
          <w:b/>
          <w:bCs/>
          <w:caps/>
          <w:color w:val="0070C0"/>
          <w:sz w:val="26"/>
          <w:szCs w:val="26"/>
        </w:rPr>
        <w:t>New!</w:t>
      </w:r>
      <w:r>
        <w:rPr>
          <w:b/>
          <w:bCs/>
          <w:caps/>
          <w:color w:val="0E425C"/>
          <w:sz w:val="26"/>
          <w:szCs w:val="26"/>
        </w:rPr>
        <w:t xml:space="preserve"> Noncompete Agreements Unenforceable Effective </w:t>
      </w:r>
      <w:r>
        <w:rPr>
          <w:b/>
          <w:bCs/>
          <w:caps/>
          <w:color w:val="0070C0"/>
          <w:sz w:val="26"/>
          <w:szCs w:val="26"/>
        </w:rPr>
        <w:t>July 1, 2026</w:t>
      </w:r>
    </w:p>
    <w:p w14:paraId="53DB31FC" w14:textId="77777777" w:rsidR="002C0337" w:rsidRPr="00134B00" w:rsidRDefault="002C0337" w:rsidP="002C0337">
      <w:r w:rsidRPr="00134B00">
        <w:t>Starting July 1, 2026</w:t>
      </w:r>
      <w:r>
        <w:t xml:space="preserve">, and in accordance with </w:t>
      </w:r>
      <w:hyperlink r:id="rId1056" w:tgtFrame="_blank" w:history="1">
        <w:r w:rsidRPr="000F5AA8">
          <w:rPr>
            <w:rStyle w:val="Hyperlink"/>
          </w:rPr>
          <w:t>SB 170</w:t>
        </w:r>
      </w:hyperlink>
      <w:r>
        <w:t>,</w:t>
      </w:r>
      <w:r w:rsidRPr="00134B00">
        <w:t xml:space="preserve"> Virginia noncompete agreements won’t be enforceable against employees who are fired without cause, unless the employer provides severance benefits or other monetary payment. Employers are required to disclose these benefits before the noncompete agreement is finalized. What constitutes a termination “for cause” is, unfortunately, not defined in the law.</w:t>
      </w:r>
    </w:p>
    <w:p w14:paraId="1B1965F8" w14:textId="77777777" w:rsidR="002C0337" w:rsidRPr="00C3144A" w:rsidRDefault="002C0337" w:rsidP="002C0337">
      <w:r>
        <w:t>These limitations only apply to agreements that are created, amended, or renewed on or after July 1, 2026. Employers utilizing noncompete agreements for Virginia employees should consult with an attorney to ensure they remain enforceable.</w:t>
      </w:r>
    </w:p>
    <w:p w14:paraId="38699145" w14:textId="77777777" w:rsidR="002C0337" w:rsidRDefault="002C0337" w:rsidP="002C0337">
      <w:pPr>
        <w:rPr>
          <w:b/>
          <w:bCs/>
          <w:caps/>
          <w:color w:val="0E425C"/>
          <w:sz w:val="26"/>
          <w:szCs w:val="26"/>
        </w:rPr>
      </w:pPr>
      <w:r w:rsidRPr="004F6737">
        <w:rPr>
          <w:b/>
          <w:bCs/>
          <w:caps/>
          <w:color w:val="0070C0"/>
          <w:sz w:val="26"/>
          <w:szCs w:val="26"/>
        </w:rPr>
        <w:t xml:space="preserve">New! </w:t>
      </w:r>
      <w:r w:rsidRPr="004F6737">
        <w:rPr>
          <w:b/>
          <w:bCs/>
          <w:caps/>
          <w:color w:val="0E425C"/>
          <w:sz w:val="26"/>
          <w:szCs w:val="26"/>
        </w:rPr>
        <w:t xml:space="preserve">Noncompete Agreements for healthcare Professionals Banned Effectve </w:t>
      </w:r>
      <w:r w:rsidRPr="004F6737">
        <w:rPr>
          <w:b/>
          <w:bCs/>
          <w:caps/>
          <w:color w:val="0070C0"/>
          <w:sz w:val="26"/>
          <w:szCs w:val="26"/>
        </w:rPr>
        <w:t>July 1, 2026</w:t>
      </w:r>
    </w:p>
    <w:p w14:paraId="44F6C40E" w14:textId="77777777" w:rsidR="002C0337" w:rsidRPr="00C3144A" w:rsidRDefault="002C0337" w:rsidP="002C0337">
      <w:r w:rsidRPr="00CB21AF">
        <w:t xml:space="preserve">On May 14, 2026, Virginia passed </w:t>
      </w:r>
      <w:hyperlink r:id="rId1057" w:history="1">
        <w:r w:rsidRPr="00357875">
          <w:rPr>
            <w:rStyle w:val="Hyperlink"/>
          </w:rPr>
          <w:t>Senate Bill (SB) 128</w:t>
        </w:r>
      </w:hyperlink>
      <w:r w:rsidRPr="00357875">
        <w:t xml:space="preserve">, </w:t>
      </w:r>
      <w:r w:rsidRPr="00CB21AF">
        <w:t>which bans noncompete agreements with healthcare professionals.</w:t>
      </w:r>
    </w:p>
    <w:p w14:paraId="49CC2B92" w14:textId="77777777" w:rsidR="002C0337" w:rsidRDefault="002C0337" w:rsidP="002C0337">
      <w:r w:rsidRPr="00643727">
        <w:rPr>
          <w:b/>
          <w:bCs/>
          <w:caps/>
          <w:color w:val="0070C0"/>
          <w:sz w:val="26"/>
          <w:szCs w:val="26"/>
        </w:rPr>
        <w:t xml:space="preserve">New! </w:t>
      </w:r>
      <w:r>
        <w:rPr>
          <w:b/>
          <w:bCs/>
          <w:caps/>
          <w:color w:val="0E425C"/>
          <w:sz w:val="26"/>
          <w:szCs w:val="26"/>
        </w:rPr>
        <w:t xml:space="preserve">Direct Support Service Employees are Nonexempt Effective </w:t>
      </w:r>
      <w:r>
        <w:rPr>
          <w:b/>
          <w:bCs/>
          <w:caps/>
          <w:color w:val="0070C0"/>
          <w:sz w:val="26"/>
          <w:szCs w:val="26"/>
        </w:rPr>
        <w:t>July 1, 2026</w:t>
      </w:r>
    </w:p>
    <w:p w14:paraId="38B05BC1" w14:textId="77777777" w:rsidR="002C0337" w:rsidRDefault="002C0337" w:rsidP="002C0337">
      <w:r w:rsidRPr="00134B00">
        <w:t xml:space="preserve">Beginning July 1, 2026, the State’s overtime law will be updated to specifically classify direct support service employees as nonexempt and eligible for overtime. Direct support services are defined as </w:t>
      </w:r>
      <w:r w:rsidRPr="00C3144A">
        <w:rPr>
          <w:u w:val="single"/>
        </w:rPr>
        <w:t>personal care services provided in-home on a long-term basis for the elderly or disabled</w:t>
      </w:r>
      <w:r w:rsidRPr="00134B00">
        <w:t>.</w:t>
      </w:r>
      <w:r>
        <w:t xml:space="preserve"> </w:t>
      </w:r>
      <w:hyperlink r:id="rId1058" w:tgtFrame="_blank" w:history="1">
        <w:r w:rsidRPr="00134B00">
          <w:rPr>
            <w:rStyle w:val="Hyperlink"/>
            <w:bCs/>
            <w:caps/>
            <w:noProof/>
          </w:rPr>
          <w:t>HB 238</w:t>
        </w:r>
      </w:hyperlink>
      <w:r w:rsidRPr="00134B00">
        <w:t> was approved by the governor on April 22, 2026.</w:t>
      </w:r>
    </w:p>
    <w:p w14:paraId="60BCBB2D" w14:textId="77777777" w:rsidR="002C0337" w:rsidRPr="00357875" w:rsidRDefault="002C0337" w:rsidP="002C0337">
      <w:r w:rsidRPr="00357875">
        <w:t xml:space="preserve">Under SB 128, employers may not </w:t>
      </w:r>
      <w:proofErr w:type="gramStart"/>
      <w:r w:rsidRPr="00357875">
        <w:t>enter into</w:t>
      </w:r>
      <w:proofErr w:type="gramEnd"/>
      <w:r w:rsidRPr="00357875">
        <w:t xml:space="preserve">, enforce or threaten to enforce noncompete agreements with healthcare professionals on or after July 1, 2026. </w:t>
      </w:r>
      <w:r w:rsidRPr="00357875">
        <w:rPr>
          <w:b/>
          <w:bCs/>
        </w:rPr>
        <w:t>Healthcare professional</w:t>
      </w:r>
      <w:r w:rsidRPr="00357875">
        <w:t xml:space="preserve"> means any person licensed, registered or certified by the Board of Medicine, Nursing, Counseling, Optometry, Psychology or Social Work. </w:t>
      </w:r>
    </w:p>
    <w:p w14:paraId="436592CD" w14:textId="77777777" w:rsidR="002C0337" w:rsidRDefault="002C0337" w:rsidP="002C0337">
      <w:pPr>
        <w:spacing w:after="0"/>
      </w:pPr>
      <w:r>
        <w:t>The following Agreement, however, continue to be allowed:</w:t>
      </w:r>
    </w:p>
    <w:p w14:paraId="2ABD9A11" w14:textId="77777777" w:rsidR="002C0337" w:rsidRPr="00357875" w:rsidRDefault="002C0337">
      <w:pPr>
        <w:pStyle w:val="ListParagraph"/>
        <w:numPr>
          <w:ilvl w:val="0"/>
          <w:numId w:val="359"/>
        </w:numPr>
        <w:spacing w:after="0" w:line="276" w:lineRule="auto"/>
      </w:pPr>
      <w:r w:rsidRPr="00357875">
        <w:lastRenderedPageBreak/>
        <w:t>Nondisclosure agreements intended to prohibit the taking, misappropriating, threatening to misappropriate or sharing of certain information to which the professional has access (e.g., trade secrets, proprietary or confidential information);</w:t>
      </w:r>
    </w:p>
    <w:p w14:paraId="46CC3E9D" w14:textId="77777777" w:rsidR="002C0337" w:rsidRPr="00357875" w:rsidRDefault="002C0337">
      <w:pPr>
        <w:pStyle w:val="ListParagraph"/>
        <w:numPr>
          <w:ilvl w:val="0"/>
          <w:numId w:val="359"/>
        </w:numPr>
        <w:spacing w:after="100" w:line="276" w:lineRule="auto"/>
      </w:pPr>
      <w:r w:rsidRPr="00357875">
        <w:t>Noncompetes in connection with the sale of a business, provided the restrictive covenants are reasonable in scope, duration and geographic area;</w:t>
      </w:r>
    </w:p>
    <w:p w14:paraId="248AEEF8" w14:textId="77777777" w:rsidR="002C0337" w:rsidRPr="00357875" w:rsidRDefault="002C0337">
      <w:pPr>
        <w:pStyle w:val="ListParagraph"/>
        <w:numPr>
          <w:ilvl w:val="0"/>
          <w:numId w:val="359"/>
        </w:numPr>
        <w:spacing w:after="100" w:line="276" w:lineRule="auto"/>
      </w:pPr>
      <w:r w:rsidRPr="00357875">
        <w:t>Customer nonsolicitation agreements that restrict the solicitation of customers or prospective customers with whom the professional had material contact during employment (the professional may inform patients of their continuing practice of medicine, their new contact information and the patient’s right to choose a healthcare professional); and</w:t>
      </w:r>
    </w:p>
    <w:p w14:paraId="00FE6315" w14:textId="77777777" w:rsidR="002C0337" w:rsidRPr="00357875" w:rsidRDefault="002C0337">
      <w:pPr>
        <w:pStyle w:val="ListParagraph"/>
        <w:numPr>
          <w:ilvl w:val="0"/>
          <w:numId w:val="359"/>
        </w:numPr>
        <w:spacing w:after="100" w:line="276" w:lineRule="auto"/>
      </w:pPr>
      <w:r w:rsidRPr="00357875">
        <w:t>Agreements requiring repayment for all or a prorated portion of recruitment-related costs (e.g., relocation expenses, signing or retention bonuses) from a professional who has been employed for fewer than five years.</w:t>
      </w:r>
    </w:p>
    <w:p w14:paraId="3A2BDEF1" w14:textId="77777777" w:rsidR="002C0337" w:rsidRDefault="002C0337" w:rsidP="002C0337">
      <w:r w:rsidRPr="00357875">
        <w:rPr>
          <w:b/>
          <w:bCs/>
          <w:highlight w:val="lightGray"/>
        </w:rPr>
        <w:t>Employer Takeaway:</w:t>
      </w:r>
      <w:r w:rsidRPr="00357875">
        <w:rPr>
          <w:b/>
          <w:bCs/>
        </w:rPr>
        <w:t xml:space="preserve"> </w:t>
      </w:r>
      <w:r w:rsidRPr="00357875">
        <w:t xml:space="preserve">Employers should </w:t>
      </w:r>
      <w:r>
        <w:t xml:space="preserve">evaluate any current employee Agreements with Noncompete provisions as well as </w:t>
      </w:r>
      <w:r w:rsidRPr="00357875">
        <w:t>not enter into</w:t>
      </w:r>
      <w:r>
        <w:t xml:space="preserve"> any new agreements with </w:t>
      </w:r>
      <w:r w:rsidRPr="00357875">
        <w:t xml:space="preserve">noncompete </w:t>
      </w:r>
      <w:r>
        <w:t xml:space="preserve">provisions </w:t>
      </w:r>
      <w:r w:rsidRPr="00357875">
        <w:t>with healthcare professionals on or after July 1, 2026.</w:t>
      </w:r>
    </w:p>
    <w:p w14:paraId="401493E0" w14:textId="77777777" w:rsidR="002C0337" w:rsidRDefault="002C0337" w:rsidP="002C0337">
      <w:pPr>
        <w:rPr>
          <w:b/>
          <w:bCs/>
          <w:caps/>
          <w:color w:val="0070C0"/>
          <w:sz w:val="26"/>
          <w:szCs w:val="26"/>
          <w:u w:val="single"/>
        </w:rPr>
      </w:pPr>
      <w:r w:rsidRPr="004F6737">
        <w:rPr>
          <w:b/>
          <w:bCs/>
          <w:caps/>
          <w:color w:val="0070C0"/>
          <w:sz w:val="26"/>
          <w:szCs w:val="26"/>
        </w:rPr>
        <w:t xml:space="preserve">New! </w:t>
      </w:r>
      <w:r w:rsidRPr="004F6737">
        <w:rPr>
          <w:b/>
          <w:bCs/>
          <w:caps/>
          <w:color w:val="0E425C"/>
          <w:sz w:val="26"/>
          <w:szCs w:val="26"/>
        </w:rPr>
        <w:t>State Enacts Paid Sick Leave Effective</w:t>
      </w:r>
      <w:r w:rsidRPr="004F6737">
        <w:rPr>
          <w:b/>
          <w:bCs/>
          <w:caps/>
          <w:color w:val="0070C0"/>
          <w:sz w:val="26"/>
          <w:szCs w:val="26"/>
        </w:rPr>
        <w:t xml:space="preserve"> July 1, 202</w:t>
      </w:r>
      <w:r w:rsidRPr="004F6737">
        <w:rPr>
          <w:b/>
          <w:bCs/>
          <w:caps/>
          <w:color w:val="0070C0"/>
          <w:sz w:val="26"/>
          <w:szCs w:val="26"/>
          <w:u w:val="single"/>
        </w:rPr>
        <w:t>7</w:t>
      </w:r>
    </w:p>
    <w:p w14:paraId="7079D2E3" w14:textId="77777777" w:rsidR="002C0337" w:rsidRPr="00C3144A" w:rsidRDefault="002C0337" w:rsidP="002C0337">
      <w:r>
        <w:t>The state’s</w:t>
      </w:r>
      <w:r w:rsidRPr="00C3144A">
        <w:t xml:space="preserve"> </w:t>
      </w:r>
      <w:r>
        <w:t>g</w:t>
      </w:r>
      <w:r w:rsidRPr="00C3144A">
        <w:t>ov</w:t>
      </w:r>
      <w:r>
        <w:t>ernor</w:t>
      </w:r>
      <w:r w:rsidRPr="00C3144A">
        <w:t xml:space="preserve"> signed into law a </w:t>
      </w:r>
      <w:hyperlink r:id="rId1059" w:history="1">
        <w:r w:rsidRPr="00021A1E">
          <w:rPr>
            <w:rStyle w:val="Hyperlink"/>
          </w:rPr>
          <w:t>bill</w:t>
        </w:r>
      </w:hyperlink>
      <w:r w:rsidRPr="00021A1E">
        <w:t xml:space="preserve"> </w:t>
      </w:r>
      <w:r w:rsidRPr="00C3144A">
        <w:t>requiring employers to provide up to</w:t>
      </w:r>
      <w:r>
        <w:t xml:space="preserve"> 5 </w:t>
      </w:r>
      <w:r w:rsidRPr="00C3144A">
        <w:t xml:space="preserve">days </w:t>
      </w:r>
      <w:r>
        <w:t xml:space="preserve">(40 hours) </w:t>
      </w:r>
      <w:r w:rsidRPr="00C3144A">
        <w:t xml:space="preserve">of paid sick leave (PSL) </w:t>
      </w:r>
      <w:r>
        <w:t>annually</w:t>
      </w:r>
      <w:r w:rsidRPr="00C3144A">
        <w:t xml:space="preserve"> </w:t>
      </w:r>
      <w:r>
        <w:t>to</w:t>
      </w:r>
      <w:r w:rsidRPr="00C3144A">
        <w:t xml:space="preserve"> employees </w:t>
      </w:r>
      <w:r>
        <w:t xml:space="preserve">for qualifying reasons. As of the 2027 effective date, the PSL </w:t>
      </w:r>
      <w:r w:rsidRPr="00C3144A">
        <w:t xml:space="preserve">requirement will be phased in over </w:t>
      </w:r>
      <w:r>
        <w:t xml:space="preserve">3 </w:t>
      </w:r>
      <w:r w:rsidRPr="00C3144A">
        <w:t>years until employers of all sizes are covered by 2029.</w:t>
      </w:r>
    </w:p>
    <w:p w14:paraId="0C9C387E" w14:textId="77777777" w:rsidR="002C0337" w:rsidRPr="00021A1E" w:rsidRDefault="002C0337" w:rsidP="002C0337">
      <w:pPr>
        <w:spacing w:after="0"/>
        <w:rPr>
          <w:b/>
          <w:bCs/>
        </w:rPr>
      </w:pPr>
      <w:r w:rsidRPr="00021A1E">
        <w:rPr>
          <w:b/>
          <w:bCs/>
        </w:rPr>
        <w:t xml:space="preserve">Phased-in </w:t>
      </w:r>
      <w:r>
        <w:rPr>
          <w:b/>
          <w:bCs/>
        </w:rPr>
        <w:t>S</w:t>
      </w:r>
      <w:r w:rsidRPr="00021A1E">
        <w:rPr>
          <w:b/>
          <w:bCs/>
        </w:rPr>
        <w:t>chedule</w:t>
      </w:r>
    </w:p>
    <w:p w14:paraId="602FEE26" w14:textId="77777777" w:rsidR="002C0337" w:rsidRPr="00021A1E" w:rsidRDefault="002C0337">
      <w:pPr>
        <w:pStyle w:val="ListParagraph"/>
        <w:numPr>
          <w:ilvl w:val="0"/>
          <w:numId w:val="360"/>
        </w:numPr>
        <w:spacing w:after="0" w:line="276" w:lineRule="auto"/>
      </w:pPr>
      <w:r w:rsidRPr="00021A1E">
        <w:rPr>
          <w:caps/>
          <w:color w:val="0070C0"/>
          <w:sz w:val="26"/>
          <w:szCs w:val="26"/>
        </w:rPr>
        <w:t>J</w:t>
      </w:r>
      <w:r>
        <w:rPr>
          <w:caps/>
          <w:color w:val="0070C0"/>
          <w:sz w:val="26"/>
          <w:szCs w:val="26"/>
        </w:rPr>
        <w:t>uly</w:t>
      </w:r>
      <w:r w:rsidRPr="00021A1E">
        <w:rPr>
          <w:caps/>
          <w:color w:val="0070C0"/>
          <w:sz w:val="26"/>
          <w:szCs w:val="26"/>
        </w:rPr>
        <w:t xml:space="preserve"> 1, 2027:</w:t>
      </w:r>
      <w:r w:rsidRPr="00021A1E">
        <w:t xml:space="preserve"> Employers with at least 50 employees</w:t>
      </w:r>
    </w:p>
    <w:p w14:paraId="29D0005F" w14:textId="77777777" w:rsidR="002C0337" w:rsidRPr="00021A1E" w:rsidRDefault="002C0337">
      <w:pPr>
        <w:pStyle w:val="ListParagraph"/>
        <w:numPr>
          <w:ilvl w:val="0"/>
          <w:numId w:val="360"/>
        </w:numPr>
        <w:spacing w:after="100" w:line="276" w:lineRule="auto"/>
      </w:pPr>
      <w:r w:rsidRPr="00021A1E">
        <w:rPr>
          <w:caps/>
          <w:color w:val="0070C0"/>
          <w:sz w:val="26"/>
          <w:szCs w:val="26"/>
        </w:rPr>
        <w:t>Jan</w:t>
      </w:r>
      <w:r>
        <w:rPr>
          <w:caps/>
          <w:color w:val="0070C0"/>
          <w:sz w:val="26"/>
          <w:szCs w:val="26"/>
        </w:rPr>
        <w:t>uary</w:t>
      </w:r>
      <w:r w:rsidRPr="00021A1E">
        <w:rPr>
          <w:caps/>
          <w:color w:val="0070C0"/>
          <w:sz w:val="26"/>
          <w:szCs w:val="26"/>
        </w:rPr>
        <w:t xml:space="preserve"> 1, 2028</w:t>
      </w:r>
      <w:r w:rsidRPr="00021A1E">
        <w:t>: Employers with at least 25 employees</w:t>
      </w:r>
    </w:p>
    <w:p w14:paraId="2BAB0AD0" w14:textId="77777777" w:rsidR="002C0337" w:rsidRPr="00021A1E" w:rsidRDefault="002C0337">
      <w:pPr>
        <w:pStyle w:val="ListParagraph"/>
        <w:numPr>
          <w:ilvl w:val="0"/>
          <w:numId w:val="360"/>
        </w:numPr>
        <w:spacing w:after="100" w:line="276" w:lineRule="auto"/>
      </w:pPr>
      <w:r w:rsidRPr="00021A1E">
        <w:rPr>
          <w:caps/>
          <w:color w:val="0070C0"/>
          <w:sz w:val="26"/>
          <w:szCs w:val="26"/>
        </w:rPr>
        <w:t>Jan</w:t>
      </w:r>
      <w:r>
        <w:rPr>
          <w:caps/>
          <w:color w:val="0070C0"/>
          <w:sz w:val="26"/>
          <w:szCs w:val="26"/>
        </w:rPr>
        <w:t>uary</w:t>
      </w:r>
      <w:r w:rsidRPr="00021A1E">
        <w:rPr>
          <w:caps/>
          <w:color w:val="0070C0"/>
          <w:sz w:val="26"/>
          <w:szCs w:val="26"/>
        </w:rPr>
        <w:t xml:space="preserve"> 1, 2029</w:t>
      </w:r>
      <w:r w:rsidRPr="00021A1E">
        <w:t>: Employers with at least one employee</w:t>
      </w:r>
    </w:p>
    <w:p w14:paraId="5BCAA048" w14:textId="77777777" w:rsidR="002C0337" w:rsidRPr="00021A1E" w:rsidRDefault="002C0337" w:rsidP="002C0337">
      <w:pPr>
        <w:spacing w:after="0"/>
        <w:rPr>
          <w:b/>
          <w:bCs/>
        </w:rPr>
      </w:pPr>
      <w:r w:rsidRPr="00021A1E">
        <w:rPr>
          <w:b/>
          <w:bCs/>
        </w:rPr>
        <w:t>Covered Employees</w:t>
      </w:r>
    </w:p>
    <w:p w14:paraId="0773D861" w14:textId="77777777" w:rsidR="002C0337" w:rsidRPr="00021A1E" w:rsidRDefault="002C0337" w:rsidP="002C0337">
      <w:pPr>
        <w:spacing w:after="0"/>
      </w:pPr>
      <w:r w:rsidRPr="00021A1E">
        <w:t xml:space="preserve">All employees are covered except home healthcare workers (who are covered by a different paid sick leave law), certain other health workers, railroad workers and specific collectively bargained employees. Part-time employees are covered. </w:t>
      </w:r>
    </w:p>
    <w:p w14:paraId="0240BC23" w14:textId="77777777" w:rsidR="002C0337" w:rsidRPr="004B7BC8" w:rsidRDefault="002C0337" w:rsidP="002C0337">
      <w:r w:rsidRPr="00021A1E">
        <w:rPr>
          <w:b/>
          <w:bCs/>
          <w:highlight w:val="lightGray"/>
        </w:rPr>
        <w:t>Employer Takeaway:</w:t>
      </w:r>
      <w:r w:rsidRPr="00021A1E">
        <w:t xml:space="preserve"> Employers with paid time off policies that provide the amount of paid leave required by the PSL law are not required to provide additional paid sick leave, </w:t>
      </w:r>
      <w:proofErr w:type="gramStart"/>
      <w:r w:rsidRPr="00021A1E">
        <w:t>as long as</w:t>
      </w:r>
      <w:proofErr w:type="gramEnd"/>
      <w:r w:rsidRPr="00021A1E">
        <w:t xml:space="preserve"> the paid time off provided may be used for the same purposes and under the same conditions as PSL under the PSL law.</w:t>
      </w:r>
    </w:p>
    <w:p w14:paraId="087E355A" w14:textId="77777777" w:rsidR="002C0337" w:rsidRDefault="002C0337" w:rsidP="002C0337">
      <w:r>
        <w:rPr>
          <w:b/>
          <w:bCs/>
          <w:caps/>
          <w:color w:val="0E425C"/>
          <w:sz w:val="26"/>
          <w:szCs w:val="26"/>
        </w:rPr>
        <w:t xml:space="preserve">Reminder: State Enacts Equal Pay &amp; Pay Transparency Regulations - </w:t>
      </w:r>
      <w:r>
        <w:rPr>
          <w:b/>
          <w:bCs/>
          <w:caps/>
          <w:color w:val="0070C0"/>
          <w:sz w:val="26"/>
          <w:szCs w:val="26"/>
        </w:rPr>
        <w:t>July 1, 2026</w:t>
      </w:r>
    </w:p>
    <w:p w14:paraId="6CD17EBC" w14:textId="77777777" w:rsidR="002C0337" w:rsidRDefault="002C0337" w:rsidP="002C0337">
      <w:pPr>
        <w:rPr>
          <w:b/>
          <w:bCs/>
          <w:caps/>
          <w:color w:val="0070C0"/>
          <w:sz w:val="26"/>
          <w:szCs w:val="26"/>
        </w:rPr>
      </w:pPr>
      <w:r w:rsidRPr="00D56833">
        <w:rPr>
          <w:b/>
          <w:bCs/>
          <w:caps/>
          <w:noProof/>
          <w:color w:val="0E425C"/>
          <w:sz w:val="26"/>
          <w:szCs w:val="26"/>
        </w:rPr>
        <w:t xml:space="preserve">Reminder: </w:t>
      </w:r>
      <w:r w:rsidRPr="007D4E6B">
        <w:rPr>
          <w:b/>
          <w:bCs/>
          <w:caps/>
          <w:noProof/>
          <w:color w:val="0E425C"/>
          <w:sz w:val="26"/>
          <w:szCs w:val="26"/>
        </w:rPr>
        <w:t>State Amends Human Rights Act</w:t>
      </w:r>
      <w:r>
        <w:rPr>
          <w:b/>
          <w:bCs/>
          <w:caps/>
          <w:noProof/>
          <w:color w:val="0E425C"/>
          <w:sz w:val="26"/>
          <w:szCs w:val="26"/>
        </w:rPr>
        <w:t xml:space="preserve"> effective </w:t>
      </w:r>
      <w:r>
        <w:rPr>
          <w:b/>
          <w:bCs/>
          <w:caps/>
          <w:color w:val="0070C0"/>
          <w:sz w:val="26"/>
          <w:szCs w:val="26"/>
        </w:rPr>
        <w:t>July 1, 2026</w:t>
      </w:r>
    </w:p>
    <w:p w14:paraId="3BF7D63E" w14:textId="77777777" w:rsidR="002C0337" w:rsidRPr="000222DD" w:rsidRDefault="002C0337" w:rsidP="002C0337">
      <w:r w:rsidRPr="000222DD">
        <w:rPr>
          <w:b/>
          <w:bCs/>
          <w:caps/>
          <w:noProof/>
          <w:color w:val="0E425C"/>
          <w:sz w:val="26"/>
          <w:szCs w:val="26"/>
        </w:rPr>
        <w:t>Reminder: State Passes Emergency Responder Leave effective</w:t>
      </w:r>
      <w:r w:rsidRPr="000222DD">
        <w:t xml:space="preserve"> </w:t>
      </w:r>
      <w:r w:rsidRPr="000222DD">
        <w:rPr>
          <w:b/>
          <w:bCs/>
          <w:caps/>
          <w:color w:val="0070C0"/>
          <w:sz w:val="26"/>
          <w:szCs w:val="26"/>
        </w:rPr>
        <w:t>July 1, 2026</w:t>
      </w:r>
    </w:p>
    <w:p w14:paraId="2DE2DF11" w14:textId="77777777" w:rsidR="002C0337" w:rsidRDefault="002C0337" w:rsidP="002C0337">
      <w:pPr>
        <w:rPr>
          <w:b/>
          <w:bCs/>
          <w:caps/>
          <w:noProof/>
          <w:color w:val="0E425C"/>
          <w:sz w:val="28"/>
          <w:szCs w:val="28"/>
        </w:rPr>
      </w:pPr>
      <w:r w:rsidRPr="00D56833">
        <w:rPr>
          <w:b/>
          <w:bCs/>
          <w:caps/>
          <w:noProof/>
          <w:color w:val="0E425C"/>
          <w:sz w:val="26"/>
          <w:szCs w:val="26"/>
        </w:rPr>
        <w:t xml:space="preserve">Reminder: </w:t>
      </w:r>
      <w:r w:rsidRPr="00750794">
        <w:rPr>
          <w:b/>
          <w:bCs/>
          <w:caps/>
          <w:noProof/>
          <w:color w:val="0E425C"/>
          <w:sz w:val="26"/>
          <w:szCs w:val="26"/>
        </w:rPr>
        <w:t xml:space="preserve">State Requires Severance Benefits for Noncompetes </w:t>
      </w:r>
      <w:r>
        <w:rPr>
          <w:b/>
          <w:bCs/>
          <w:caps/>
          <w:noProof/>
          <w:color w:val="0E425C"/>
          <w:sz w:val="26"/>
          <w:szCs w:val="26"/>
        </w:rPr>
        <w:t xml:space="preserve">- </w:t>
      </w:r>
      <w:r w:rsidRPr="00750794">
        <w:rPr>
          <w:b/>
          <w:bCs/>
          <w:caps/>
          <w:color w:val="0070C0"/>
          <w:sz w:val="26"/>
          <w:szCs w:val="26"/>
        </w:rPr>
        <w:t>July 1, 2026</w:t>
      </w:r>
    </w:p>
    <w:p w14:paraId="73946125" w14:textId="77777777" w:rsidR="002C0337" w:rsidRDefault="002C0337" w:rsidP="002C0337">
      <w:pPr>
        <w:rPr>
          <w:b/>
          <w:bCs/>
          <w:caps/>
          <w:color w:val="0070C0"/>
          <w:sz w:val="26"/>
          <w:szCs w:val="26"/>
        </w:rPr>
      </w:pPr>
      <w:r>
        <w:rPr>
          <w:b/>
          <w:bCs/>
          <w:caps/>
          <w:color w:val="0E425C"/>
          <w:sz w:val="26"/>
          <w:szCs w:val="26"/>
        </w:rPr>
        <w:t>Reminder:</w:t>
      </w:r>
      <w:r>
        <w:rPr>
          <w:b/>
          <w:bCs/>
          <w:caps/>
          <w:color w:val="0070C0"/>
          <w:sz w:val="26"/>
          <w:szCs w:val="26"/>
        </w:rPr>
        <w:t xml:space="preserve"> </w:t>
      </w:r>
      <w:r>
        <w:rPr>
          <w:b/>
          <w:bCs/>
          <w:caps/>
          <w:color w:val="0E425C"/>
          <w:sz w:val="26"/>
          <w:szCs w:val="26"/>
        </w:rPr>
        <w:t xml:space="preserve">State Expands Wage Payment &amp; Misclassification Penalties - </w:t>
      </w:r>
      <w:r>
        <w:rPr>
          <w:b/>
          <w:bCs/>
          <w:caps/>
          <w:color w:val="0070C0"/>
          <w:sz w:val="26"/>
          <w:szCs w:val="26"/>
        </w:rPr>
        <w:t>July 1, 2026</w:t>
      </w:r>
    </w:p>
    <w:p w14:paraId="1E5FBDB5" w14:textId="77777777" w:rsidR="002C0337" w:rsidRPr="00906103" w:rsidRDefault="002C0337" w:rsidP="002C0337">
      <w:r w:rsidRPr="00906103">
        <w:rPr>
          <w:b/>
          <w:bCs/>
          <w:caps/>
          <w:noProof/>
          <w:color w:val="0E425C"/>
          <w:sz w:val="26"/>
          <w:szCs w:val="26"/>
        </w:rPr>
        <w:t>Reminder: State Enacts New Hospital-specific Workplace Violence Reporting Requirements Effective</w:t>
      </w:r>
      <w:r w:rsidRPr="00506AC7">
        <w:rPr>
          <w:b/>
          <w:bCs/>
          <w:caps/>
          <w:color w:val="0070C0"/>
          <w:sz w:val="26"/>
          <w:szCs w:val="26"/>
        </w:rPr>
        <w:t xml:space="preserve"> J</w:t>
      </w:r>
      <w:r w:rsidRPr="00906103">
        <w:rPr>
          <w:b/>
          <w:bCs/>
          <w:caps/>
          <w:color w:val="0070C0"/>
          <w:sz w:val="26"/>
          <w:szCs w:val="26"/>
        </w:rPr>
        <w:t>uly 1, 2026</w:t>
      </w:r>
    </w:p>
    <w:p w14:paraId="380B40C3" w14:textId="59FD8692" w:rsidR="002C0337" w:rsidRDefault="002C0337" w:rsidP="002C0337">
      <w:pPr>
        <w:rPr>
          <w:b/>
          <w:bCs/>
          <w:caps/>
          <w:color w:val="0070C0"/>
          <w:sz w:val="26"/>
          <w:szCs w:val="26"/>
        </w:rPr>
      </w:pPr>
      <w:r w:rsidRPr="00906103">
        <w:rPr>
          <w:b/>
          <w:bCs/>
          <w:caps/>
          <w:noProof/>
          <w:color w:val="0E425C"/>
          <w:sz w:val="26"/>
          <w:szCs w:val="26"/>
        </w:rPr>
        <w:t>Reminder: State Mandates N</w:t>
      </w:r>
      <w:r>
        <w:rPr>
          <w:b/>
          <w:bCs/>
          <w:caps/>
          <w:noProof/>
          <w:color w:val="0E425C"/>
          <w:sz w:val="26"/>
          <w:szCs w:val="26"/>
        </w:rPr>
        <w:t xml:space="preserve">ew Workplace Heat Illness Prevention Standards effective </w:t>
      </w:r>
      <w:r w:rsidRPr="00D371F3">
        <w:rPr>
          <w:b/>
          <w:bCs/>
          <w:caps/>
          <w:color w:val="0070C0"/>
          <w:sz w:val="26"/>
          <w:szCs w:val="26"/>
        </w:rPr>
        <w:t>May 1, 2028</w:t>
      </w:r>
    </w:p>
    <w:p w14:paraId="198E3699" w14:textId="46D6C332" w:rsidR="00834F37" w:rsidRDefault="00834F37" w:rsidP="00834F37">
      <w:pPr>
        <w:rPr>
          <w:b/>
          <w:bCs/>
          <w:caps/>
          <w:color w:val="0070C0"/>
          <w:sz w:val="26"/>
          <w:szCs w:val="26"/>
        </w:rPr>
      </w:pPr>
      <w:r>
        <w:rPr>
          <w:b/>
          <w:bCs/>
          <w:caps/>
          <w:color w:val="0070C0"/>
          <w:sz w:val="26"/>
          <w:szCs w:val="26"/>
        </w:rPr>
        <w:t xml:space="preserve">New! </w:t>
      </w:r>
      <w:r w:rsidRPr="00987A38">
        <w:rPr>
          <w:b/>
          <w:bCs/>
          <w:caps/>
          <w:noProof/>
          <w:color w:val="0E425C"/>
          <w:sz w:val="26"/>
          <w:szCs w:val="26"/>
        </w:rPr>
        <w:t>State Enacts Paid Family &amp; Medical Leave</w:t>
      </w:r>
      <w:r>
        <w:rPr>
          <w:b/>
          <w:bCs/>
          <w:caps/>
          <w:noProof/>
          <w:color w:val="0E425C"/>
          <w:sz w:val="26"/>
          <w:szCs w:val="26"/>
        </w:rPr>
        <w:t xml:space="preserve"> Insurance Program</w:t>
      </w:r>
    </w:p>
    <w:p w14:paraId="7FD152FC" w14:textId="77777777" w:rsidR="00834F37" w:rsidRDefault="00834F37" w:rsidP="00834F37">
      <w:pPr>
        <w:spacing w:after="10"/>
      </w:pPr>
      <w:r w:rsidRPr="005F47A8">
        <w:lastRenderedPageBreak/>
        <w:t>Virginia has</w:t>
      </w:r>
      <w:r>
        <w:t xml:space="preserve"> </w:t>
      </w:r>
      <w:hyperlink r:id="rId1060" w:history="1">
        <w:r w:rsidRPr="00DF40A3">
          <w:rPr>
            <w:rStyle w:val="Hyperlink"/>
          </w:rPr>
          <w:t>enacted</w:t>
        </w:r>
      </w:hyperlink>
      <w:r>
        <w:t xml:space="preserve"> </w:t>
      </w:r>
      <w:r w:rsidRPr="005F47A8">
        <w:t xml:space="preserve">a paid family and medical leave insurance program (PFML) that will provide 12 weeks of partially compensated, job-protected leave to most Virginia employees. </w:t>
      </w:r>
    </w:p>
    <w:p w14:paraId="1C6991B9" w14:textId="77777777" w:rsidR="00834F37" w:rsidRPr="000746EC" w:rsidRDefault="00834F37" w:rsidP="00834F37">
      <w:pPr>
        <w:spacing w:after="0"/>
        <w:rPr>
          <w:b/>
          <w:bCs/>
        </w:rPr>
      </w:pPr>
      <w:r w:rsidRPr="000746EC">
        <w:rPr>
          <w:b/>
          <w:bCs/>
        </w:rPr>
        <w:t>Implementation</w:t>
      </w:r>
      <w:r>
        <w:rPr>
          <w:b/>
          <w:bCs/>
        </w:rPr>
        <w:t xml:space="preserve"> Timeline</w:t>
      </w:r>
    </w:p>
    <w:p w14:paraId="19082992" w14:textId="77777777" w:rsidR="00834F37" w:rsidRDefault="00834F37">
      <w:pPr>
        <w:pStyle w:val="ListParagraph"/>
        <w:numPr>
          <w:ilvl w:val="0"/>
          <w:numId w:val="340"/>
        </w:numPr>
        <w:spacing w:after="0" w:line="276" w:lineRule="auto"/>
      </w:pPr>
      <w:r w:rsidRPr="00534F9A">
        <w:rPr>
          <w:b/>
          <w:bCs/>
        </w:rPr>
        <w:t>Contributions</w:t>
      </w:r>
      <w:r w:rsidRPr="000746EC">
        <w:t xml:space="preserve"> to fund the program start </w:t>
      </w:r>
      <w:r w:rsidRPr="00534F9A">
        <w:rPr>
          <w:b/>
          <w:bCs/>
        </w:rPr>
        <w:t>April 1, 202</w:t>
      </w:r>
      <w:r w:rsidRPr="00534F9A">
        <w:rPr>
          <w:b/>
          <w:bCs/>
          <w:u w:val="single"/>
        </w:rPr>
        <w:t>8</w:t>
      </w:r>
    </w:p>
    <w:p w14:paraId="692F84D4" w14:textId="77777777" w:rsidR="00834F37" w:rsidRDefault="00834F37">
      <w:pPr>
        <w:pStyle w:val="ListParagraph"/>
        <w:numPr>
          <w:ilvl w:val="0"/>
          <w:numId w:val="340"/>
        </w:numPr>
        <w:spacing w:after="0" w:line="276" w:lineRule="auto"/>
      </w:pPr>
      <w:r w:rsidRPr="00534F9A">
        <w:rPr>
          <w:b/>
          <w:bCs/>
        </w:rPr>
        <w:t>Leave</w:t>
      </w:r>
      <w:r>
        <w:t xml:space="preserve"> b</w:t>
      </w:r>
      <w:r w:rsidRPr="000746EC">
        <w:t xml:space="preserve">enefits begin </w:t>
      </w:r>
      <w:r w:rsidRPr="00534F9A">
        <w:rPr>
          <w:b/>
          <w:bCs/>
        </w:rPr>
        <w:t>December 1, 202</w:t>
      </w:r>
      <w:r w:rsidRPr="00534F9A">
        <w:rPr>
          <w:b/>
          <w:bCs/>
          <w:u w:val="single"/>
        </w:rPr>
        <w:t>8</w:t>
      </w:r>
    </w:p>
    <w:p w14:paraId="5F079B18" w14:textId="77777777" w:rsidR="00834F37" w:rsidRPr="00D16F45" w:rsidRDefault="00834F37" w:rsidP="00834F37">
      <w:pPr>
        <w:pStyle w:val="Heading2"/>
        <w:spacing w:before="0"/>
        <w:rPr>
          <w:color w:val="auto"/>
        </w:rPr>
      </w:pPr>
      <w:r w:rsidRPr="00B24444">
        <w:rPr>
          <w:color w:val="auto"/>
        </w:rPr>
        <w:t>Covered Employers</w:t>
      </w:r>
    </w:p>
    <w:p w14:paraId="41D5DF01" w14:textId="77777777" w:rsidR="00834F37" w:rsidRDefault="00834F37" w:rsidP="00834F37">
      <w:pPr>
        <w:spacing w:after="10"/>
      </w:pPr>
      <w:r w:rsidRPr="00B24444">
        <w:t xml:space="preserve">The new PFML program will apply to employers that have paid wages of </w:t>
      </w:r>
      <w:r w:rsidRPr="00447741">
        <w:rPr>
          <w:u w:val="single"/>
        </w:rPr>
        <w:t>at least $1,500 in any quarter of the current or preceding year</w:t>
      </w:r>
      <w:r w:rsidRPr="00B24444">
        <w:t xml:space="preserve">, or who have </w:t>
      </w:r>
      <w:r w:rsidRPr="00447741">
        <w:rPr>
          <w:u w:val="single"/>
        </w:rPr>
        <w:t>employed at least one person for part of a day in each of 20 weeks during that time.</w:t>
      </w:r>
      <w:r w:rsidRPr="00B24444">
        <w:t xml:space="preserve"> </w:t>
      </w:r>
    </w:p>
    <w:p w14:paraId="44D909CC" w14:textId="77777777" w:rsidR="00834F37" w:rsidRPr="003C411C" w:rsidRDefault="00834F37" w:rsidP="00834F37">
      <w:pPr>
        <w:spacing w:after="10"/>
        <w:rPr>
          <w:b/>
          <w:bCs/>
        </w:rPr>
      </w:pPr>
      <w:r w:rsidRPr="003C411C">
        <w:rPr>
          <w:b/>
          <w:bCs/>
        </w:rPr>
        <w:t>Covered Employees</w:t>
      </w:r>
    </w:p>
    <w:p w14:paraId="5559A82E" w14:textId="77777777" w:rsidR="00834F37" w:rsidRDefault="00834F37" w:rsidP="00834F37">
      <w:pPr>
        <w:spacing w:after="10"/>
      </w:pPr>
      <w:r w:rsidRPr="00B24444">
        <w:t xml:space="preserve">Employees are eligible for PFML if they meet the income eligibility requirements for the state’s unemployment insurance program. </w:t>
      </w:r>
    </w:p>
    <w:p w14:paraId="6B95DB14" w14:textId="77777777" w:rsidR="00834F37" w:rsidRPr="008C10CF" w:rsidRDefault="00834F37" w:rsidP="00834F37">
      <w:pPr>
        <w:spacing w:after="10"/>
        <w:rPr>
          <w:b/>
          <w:bCs/>
        </w:rPr>
      </w:pPr>
      <w:r w:rsidRPr="008C10CF">
        <w:rPr>
          <w:b/>
          <w:bCs/>
        </w:rPr>
        <w:t>Leave</w:t>
      </w:r>
    </w:p>
    <w:p w14:paraId="6F027D75" w14:textId="77777777" w:rsidR="00834F37" w:rsidRPr="008C10CF" w:rsidRDefault="00834F37" w:rsidP="00834F37">
      <w:pPr>
        <w:spacing w:after="0" w:line="240" w:lineRule="auto"/>
      </w:pPr>
      <w:r w:rsidRPr="008C10CF">
        <w:t xml:space="preserve">Eligible employees receive up to 12 weeks of PFML per year for the following reasons: </w:t>
      </w:r>
    </w:p>
    <w:p w14:paraId="4D93E09F" w14:textId="77777777" w:rsidR="00834F37" w:rsidRPr="008C10CF" w:rsidRDefault="00834F37" w:rsidP="00834F37">
      <w:pPr>
        <w:pStyle w:val="Bullet"/>
        <w:spacing w:line="240" w:lineRule="auto"/>
        <w:ind w:left="648"/>
        <w:rPr>
          <w:color w:val="auto"/>
        </w:rPr>
      </w:pPr>
      <w:r w:rsidRPr="008C10CF">
        <w:rPr>
          <w:color w:val="auto"/>
        </w:rPr>
        <w:t>Child bonding (during the first year after the child’s birth, adoption or placement);</w:t>
      </w:r>
    </w:p>
    <w:p w14:paraId="3D1D1BFD" w14:textId="77777777" w:rsidR="00834F37" w:rsidRPr="008C10CF" w:rsidRDefault="00834F37" w:rsidP="00834F37">
      <w:pPr>
        <w:pStyle w:val="Bullet"/>
        <w:spacing w:line="240" w:lineRule="auto"/>
        <w:ind w:left="648"/>
        <w:rPr>
          <w:color w:val="auto"/>
        </w:rPr>
      </w:pPr>
      <w:r w:rsidRPr="008C10CF">
        <w:rPr>
          <w:color w:val="auto"/>
        </w:rPr>
        <w:t>Their employee’s own or a family member’s serious health condition;</w:t>
      </w:r>
    </w:p>
    <w:p w14:paraId="20C785CA" w14:textId="77777777" w:rsidR="00834F37" w:rsidRPr="008C10CF" w:rsidRDefault="00834F37" w:rsidP="00834F37">
      <w:pPr>
        <w:pStyle w:val="Bullet"/>
        <w:spacing w:line="240" w:lineRule="auto"/>
        <w:ind w:left="648"/>
        <w:rPr>
          <w:color w:val="auto"/>
        </w:rPr>
      </w:pPr>
      <w:r w:rsidRPr="008C10CF">
        <w:rPr>
          <w:color w:val="auto"/>
        </w:rPr>
        <w:t xml:space="preserve">Care for a military service member who is a family member; </w:t>
      </w:r>
    </w:p>
    <w:p w14:paraId="216457CC" w14:textId="77777777" w:rsidR="00834F37" w:rsidRPr="008C10CF" w:rsidRDefault="00834F37" w:rsidP="00834F37">
      <w:pPr>
        <w:pStyle w:val="Bullet"/>
        <w:spacing w:line="240" w:lineRule="auto"/>
        <w:ind w:left="648"/>
        <w:rPr>
          <w:color w:val="auto"/>
        </w:rPr>
      </w:pPr>
      <w:r w:rsidRPr="008C10CF">
        <w:rPr>
          <w:color w:val="auto"/>
        </w:rPr>
        <w:t>Military exigency (family deployment leave); and</w:t>
      </w:r>
    </w:p>
    <w:p w14:paraId="2188F68B" w14:textId="77777777" w:rsidR="00834F37" w:rsidRPr="008C10CF" w:rsidRDefault="00834F37" w:rsidP="00834F37">
      <w:pPr>
        <w:pStyle w:val="Bullet"/>
        <w:spacing w:line="276" w:lineRule="auto"/>
        <w:ind w:left="648"/>
        <w:rPr>
          <w:color w:val="auto"/>
        </w:rPr>
      </w:pPr>
      <w:r w:rsidRPr="008C10CF">
        <w:rPr>
          <w:color w:val="auto"/>
        </w:rPr>
        <w:t xml:space="preserve">Safety leave (only four weeks permitted annually of leave necessitated by domestic violence against or harassment, sexual assault or stalking of the employee or a family member). </w:t>
      </w:r>
    </w:p>
    <w:p w14:paraId="1E66E646" w14:textId="77777777" w:rsidR="00834F37" w:rsidRPr="009C2B5A" w:rsidRDefault="00834F37" w:rsidP="00834F37">
      <w:pPr>
        <w:spacing w:after="0"/>
        <w:rPr>
          <w:sz w:val="12"/>
          <w:szCs w:val="12"/>
        </w:rPr>
      </w:pPr>
    </w:p>
    <w:p w14:paraId="6C9CD29C" w14:textId="77777777" w:rsidR="00834F37" w:rsidRPr="00813E85" w:rsidRDefault="00834F37" w:rsidP="00834F37">
      <w:pPr>
        <w:rPr>
          <w:b/>
          <w:bCs/>
        </w:rPr>
      </w:pPr>
      <w:r w:rsidRPr="00B14509">
        <w:rPr>
          <w:b/>
          <w:bCs/>
          <w:highlight w:val="lightGray"/>
        </w:rPr>
        <w:t xml:space="preserve">Employer </w:t>
      </w:r>
      <w:r>
        <w:rPr>
          <w:b/>
          <w:bCs/>
          <w:highlight w:val="lightGray"/>
        </w:rPr>
        <w:t xml:space="preserve">Recap &amp; </w:t>
      </w:r>
      <w:r w:rsidRPr="00B14509">
        <w:rPr>
          <w:b/>
          <w:bCs/>
          <w:highlight w:val="lightGray"/>
        </w:rPr>
        <w:t>Takeaway</w:t>
      </w:r>
      <w:r>
        <w:rPr>
          <w:b/>
          <w:bCs/>
          <w:highlight w:val="lightGray"/>
        </w:rPr>
        <w:t>s</w:t>
      </w:r>
      <w:r w:rsidRPr="00B14509">
        <w:rPr>
          <w:b/>
          <w:bCs/>
          <w:highlight w:val="lightGray"/>
        </w:rPr>
        <w:t>:</w:t>
      </w:r>
      <w:r w:rsidRPr="00B14509">
        <w:rPr>
          <w:b/>
          <w:bCs/>
        </w:rPr>
        <w:t xml:space="preserve"> </w:t>
      </w:r>
      <w:r w:rsidRPr="00813E85">
        <w:t>ETC will continue to monitor and provide updates as well as reminders closer to the effective date of the enactment</w:t>
      </w:r>
      <w:r>
        <w:t>.</w:t>
      </w:r>
    </w:p>
    <w:p w14:paraId="574899F0" w14:textId="77777777" w:rsidR="00834F37" w:rsidRPr="007C3D0D" w:rsidRDefault="00834F37" w:rsidP="00834F37">
      <w:pPr>
        <w:rPr>
          <w:b/>
          <w:bCs/>
          <w:caps/>
          <w:color w:val="0070C0"/>
          <w:sz w:val="10"/>
          <w:szCs w:val="10"/>
        </w:rPr>
      </w:pPr>
    </w:p>
    <w:p w14:paraId="1746825A" w14:textId="0CAA2C7A" w:rsidR="00834F37" w:rsidRDefault="00834F37" w:rsidP="00834F37">
      <w:pPr>
        <w:rPr>
          <w:b/>
          <w:bCs/>
          <w:caps/>
          <w:color w:val="0070C0"/>
          <w:sz w:val="26"/>
          <w:szCs w:val="26"/>
        </w:rPr>
      </w:pPr>
      <w:r>
        <w:rPr>
          <w:b/>
          <w:bCs/>
          <w:caps/>
          <w:color w:val="0070C0"/>
          <w:sz w:val="26"/>
          <w:szCs w:val="26"/>
        </w:rPr>
        <w:t>New</w:t>
      </w:r>
      <w:r w:rsidRPr="007160FF">
        <w:rPr>
          <w:b/>
          <w:bCs/>
          <w:caps/>
          <w:color w:val="0070C0"/>
          <w:sz w:val="26"/>
          <w:szCs w:val="26"/>
        </w:rPr>
        <w:t>!</w:t>
      </w:r>
      <w:r w:rsidRPr="007160FF">
        <w:rPr>
          <w:b/>
          <w:bCs/>
          <w:caps/>
          <w:noProof/>
          <w:color w:val="0E425C"/>
          <w:sz w:val="26"/>
          <w:szCs w:val="26"/>
        </w:rPr>
        <w:t xml:space="preserve"> State Enacts Pay Transparen</w:t>
      </w:r>
      <w:r w:rsidR="00342253">
        <w:rPr>
          <w:b/>
          <w:bCs/>
          <w:caps/>
          <w:noProof/>
          <w:color w:val="0E425C"/>
          <w:sz w:val="26"/>
          <w:szCs w:val="26"/>
        </w:rPr>
        <w:t>C</w:t>
      </w:r>
      <w:r w:rsidRPr="007160FF">
        <w:rPr>
          <w:b/>
          <w:bCs/>
          <w:caps/>
          <w:noProof/>
          <w:color w:val="0E425C"/>
          <w:sz w:val="26"/>
          <w:szCs w:val="26"/>
        </w:rPr>
        <w:t xml:space="preserve">y Regulations effective </w:t>
      </w:r>
      <w:r>
        <w:rPr>
          <w:b/>
          <w:bCs/>
          <w:caps/>
          <w:color w:val="0070C0"/>
          <w:sz w:val="26"/>
          <w:szCs w:val="26"/>
        </w:rPr>
        <w:t>July 1, 2026</w:t>
      </w:r>
    </w:p>
    <w:p w14:paraId="07037B55" w14:textId="77777777" w:rsidR="00834F37" w:rsidRDefault="00834F37" w:rsidP="00834F37">
      <w:pPr>
        <w:spacing w:after="10"/>
      </w:pPr>
      <w:r w:rsidRPr="0026688A">
        <w:t>On April 22, 2026, Virginia enacted a pay transparency</w:t>
      </w:r>
      <w:r>
        <w:t xml:space="preserve"> </w:t>
      </w:r>
      <w:hyperlink r:id="rId1061" w:history="1">
        <w:r w:rsidRPr="0098036B">
          <w:rPr>
            <w:rStyle w:val="Hyperlink"/>
          </w:rPr>
          <w:t>law</w:t>
        </w:r>
      </w:hyperlink>
      <w:r>
        <w:t>.</w:t>
      </w:r>
    </w:p>
    <w:p w14:paraId="2B9F2E0B" w14:textId="77777777" w:rsidR="00834F37" w:rsidRPr="00580805" w:rsidRDefault="00834F37" w:rsidP="00834F37">
      <w:pPr>
        <w:spacing w:after="10"/>
        <w:rPr>
          <w:b/>
          <w:bCs/>
        </w:rPr>
      </w:pPr>
      <w:r w:rsidRPr="00580805">
        <w:rPr>
          <w:b/>
          <w:bCs/>
        </w:rPr>
        <w:t>Overview of the New Law</w:t>
      </w:r>
    </w:p>
    <w:p w14:paraId="14B61E63" w14:textId="77777777" w:rsidR="00834F37" w:rsidRPr="0026688A" w:rsidRDefault="00834F37" w:rsidP="00834F37">
      <w:pPr>
        <w:spacing w:after="0"/>
      </w:pPr>
      <w:r w:rsidRPr="0026688A">
        <w:t>The new law prohibits employers from:</w:t>
      </w:r>
    </w:p>
    <w:p w14:paraId="29B86CE5" w14:textId="77777777" w:rsidR="00834F37" w:rsidRPr="0026688A" w:rsidRDefault="00834F37" w:rsidP="00834F37">
      <w:pPr>
        <w:pStyle w:val="Bullet"/>
        <w:spacing w:line="276" w:lineRule="auto"/>
        <w:ind w:left="648"/>
        <w:rPr>
          <w:color w:val="auto"/>
        </w:rPr>
      </w:pPr>
      <w:r w:rsidRPr="0026688A">
        <w:rPr>
          <w:color w:val="auto"/>
        </w:rPr>
        <w:t>Seeking an applicant’s wage or salary history;</w:t>
      </w:r>
    </w:p>
    <w:p w14:paraId="2336581F" w14:textId="77777777" w:rsidR="00834F37" w:rsidRPr="0026688A" w:rsidRDefault="00834F37" w:rsidP="00834F37">
      <w:pPr>
        <w:pStyle w:val="Bullet"/>
        <w:spacing w:line="276" w:lineRule="auto"/>
        <w:ind w:left="648"/>
        <w:rPr>
          <w:color w:val="auto"/>
        </w:rPr>
      </w:pPr>
      <w:r w:rsidRPr="0026688A">
        <w:rPr>
          <w:color w:val="auto"/>
        </w:rPr>
        <w:t xml:space="preserve">Relying on an applicant’s wage or salary history in considering their employment or determining the wages or salary to be paid upon hire; </w:t>
      </w:r>
    </w:p>
    <w:p w14:paraId="76DF6950" w14:textId="77777777" w:rsidR="00834F37" w:rsidRPr="0026688A" w:rsidRDefault="00834F37" w:rsidP="00834F37">
      <w:pPr>
        <w:pStyle w:val="Bullet"/>
        <w:spacing w:line="276" w:lineRule="auto"/>
        <w:ind w:left="648"/>
        <w:rPr>
          <w:color w:val="auto"/>
        </w:rPr>
      </w:pPr>
      <w:r w:rsidRPr="0026688A">
        <w:rPr>
          <w:color w:val="auto"/>
        </w:rPr>
        <w:t>Refusing to interview, hire, employ or promote, or otherwise retaliating against an applicant or employee for not providing a wage or salary history or requesting a wage or salary range;</w:t>
      </w:r>
    </w:p>
    <w:p w14:paraId="73D809E9" w14:textId="77777777" w:rsidR="00834F37" w:rsidRPr="0026688A" w:rsidRDefault="00834F37" w:rsidP="00834F37">
      <w:pPr>
        <w:pStyle w:val="Bullet"/>
        <w:spacing w:line="276" w:lineRule="auto"/>
        <w:ind w:left="648"/>
        <w:rPr>
          <w:color w:val="auto"/>
        </w:rPr>
      </w:pPr>
      <w:r w:rsidRPr="0026688A">
        <w:rPr>
          <w:color w:val="auto"/>
        </w:rPr>
        <w:t>Failing or refusing to disclose the wage, salary, or wage or salary range in each public and internal posting for each job, promotion, transfer or other employment opportunity; or</w:t>
      </w:r>
    </w:p>
    <w:p w14:paraId="4201268E" w14:textId="77777777" w:rsidR="00834F37" w:rsidRDefault="00834F37" w:rsidP="00834F37">
      <w:pPr>
        <w:pStyle w:val="Bullet"/>
        <w:spacing w:line="276" w:lineRule="auto"/>
        <w:ind w:left="648"/>
        <w:rPr>
          <w:color w:val="auto"/>
        </w:rPr>
      </w:pPr>
      <w:r w:rsidRPr="0026688A">
        <w:rPr>
          <w:color w:val="auto"/>
        </w:rPr>
        <w:t>Failing to set a wage or salary range in good faith.</w:t>
      </w:r>
    </w:p>
    <w:p w14:paraId="4130F99E" w14:textId="77777777" w:rsidR="00834F37" w:rsidRPr="00580805" w:rsidRDefault="00834F37" w:rsidP="00834F37">
      <w:pPr>
        <w:pStyle w:val="Bullet"/>
        <w:numPr>
          <w:ilvl w:val="0"/>
          <w:numId w:val="0"/>
        </w:numPr>
        <w:spacing w:line="276" w:lineRule="auto"/>
        <w:rPr>
          <w:b/>
          <w:bCs/>
          <w:color w:val="auto"/>
        </w:rPr>
      </w:pPr>
      <w:r w:rsidRPr="00580805">
        <w:rPr>
          <w:b/>
          <w:bCs/>
          <w:color w:val="auto"/>
        </w:rPr>
        <w:t xml:space="preserve">Penalties </w:t>
      </w:r>
    </w:p>
    <w:p w14:paraId="0EE4E8AF" w14:textId="77777777" w:rsidR="00834F37" w:rsidRPr="003D68F2" w:rsidRDefault="00834F37" w:rsidP="00834F37">
      <w:r w:rsidRPr="003D68F2">
        <w:t xml:space="preserve">The attorney general may bring a civil action to enforce the law. Employers may be subject to a civil penalty of up to $1,000 for the first violation and up to $5,000 for any subsequent violation and other appropriate relief. Aggrieved individuals may also bring a civil action under the law, but only after providing written notice of the violation to the employer and allowing the employer </w:t>
      </w:r>
      <w:r w:rsidRPr="003D68F2">
        <w:rPr>
          <w:b/>
          <w:bCs/>
        </w:rPr>
        <w:t xml:space="preserve">15 business days </w:t>
      </w:r>
      <w:r w:rsidRPr="003D68F2">
        <w:t>to correct the violation.</w:t>
      </w:r>
    </w:p>
    <w:p w14:paraId="7EBF4395" w14:textId="77777777" w:rsidR="00834F37" w:rsidRDefault="00834F37" w:rsidP="00834F37">
      <w:pPr>
        <w:rPr>
          <w:rFonts w:eastAsia="Times New Roman" w:cs="Arial"/>
          <w:szCs w:val="20"/>
        </w:rPr>
      </w:pPr>
      <w:r w:rsidRPr="0026688A">
        <w:rPr>
          <w:b/>
          <w:bCs/>
          <w:highlight w:val="lightGray"/>
        </w:rPr>
        <w:t>Employer Takeaway:</w:t>
      </w:r>
      <w:r w:rsidRPr="007C1FB5">
        <w:rPr>
          <w:rFonts w:eastAsia="Times New Roman" w:cs="Arial"/>
          <w:szCs w:val="20"/>
        </w:rPr>
        <w:t xml:space="preserve"> Employers with employees in Virginia are encouraged to review </w:t>
      </w:r>
      <w:r>
        <w:rPr>
          <w:rFonts w:eastAsia="Times New Roman" w:cs="Arial"/>
          <w:szCs w:val="20"/>
        </w:rPr>
        <w:t>and</w:t>
      </w:r>
      <w:r w:rsidRPr="007C1FB5">
        <w:rPr>
          <w:rFonts w:eastAsia="Times New Roman" w:cs="Arial"/>
          <w:szCs w:val="20"/>
        </w:rPr>
        <w:t xml:space="preserve"> update job postings</w:t>
      </w:r>
      <w:r>
        <w:rPr>
          <w:rFonts w:eastAsia="Times New Roman" w:cs="Arial"/>
          <w:szCs w:val="20"/>
        </w:rPr>
        <w:t>, establish compensation methodologies for determining pay ranges for positions and ensuring interviewing parties are aware of the new regulations.</w:t>
      </w:r>
    </w:p>
    <w:p w14:paraId="0A90AC4F" w14:textId="77777777" w:rsidR="00834F37" w:rsidRPr="00580805" w:rsidRDefault="00834F37" w:rsidP="00834F37">
      <w:pPr>
        <w:rPr>
          <w:b/>
          <w:bCs/>
          <w:highlight w:val="lightGray"/>
        </w:rPr>
      </w:pPr>
    </w:p>
    <w:p w14:paraId="6B2F0BDE" w14:textId="77777777" w:rsidR="00834F37" w:rsidRDefault="00834F37" w:rsidP="00834F37">
      <w:pPr>
        <w:rPr>
          <w:b/>
          <w:bCs/>
          <w:caps/>
          <w:color w:val="0070C0"/>
          <w:sz w:val="26"/>
          <w:szCs w:val="26"/>
        </w:rPr>
      </w:pPr>
      <w:r w:rsidRPr="00010461">
        <w:rPr>
          <w:b/>
          <w:bCs/>
          <w:caps/>
          <w:color w:val="0070C0"/>
          <w:sz w:val="26"/>
          <w:szCs w:val="26"/>
        </w:rPr>
        <w:t>New!</w:t>
      </w:r>
      <w:r>
        <w:rPr>
          <w:b/>
          <w:bCs/>
          <w:caps/>
          <w:color w:val="0070C0"/>
          <w:sz w:val="26"/>
          <w:szCs w:val="26"/>
        </w:rPr>
        <w:t xml:space="preserve"> </w:t>
      </w:r>
      <w:r w:rsidRPr="007D4E6B">
        <w:rPr>
          <w:b/>
          <w:bCs/>
          <w:caps/>
          <w:noProof/>
          <w:color w:val="0E425C"/>
          <w:sz w:val="26"/>
          <w:szCs w:val="26"/>
        </w:rPr>
        <w:t>State Amends Human Rights Act Effective</w:t>
      </w:r>
      <w:r>
        <w:rPr>
          <w:b/>
          <w:bCs/>
          <w:caps/>
          <w:color w:val="0070C0"/>
          <w:sz w:val="26"/>
          <w:szCs w:val="26"/>
        </w:rPr>
        <w:t xml:space="preserve"> July 1, 2026</w:t>
      </w:r>
    </w:p>
    <w:p w14:paraId="06E73432" w14:textId="77777777" w:rsidR="00834F37" w:rsidRPr="00FF245D" w:rsidRDefault="00834F37" w:rsidP="00834F37">
      <w:r w:rsidRPr="0000495B">
        <w:t>On April 13, 2026, Virginia</w:t>
      </w:r>
      <w:r>
        <w:t xml:space="preserve"> </w:t>
      </w:r>
      <w:hyperlink r:id="rId1062" w:history="1">
        <w:r w:rsidRPr="00BB1FAF">
          <w:rPr>
            <w:rStyle w:val="Hyperlink"/>
          </w:rPr>
          <w:t>amended</w:t>
        </w:r>
      </w:hyperlink>
      <w:r>
        <w:t xml:space="preserve"> </w:t>
      </w:r>
      <w:r w:rsidRPr="0000495B">
        <w:t xml:space="preserve">the Virginia Human Rights Act (VHRA) to expand the employers covered by the law and extend the statute of limitations for filing a complaint of unlawful discrimination. </w:t>
      </w:r>
    </w:p>
    <w:p w14:paraId="6ECA0F0B" w14:textId="77777777" w:rsidR="00834F37" w:rsidRDefault="00834F37" w:rsidP="00834F37">
      <w:r w:rsidRPr="00C57FF7">
        <w:rPr>
          <w:b/>
          <w:bCs/>
          <w:highlight w:val="lightGray"/>
        </w:rPr>
        <w:t>Employer Takeaway:</w:t>
      </w:r>
      <w:r w:rsidRPr="00C57FF7">
        <w:rPr>
          <w:b/>
          <w:bCs/>
        </w:rPr>
        <w:t xml:space="preserve"> </w:t>
      </w:r>
      <w:r w:rsidRPr="0000495B">
        <w:t>With the new, lowered threshold, employers who were not previously covered by the VHRA may now be covered. Employers are encouraged to review and ensure compliance with the applicable obligations.</w:t>
      </w:r>
    </w:p>
    <w:p w14:paraId="58B011A1" w14:textId="77777777" w:rsidR="00834F37" w:rsidRPr="008A1229" w:rsidRDefault="00834F37" w:rsidP="00834F37">
      <w:pPr>
        <w:rPr>
          <w:b/>
          <w:bCs/>
          <w:i/>
          <w:iCs/>
        </w:rPr>
      </w:pPr>
      <w:r w:rsidRPr="008A1229">
        <w:rPr>
          <w:b/>
          <w:bCs/>
          <w:i/>
          <w:iCs/>
        </w:rPr>
        <w:t>Covered Employers, as amended</w:t>
      </w:r>
    </w:p>
    <w:p w14:paraId="75A13868" w14:textId="77777777" w:rsidR="00834F37" w:rsidRPr="008A1229" w:rsidRDefault="00834F37" w:rsidP="00834F37">
      <w:r w:rsidRPr="008A1229">
        <w:t xml:space="preserve">The VHRA’s provisions on employment discrimination will apply to employers with </w:t>
      </w:r>
      <w:r w:rsidRPr="008A1229">
        <w:rPr>
          <w:b/>
          <w:bCs/>
        </w:rPr>
        <w:t xml:space="preserve">5 or more employees </w:t>
      </w:r>
      <w:r w:rsidRPr="008A1229">
        <w:t xml:space="preserve">for each working day in each of 20 or more calendar weeks in the current or preceding calendar year and any agent of such person, or one or more domestic workers. </w:t>
      </w:r>
    </w:p>
    <w:p w14:paraId="44FDF5B4" w14:textId="77777777" w:rsidR="00834F37" w:rsidRPr="008A1229" w:rsidRDefault="00834F37" w:rsidP="00834F37">
      <w:pPr>
        <w:rPr>
          <w:b/>
          <w:bCs/>
          <w:i/>
          <w:iCs/>
        </w:rPr>
      </w:pPr>
      <w:r w:rsidRPr="008A1229">
        <w:rPr>
          <w:b/>
          <w:bCs/>
          <w:i/>
          <w:iCs/>
        </w:rPr>
        <w:t>Statute of Limitations, as amended</w:t>
      </w:r>
    </w:p>
    <w:p w14:paraId="5DC7C10C" w14:textId="77777777" w:rsidR="00834F37" w:rsidRDefault="00834F37" w:rsidP="00834F37">
      <w:r>
        <w:t>I</w:t>
      </w:r>
      <w:r w:rsidRPr="008A1229">
        <w:t xml:space="preserve">ndividuals alleging a violation of the VHRA may file a claim with the VOCR within </w:t>
      </w:r>
      <w:r>
        <w:rPr>
          <w:b/>
          <w:bCs/>
        </w:rPr>
        <w:t>2</w:t>
      </w:r>
      <w:r w:rsidRPr="008A1229">
        <w:rPr>
          <w:b/>
          <w:bCs/>
        </w:rPr>
        <w:t xml:space="preserve"> years </w:t>
      </w:r>
      <w:r w:rsidRPr="008A1229">
        <w:t>of the alleged violation.</w:t>
      </w:r>
    </w:p>
    <w:p w14:paraId="5345CE36" w14:textId="77777777" w:rsidR="00834F37" w:rsidRPr="007C3D0D" w:rsidRDefault="00834F37" w:rsidP="00834F37">
      <w:pPr>
        <w:rPr>
          <w:sz w:val="10"/>
          <w:szCs w:val="10"/>
        </w:rPr>
      </w:pPr>
    </w:p>
    <w:p w14:paraId="3804DA30" w14:textId="77777777" w:rsidR="00834F37" w:rsidRPr="008A1229" w:rsidRDefault="00834F37" w:rsidP="00834F37">
      <w:r w:rsidRPr="00693CD3">
        <w:rPr>
          <w:b/>
          <w:bCs/>
          <w:caps/>
          <w:color w:val="0070C0"/>
          <w:sz w:val="26"/>
          <w:szCs w:val="26"/>
        </w:rPr>
        <w:t xml:space="preserve">New! </w:t>
      </w:r>
      <w:r w:rsidRPr="00693CD3">
        <w:rPr>
          <w:b/>
          <w:bCs/>
          <w:caps/>
          <w:noProof/>
          <w:color w:val="0E425C"/>
          <w:sz w:val="26"/>
          <w:szCs w:val="26"/>
        </w:rPr>
        <w:t>State Passes Emergency Responder Leave Effective</w:t>
      </w:r>
      <w:r>
        <w:t xml:space="preserve"> </w:t>
      </w:r>
      <w:r w:rsidRPr="00693CD3">
        <w:rPr>
          <w:b/>
          <w:bCs/>
          <w:caps/>
          <w:color w:val="0070C0"/>
          <w:sz w:val="26"/>
          <w:szCs w:val="26"/>
        </w:rPr>
        <w:t>July 1, 2026</w:t>
      </w:r>
    </w:p>
    <w:p w14:paraId="2D3344D9" w14:textId="77777777" w:rsidR="00834F37" w:rsidRPr="007A0654" w:rsidRDefault="00834F37" w:rsidP="00834F37">
      <w:r w:rsidRPr="009F650A">
        <w:t>Virginia employers will be required to provide unpaid leave for employees acting as volunteer emergency responders starting on July 1.  Ahead of the effective date ETC will release an updated State Handbook Addendum for employer adoption and distribution to Virginia employees.</w:t>
      </w:r>
    </w:p>
    <w:p w14:paraId="22E4F168" w14:textId="77777777" w:rsidR="00834F37" w:rsidRPr="000E17BD" w:rsidRDefault="00834F37" w:rsidP="00834F37">
      <w:pPr>
        <w:rPr>
          <w:b/>
          <w:bCs/>
          <w:caps/>
          <w:color w:val="0070C0"/>
          <w:sz w:val="10"/>
          <w:szCs w:val="10"/>
        </w:rPr>
      </w:pPr>
    </w:p>
    <w:p w14:paraId="440DDB94" w14:textId="77777777" w:rsidR="00834F37" w:rsidRDefault="00834F37" w:rsidP="00834F37">
      <w:pPr>
        <w:rPr>
          <w:b/>
          <w:bCs/>
          <w:caps/>
          <w:noProof/>
          <w:color w:val="0E425C"/>
          <w:sz w:val="28"/>
          <w:szCs w:val="28"/>
        </w:rPr>
      </w:pPr>
      <w:r w:rsidRPr="00750794">
        <w:rPr>
          <w:b/>
          <w:bCs/>
          <w:caps/>
          <w:color w:val="0070C0"/>
          <w:sz w:val="26"/>
          <w:szCs w:val="26"/>
        </w:rPr>
        <w:t xml:space="preserve">New! </w:t>
      </w:r>
      <w:r w:rsidRPr="00750794">
        <w:rPr>
          <w:b/>
          <w:bCs/>
          <w:caps/>
          <w:noProof/>
          <w:color w:val="0E425C"/>
          <w:sz w:val="26"/>
          <w:szCs w:val="26"/>
        </w:rPr>
        <w:t>State Requires Severance Benefits for Noncompetes effective</w:t>
      </w:r>
      <w:r>
        <w:rPr>
          <w:b/>
          <w:bCs/>
          <w:caps/>
          <w:noProof/>
          <w:color w:val="0E425C"/>
          <w:sz w:val="28"/>
          <w:szCs w:val="28"/>
        </w:rPr>
        <w:t xml:space="preserve"> </w:t>
      </w:r>
      <w:r w:rsidRPr="00750794">
        <w:rPr>
          <w:b/>
          <w:bCs/>
          <w:caps/>
          <w:color w:val="0070C0"/>
          <w:sz w:val="26"/>
          <w:szCs w:val="26"/>
        </w:rPr>
        <w:t>July 1, 2026</w:t>
      </w:r>
    </w:p>
    <w:p w14:paraId="62AD8A77" w14:textId="77777777" w:rsidR="00834F37" w:rsidRDefault="00834F37" w:rsidP="00834F37">
      <w:r w:rsidRPr="001621EF">
        <w:t>On April 13, 2026, Virginia passed a new</w:t>
      </w:r>
      <w:r>
        <w:t xml:space="preserve"> </w:t>
      </w:r>
      <w:hyperlink r:id="rId1063" w:history="1">
        <w:r w:rsidRPr="00CA282F">
          <w:rPr>
            <w:rStyle w:val="Hyperlink"/>
          </w:rPr>
          <w:t>law</w:t>
        </w:r>
      </w:hyperlink>
      <w:r>
        <w:t xml:space="preserve"> </w:t>
      </w:r>
      <w:r w:rsidRPr="001621EF">
        <w:t>that will require employers to provide severance in connection with any noncompete agreements.</w:t>
      </w:r>
    </w:p>
    <w:p w14:paraId="36A5DEEF" w14:textId="77777777" w:rsidR="00834F37" w:rsidRDefault="00834F37" w:rsidP="00834F37">
      <w:r w:rsidRPr="00C57FF7">
        <w:rPr>
          <w:b/>
          <w:bCs/>
          <w:highlight w:val="lightGray"/>
        </w:rPr>
        <w:t>Employer Takeaway:</w:t>
      </w:r>
      <w:r>
        <w:rPr>
          <w:b/>
          <w:bCs/>
        </w:rPr>
        <w:t xml:space="preserve"> </w:t>
      </w:r>
      <w:r w:rsidRPr="00E956C9">
        <w:t xml:space="preserve">Employers should ensure that noncompete agreements </w:t>
      </w:r>
      <w:proofErr w:type="gramStart"/>
      <w:r w:rsidRPr="00E956C9">
        <w:t>entered into</w:t>
      </w:r>
      <w:proofErr w:type="gramEnd"/>
      <w:r w:rsidRPr="00E956C9">
        <w:t xml:space="preserve">, amended or renewed on or after July 1, 2026, provide severance or other monetary benefits upon a termination other than for cause. </w:t>
      </w:r>
    </w:p>
    <w:p w14:paraId="1466394A" w14:textId="77777777" w:rsidR="00834F37" w:rsidRPr="00A53F3B" w:rsidRDefault="00834F37" w:rsidP="00834F37">
      <w:pPr>
        <w:rPr>
          <w:b/>
          <w:bCs/>
        </w:rPr>
      </w:pPr>
      <w:r>
        <w:rPr>
          <w:b/>
          <w:bCs/>
        </w:rPr>
        <w:t>Overview of Change</w:t>
      </w:r>
    </w:p>
    <w:p w14:paraId="30B083C8" w14:textId="77777777" w:rsidR="00834F37" w:rsidRPr="00AA6C6B" w:rsidRDefault="00834F37">
      <w:pPr>
        <w:pStyle w:val="ListParagraph"/>
        <w:numPr>
          <w:ilvl w:val="0"/>
          <w:numId w:val="338"/>
        </w:numPr>
        <w:spacing w:after="100" w:line="276" w:lineRule="auto"/>
      </w:pPr>
      <w:r w:rsidRPr="00AA6C6B">
        <w:t xml:space="preserve">Currently, Virginia prohibits employers from </w:t>
      </w:r>
      <w:proofErr w:type="gramStart"/>
      <w:r w:rsidRPr="00AA6C6B">
        <w:t>entering into</w:t>
      </w:r>
      <w:proofErr w:type="gramEnd"/>
      <w:r w:rsidRPr="00AA6C6B">
        <w:t xml:space="preserve"> noncompete agreements with employee</w:t>
      </w:r>
      <w:r w:rsidRPr="00AA6C6B">
        <w:rPr>
          <w:u w:val="single"/>
        </w:rPr>
        <w:t>s who earn less than the current average weekly wage</w:t>
      </w:r>
      <w:r w:rsidRPr="00AA6C6B">
        <w:t xml:space="preserve"> in Virginia </w:t>
      </w:r>
      <w:r w:rsidRPr="00AA6C6B">
        <w:rPr>
          <w:u w:val="single"/>
        </w:rPr>
        <w:t>or</w:t>
      </w:r>
      <w:r w:rsidRPr="00AA6C6B">
        <w:t xml:space="preserve"> who are </w:t>
      </w:r>
      <w:r w:rsidRPr="00AA6C6B">
        <w:rPr>
          <w:u w:val="single"/>
        </w:rPr>
        <w:t>classified as nonexempt</w:t>
      </w:r>
      <w:r w:rsidRPr="00AA6C6B">
        <w:t xml:space="preserve"> from the Fair Labor Standards Act’s overtime pay requirements. </w:t>
      </w:r>
    </w:p>
    <w:p w14:paraId="7EBC5676" w14:textId="77777777" w:rsidR="00834F37" w:rsidRPr="00FF55F1" w:rsidRDefault="00834F37">
      <w:pPr>
        <w:pStyle w:val="ListParagraph"/>
        <w:numPr>
          <w:ilvl w:val="0"/>
          <w:numId w:val="338"/>
        </w:numPr>
        <w:spacing w:after="100" w:line="276" w:lineRule="auto"/>
      </w:pPr>
      <w:r w:rsidRPr="00FF55F1">
        <w:t xml:space="preserve">Under the new law, noncompete agreements </w:t>
      </w:r>
      <w:proofErr w:type="gramStart"/>
      <w:r w:rsidRPr="00FF55F1">
        <w:t>entered into</w:t>
      </w:r>
      <w:proofErr w:type="gramEnd"/>
      <w:r w:rsidRPr="00FF55F1">
        <w:t xml:space="preserve">, amended or renewed on or after July 1, 2026, will be unenforceable if the employer does not provide severance benefits or other monetary payment upon termination (other than a termination for cause). The severance benefits or other monetary payment must be disclosed upon execution of the noncompete agreement. </w:t>
      </w:r>
    </w:p>
    <w:p w14:paraId="1A4DDFA9" w14:textId="77777777" w:rsidR="00834F37" w:rsidRDefault="00834F37">
      <w:pPr>
        <w:pStyle w:val="ListParagraph"/>
        <w:numPr>
          <w:ilvl w:val="0"/>
          <w:numId w:val="338"/>
        </w:numPr>
        <w:spacing w:after="100" w:line="276" w:lineRule="auto"/>
      </w:pPr>
      <w:r w:rsidRPr="00FF55F1">
        <w:t xml:space="preserve">The law does </w:t>
      </w:r>
      <w:r w:rsidRPr="00235EA8">
        <w:rPr>
          <w:i/>
          <w:iCs/>
        </w:rPr>
        <w:t>not</w:t>
      </w:r>
      <w:r w:rsidRPr="00FF55F1">
        <w:t xml:space="preserve"> define severance benefits or other monetary payments or what may constitute a termination for cause.</w:t>
      </w:r>
    </w:p>
    <w:p w14:paraId="388A145C" w14:textId="77777777" w:rsidR="00834F37" w:rsidRDefault="00834F37">
      <w:pPr>
        <w:pStyle w:val="ListParagraph"/>
        <w:numPr>
          <w:ilvl w:val="0"/>
          <w:numId w:val="338"/>
        </w:numPr>
        <w:spacing w:after="100" w:line="276" w:lineRule="auto"/>
      </w:pPr>
      <w:r w:rsidRPr="004D4FB4">
        <w:rPr>
          <w:b/>
          <w:bCs/>
        </w:rPr>
        <w:t xml:space="preserve">Violation Penalties: </w:t>
      </w:r>
      <w:r w:rsidRPr="004D4FB4">
        <w:t xml:space="preserve">Under Virginia’s noncompete ban, employees may bring a private right of action against an employer who attempts to enforce a prohibited noncompete. Courts may void any unenforceable noncompete and order all appropriate relief, including injunctive relief, liquidated damages, lost compensation, damages, and reasonable attorney fees and costs. In addition, violations may result in a civil penalty of $10,000 per violation.  </w:t>
      </w:r>
    </w:p>
    <w:p w14:paraId="243BEF94" w14:textId="77777777" w:rsidR="00834F37" w:rsidRPr="004A791E" w:rsidRDefault="00834F37" w:rsidP="00834F37">
      <w:pPr>
        <w:pStyle w:val="ListParagraph"/>
        <w:rPr>
          <w:sz w:val="12"/>
          <w:szCs w:val="12"/>
        </w:rPr>
      </w:pPr>
    </w:p>
    <w:p w14:paraId="2A62D8A8" w14:textId="77777777" w:rsidR="00834F37" w:rsidRDefault="00834F37" w:rsidP="00834F37">
      <w:pPr>
        <w:pStyle w:val="ListParagraph"/>
        <w:ind w:left="0"/>
        <w:rPr>
          <w:b/>
          <w:bCs/>
          <w:caps/>
          <w:color w:val="0070C0"/>
          <w:sz w:val="26"/>
          <w:szCs w:val="26"/>
        </w:rPr>
      </w:pPr>
    </w:p>
    <w:p w14:paraId="2D1E8158" w14:textId="77777777" w:rsidR="00834F37" w:rsidRDefault="00834F37" w:rsidP="00834F37">
      <w:pPr>
        <w:pStyle w:val="ListParagraph"/>
        <w:ind w:left="0"/>
        <w:rPr>
          <w:b/>
          <w:bCs/>
          <w:caps/>
          <w:color w:val="0070C0"/>
          <w:sz w:val="26"/>
          <w:szCs w:val="26"/>
        </w:rPr>
      </w:pPr>
      <w:r>
        <w:rPr>
          <w:b/>
          <w:bCs/>
          <w:caps/>
          <w:color w:val="0070C0"/>
          <w:sz w:val="26"/>
          <w:szCs w:val="26"/>
        </w:rPr>
        <w:t xml:space="preserve">New! </w:t>
      </w:r>
      <w:r w:rsidRPr="0022263E">
        <w:rPr>
          <w:b/>
          <w:bCs/>
          <w:caps/>
          <w:noProof/>
          <w:color w:val="0E425C"/>
          <w:sz w:val="26"/>
          <w:szCs w:val="26"/>
        </w:rPr>
        <w:t xml:space="preserve">StATe Enacts </w:t>
      </w:r>
      <w:r>
        <w:rPr>
          <w:b/>
          <w:bCs/>
          <w:caps/>
          <w:noProof/>
          <w:color w:val="0E425C"/>
          <w:sz w:val="26"/>
          <w:szCs w:val="26"/>
        </w:rPr>
        <w:t xml:space="preserve">NEW </w:t>
      </w:r>
      <w:r w:rsidRPr="0022263E">
        <w:rPr>
          <w:b/>
          <w:bCs/>
          <w:caps/>
          <w:noProof/>
          <w:color w:val="0E425C"/>
          <w:sz w:val="26"/>
          <w:szCs w:val="26"/>
        </w:rPr>
        <w:t>Hospital-specific Workplace Violence Reporting Requirements Effective</w:t>
      </w:r>
      <w:r>
        <w:rPr>
          <w:b/>
          <w:bCs/>
          <w:caps/>
          <w:color w:val="0070C0"/>
          <w:sz w:val="26"/>
          <w:szCs w:val="26"/>
        </w:rPr>
        <w:t xml:space="preserve"> JUly 1, 2026</w:t>
      </w:r>
    </w:p>
    <w:p w14:paraId="0654DE6B" w14:textId="77777777" w:rsidR="00834F37" w:rsidRPr="00060D3B" w:rsidRDefault="00834F37" w:rsidP="00834F37">
      <w:r w:rsidRPr="00060D3B">
        <w:t>On April 6, 2026, Gov. Abigail Spanberger enacted</w:t>
      </w:r>
      <w:r w:rsidRPr="00AA1175">
        <w:t> </w:t>
      </w:r>
      <w:hyperlink r:id="rId1064" w:history="1">
        <w:r w:rsidRPr="00AA1175">
          <w:rPr>
            <w:rStyle w:val="Hyperlink"/>
          </w:rPr>
          <w:t>House Bill 1489</w:t>
        </w:r>
      </w:hyperlink>
      <w:r>
        <w:t xml:space="preserve"> </w:t>
      </w:r>
      <w:r w:rsidRPr="00060D3B">
        <w:t xml:space="preserve">(HB1489), which expands and clarifies workplace violence reporting requirements for hospitals with emergency departments. </w:t>
      </w:r>
    </w:p>
    <w:p w14:paraId="00E5735C" w14:textId="77777777" w:rsidR="00834F37" w:rsidRPr="00060D3B" w:rsidRDefault="00834F37">
      <w:pPr>
        <w:pStyle w:val="ListParagraph"/>
        <w:numPr>
          <w:ilvl w:val="0"/>
          <w:numId w:val="339"/>
        </w:numPr>
        <w:spacing w:after="100" w:line="276" w:lineRule="auto"/>
      </w:pPr>
      <w:r w:rsidRPr="00060D3B">
        <w:t xml:space="preserve">HB1489 goes into effect July 1, 2026 </w:t>
      </w:r>
    </w:p>
    <w:p w14:paraId="7D8744A5" w14:textId="77777777" w:rsidR="00834F37" w:rsidRPr="00060D3B" w:rsidRDefault="00834F37">
      <w:pPr>
        <w:pStyle w:val="ListParagraph"/>
        <w:numPr>
          <w:ilvl w:val="0"/>
          <w:numId w:val="339"/>
        </w:numPr>
        <w:spacing w:after="100" w:line="276" w:lineRule="auto"/>
      </w:pPr>
      <w:r w:rsidRPr="00060D3B">
        <w:t xml:space="preserve">Regulations from the Virginia Department of Health (Department) are to be issued by January 1, 2027 </w:t>
      </w:r>
    </w:p>
    <w:p w14:paraId="49615EEF" w14:textId="77777777" w:rsidR="00834F37" w:rsidRPr="00060D3B" w:rsidRDefault="00834F37" w:rsidP="00834F37">
      <w:r w:rsidRPr="00060D3B">
        <w:t xml:space="preserve">Prior to the enactment of HB1489, </w:t>
      </w:r>
      <w:r w:rsidRPr="00633388">
        <w:rPr>
          <w:b/>
          <w:bCs/>
        </w:rPr>
        <w:t>Virginia already required certain hospitals to implement workplace violence prevention measures</w:t>
      </w:r>
      <w:r w:rsidRPr="00060D3B">
        <w:t xml:space="preserve">, including: </w:t>
      </w:r>
    </w:p>
    <w:p w14:paraId="3783D8E8" w14:textId="77777777" w:rsidR="00834F37" w:rsidRPr="00060D3B" w:rsidRDefault="00834F37" w:rsidP="00834F37">
      <w:pPr>
        <w:pStyle w:val="Bullet"/>
        <w:spacing w:after="80"/>
        <w:ind w:left="648"/>
        <w:rPr>
          <w:color w:val="auto"/>
        </w:rPr>
      </w:pPr>
      <w:r w:rsidRPr="00060D3B">
        <w:rPr>
          <w:color w:val="auto"/>
        </w:rPr>
        <w:t xml:space="preserve">Maintaining an incident reporting system; </w:t>
      </w:r>
    </w:p>
    <w:p w14:paraId="58250D34" w14:textId="77777777" w:rsidR="00834F37" w:rsidRPr="00060D3B" w:rsidRDefault="00834F37" w:rsidP="00834F37">
      <w:pPr>
        <w:pStyle w:val="Bullet"/>
        <w:spacing w:after="80"/>
        <w:ind w:left="648"/>
        <w:rPr>
          <w:color w:val="auto"/>
        </w:rPr>
      </w:pPr>
      <w:r w:rsidRPr="00060D3B">
        <w:rPr>
          <w:color w:val="auto"/>
        </w:rPr>
        <w:t xml:space="preserve">Adopting anti-retaliation protections for employees; and </w:t>
      </w:r>
    </w:p>
    <w:p w14:paraId="20786453" w14:textId="77777777" w:rsidR="00834F37" w:rsidRPr="00060D3B" w:rsidRDefault="00834F37" w:rsidP="00834F37">
      <w:pPr>
        <w:pStyle w:val="Bullet"/>
        <w:spacing w:after="80"/>
        <w:ind w:left="648"/>
        <w:rPr>
          <w:color w:val="auto"/>
        </w:rPr>
      </w:pPr>
      <w:r w:rsidRPr="00060D3B">
        <w:rPr>
          <w:color w:val="auto"/>
        </w:rPr>
        <w:t xml:space="preserve">Establishing security plans based on facility-specific risk assessments. </w:t>
      </w:r>
    </w:p>
    <w:p w14:paraId="45AD953A" w14:textId="77777777" w:rsidR="00834F37" w:rsidRPr="00060D3B" w:rsidRDefault="00834F37" w:rsidP="00834F37">
      <w:pPr>
        <w:rPr>
          <w:b/>
        </w:rPr>
      </w:pPr>
      <w:r w:rsidRPr="00060D3B">
        <w:t xml:space="preserve">Hospitals were also expected to provide workforce training on violence prevention, de-escalation techniques and risk identification. HB1489 builds on this existing framework by expanding the scope, specificity and reporting requirements associated with workplace violence incidents while reinforcing confidentiality protections and increasing transparency at the state level. </w:t>
      </w:r>
    </w:p>
    <w:p w14:paraId="2F429A14" w14:textId="77777777" w:rsidR="00834F37" w:rsidRDefault="00834F37" w:rsidP="00834F37">
      <w:r w:rsidRPr="00633388">
        <w:rPr>
          <w:b/>
          <w:bCs/>
        </w:rPr>
        <w:t>HB1489 expands</w:t>
      </w:r>
      <w:r w:rsidRPr="00060D3B">
        <w:t xml:space="preserve"> confidentiality protections for health-related records and related operational data. While such records remain exempt from mandatory disclosure, the new law permits the release of aggregate or statistical information </w:t>
      </w:r>
      <w:proofErr w:type="gramStart"/>
      <w:r w:rsidRPr="00060D3B">
        <w:t>provided that</w:t>
      </w:r>
      <w:proofErr w:type="gramEnd"/>
      <w:r w:rsidRPr="00060D3B">
        <w:t xml:space="preserve"> all personally identifiable information is removed. </w:t>
      </w:r>
    </w:p>
    <w:p w14:paraId="291DBA19" w14:textId="77777777" w:rsidR="00834F37" w:rsidRPr="00060D3B" w:rsidRDefault="00834F37" w:rsidP="00834F37">
      <w:r w:rsidRPr="00060D3B">
        <w:t xml:space="preserve">Newly emphasized protected categories include: </w:t>
      </w:r>
    </w:p>
    <w:p w14:paraId="747919D6" w14:textId="77777777" w:rsidR="00834F37" w:rsidRPr="00060D3B" w:rsidRDefault="00834F37" w:rsidP="00834F37">
      <w:pPr>
        <w:pStyle w:val="Bullet"/>
        <w:spacing w:after="80"/>
        <w:ind w:left="648"/>
        <w:rPr>
          <w:color w:val="auto"/>
        </w:rPr>
      </w:pPr>
      <w:r w:rsidRPr="00060D3B">
        <w:rPr>
          <w:color w:val="auto"/>
        </w:rPr>
        <w:t xml:space="preserve">Workplace violence data; and </w:t>
      </w:r>
    </w:p>
    <w:p w14:paraId="64E10EE4" w14:textId="77777777" w:rsidR="00834F37" w:rsidRPr="00060D3B" w:rsidRDefault="00834F37" w:rsidP="00834F37">
      <w:pPr>
        <w:pStyle w:val="Bullet"/>
        <w:spacing w:after="80"/>
        <w:ind w:left="648"/>
        <w:rPr>
          <w:color w:val="auto"/>
        </w:rPr>
      </w:pPr>
      <w:r w:rsidRPr="00060D3B">
        <w:rPr>
          <w:color w:val="auto"/>
        </w:rPr>
        <w:t>Other sensitive facility-level information collected for regulatory purposes.</w:t>
      </w:r>
    </w:p>
    <w:p w14:paraId="29052D40" w14:textId="77777777" w:rsidR="00834F37" w:rsidRPr="00060D3B" w:rsidRDefault="00834F37" w:rsidP="00834F37">
      <w:r w:rsidRPr="00060D3B">
        <w:t xml:space="preserve">Hospitals with emergency departments are now required to maintain detailed records of all reported workplace violence incidents for a minimum of two years. Each record must include: </w:t>
      </w:r>
    </w:p>
    <w:p w14:paraId="46A5C3B8" w14:textId="77777777" w:rsidR="00834F37" w:rsidRPr="00060D3B" w:rsidRDefault="00834F37" w:rsidP="00834F37">
      <w:pPr>
        <w:pStyle w:val="Bullet"/>
        <w:spacing w:after="80"/>
        <w:ind w:left="648"/>
        <w:rPr>
          <w:color w:val="auto"/>
        </w:rPr>
      </w:pPr>
      <w:r w:rsidRPr="00060D3B">
        <w:rPr>
          <w:color w:val="auto"/>
        </w:rPr>
        <w:t xml:space="preserve">Specific information, such as the date and time of the incident; </w:t>
      </w:r>
    </w:p>
    <w:p w14:paraId="60525105" w14:textId="77777777" w:rsidR="00834F37" w:rsidRPr="00060D3B" w:rsidRDefault="00834F37" w:rsidP="00834F37">
      <w:pPr>
        <w:pStyle w:val="Bullet"/>
        <w:spacing w:after="80"/>
        <w:ind w:left="648"/>
        <w:rPr>
          <w:color w:val="auto"/>
        </w:rPr>
      </w:pPr>
      <w:r w:rsidRPr="00060D3B">
        <w:rPr>
          <w:color w:val="auto"/>
        </w:rPr>
        <w:t xml:space="preserve">A description of the event; and </w:t>
      </w:r>
    </w:p>
    <w:p w14:paraId="50FB0B3A" w14:textId="77777777" w:rsidR="00834F37" w:rsidRPr="00060D3B" w:rsidRDefault="00834F37" w:rsidP="00834F37">
      <w:pPr>
        <w:pStyle w:val="Bullet"/>
        <w:spacing w:after="80"/>
        <w:ind w:left="648"/>
        <w:rPr>
          <w:color w:val="auto"/>
        </w:rPr>
      </w:pPr>
      <w:r w:rsidRPr="00060D3B">
        <w:rPr>
          <w:color w:val="auto"/>
        </w:rPr>
        <w:t xml:space="preserve">The job category of the affected employee. </w:t>
      </w:r>
    </w:p>
    <w:p w14:paraId="49EA84D0" w14:textId="77777777" w:rsidR="00834F37" w:rsidRPr="00060D3B" w:rsidRDefault="00834F37" w:rsidP="00834F37">
      <w:r w:rsidRPr="00060D3B">
        <w:t>The record must also identify the type of perpetrator involved, including whether the individual was a patient, visitor, employee or another party, as well as the location category where the incident occurred.</w:t>
      </w:r>
    </w:p>
    <w:p w14:paraId="44F60A1C" w14:textId="77777777" w:rsidR="00834F37" w:rsidRPr="00060D3B" w:rsidRDefault="00834F37" w:rsidP="00834F37">
      <w:r w:rsidRPr="00060D3B">
        <w:t xml:space="preserve">HB1489 further requires classification of the type of incident, including whether it involved physical assault with or without a weapon, threats of violence, sexual assault or threats thereof, or other forms of harmful conduct. Hospitals must also document the outcome of each incident, including: </w:t>
      </w:r>
    </w:p>
    <w:p w14:paraId="2DEEB940" w14:textId="77777777" w:rsidR="00834F37" w:rsidRPr="00060D3B" w:rsidRDefault="00834F37" w:rsidP="00834F37">
      <w:pPr>
        <w:pStyle w:val="Bullet"/>
        <w:spacing w:after="80"/>
        <w:ind w:left="648"/>
        <w:rPr>
          <w:color w:val="auto"/>
        </w:rPr>
      </w:pPr>
      <w:r w:rsidRPr="00060D3B">
        <w:rPr>
          <w:color w:val="auto"/>
        </w:rPr>
        <w:t>The severity of any staff injuries using standardized categories ranging from no injury to fatality; and</w:t>
      </w:r>
    </w:p>
    <w:p w14:paraId="3A45A75D" w14:textId="77777777" w:rsidR="00834F37" w:rsidRPr="00060D3B" w:rsidRDefault="00834F37" w:rsidP="00834F37">
      <w:pPr>
        <w:pStyle w:val="Bullet"/>
        <w:spacing w:after="80"/>
        <w:ind w:left="648"/>
        <w:rPr>
          <w:color w:val="auto"/>
        </w:rPr>
      </w:pPr>
      <w:r w:rsidRPr="00060D3B">
        <w:rPr>
          <w:color w:val="auto"/>
        </w:rPr>
        <w:t>Any involvement of law enforcement or security personnel.</w:t>
      </w:r>
    </w:p>
    <w:p w14:paraId="1D326FD5" w14:textId="77777777" w:rsidR="00834F37" w:rsidRPr="00060D3B" w:rsidRDefault="00834F37" w:rsidP="00834F37">
      <w:r w:rsidRPr="00060D3B">
        <w:t xml:space="preserve">Beyond recordkeeping, hospitals are required to report aggregated workplace violence data internally to senior leadership, including executive and clinical leadership, at least quarterly. On an annual basis, hospitals must submit aggregated, de-identified data to the Department, including a statement indicating whether any policy changes were implemented in response </w:t>
      </w:r>
      <w:r w:rsidRPr="00060D3B">
        <w:lastRenderedPageBreak/>
        <w:t>to those incidents. All submitted data is confidential and exempt from public disclosure under the Virginia Freedom of Information Act.</w:t>
      </w:r>
    </w:p>
    <w:p w14:paraId="32F8F813" w14:textId="77777777" w:rsidR="00834F37" w:rsidRPr="004A791E" w:rsidRDefault="00834F37" w:rsidP="00834F37">
      <w:r w:rsidRPr="00060D3B">
        <w:t>At the state level, the Department is required to aggregate the data by health planning region, remove any personally identifiable information and publish an annual report summarizing workplace violence trends. The first report is required to be issued no later than Dec. 31, 2027. The Department is required to promulgate regulations implementing these provisions by Jan. 1, 2027.</w:t>
      </w:r>
    </w:p>
    <w:p w14:paraId="1451C580" w14:textId="77777777" w:rsidR="00834F37" w:rsidRPr="000E17BD" w:rsidRDefault="00834F37" w:rsidP="00834F37">
      <w:pPr>
        <w:pStyle w:val="ListParagraph"/>
        <w:ind w:left="0"/>
        <w:rPr>
          <w:b/>
          <w:bCs/>
          <w:caps/>
          <w:color w:val="0070C0"/>
          <w:sz w:val="10"/>
          <w:szCs w:val="10"/>
        </w:rPr>
      </w:pPr>
    </w:p>
    <w:p w14:paraId="201275C0" w14:textId="77777777" w:rsidR="00834F37" w:rsidRPr="00620B89" w:rsidRDefault="00834F37" w:rsidP="00834F37">
      <w:pPr>
        <w:pStyle w:val="ListParagraph"/>
        <w:ind w:left="0"/>
        <w:rPr>
          <w:b/>
          <w:bCs/>
          <w:caps/>
          <w:noProof/>
          <w:color w:val="0E425C"/>
          <w:sz w:val="28"/>
          <w:szCs w:val="28"/>
        </w:rPr>
      </w:pPr>
      <w:r w:rsidRPr="0008010A">
        <w:rPr>
          <w:b/>
          <w:bCs/>
          <w:caps/>
          <w:color w:val="0070C0"/>
          <w:sz w:val="26"/>
          <w:szCs w:val="26"/>
        </w:rPr>
        <w:t xml:space="preserve">New! </w:t>
      </w:r>
      <w:r w:rsidRPr="0008010A">
        <w:rPr>
          <w:b/>
          <w:bCs/>
          <w:caps/>
          <w:noProof/>
          <w:color w:val="0E425C"/>
          <w:sz w:val="26"/>
          <w:szCs w:val="26"/>
        </w:rPr>
        <w:t>State Mandates</w:t>
      </w:r>
      <w:r>
        <w:rPr>
          <w:b/>
          <w:bCs/>
          <w:caps/>
          <w:noProof/>
          <w:color w:val="0E425C"/>
          <w:sz w:val="26"/>
          <w:szCs w:val="26"/>
        </w:rPr>
        <w:t xml:space="preserve"> New Workplace Heat Illness Prevention Standards </w:t>
      </w:r>
    </w:p>
    <w:p w14:paraId="7F3C0DB4" w14:textId="77777777" w:rsidR="00834F37" w:rsidRPr="008524C7" w:rsidRDefault="00834F37" w:rsidP="00834F37">
      <w:r w:rsidRPr="008524C7">
        <w:t xml:space="preserve">On April 13, 2026, Gov. Abagail Spanberger enacted </w:t>
      </w:r>
      <w:hyperlink r:id="rId1065" w:history="1">
        <w:r w:rsidRPr="008524C7">
          <w:rPr>
            <w:rStyle w:val="Hyperlink"/>
          </w:rPr>
          <w:t>SB 288</w:t>
        </w:r>
      </w:hyperlink>
      <w:r w:rsidRPr="008524C7">
        <w:t>, requiring the Safety and Health Codes Board (Board) to develop standards governing indoor and outdoor workplace heat illness prevention that will apply to employers and may carry implications for insurers.</w:t>
      </w:r>
      <w:r>
        <w:t xml:space="preserve"> </w:t>
      </w:r>
      <w:r w:rsidRPr="008524C7">
        <w:t>The law applies to employers subject to Virginia OSHA (VOSH) jurisdiction and covers employees, independent contractors and other workers whose working conditions are controlled by such employers.</w:t>
      </w:r>
    </w:p>
    <w:p w14:paraId="3DE6B31E" w14:textId="77777777" w:rsidR="00834F37" w:rsidRPr="008524C7" w:rsidRDefault="00834F37" w:rsidP="00834F37">
      <w:r w:rsidRPr="008524C7">
        <w:t>The regulations adopted under SB 288 will be enforced through existing VOSH enforcement mechanisms, including inspections, citations and potential civil penalties for noncompliance.</w:t>
      </w:r>
    </w:p>
    <w:p w14:paraId="56726222" w14:textId="77777777" w:rsidR="00834F37" w:rsidRDefault="00834F37" w:rsidP="00834F37">
      <w:r w:rsidRPr="008524C7">
        <w:t xml:space="preserve">Finally, the Board is required to develop these regulations in consultation with the Virginia Department of Labor and Industry and to consider existing standards and guidance from federal and state occupational safety agencies and professional organizations. The rulemaking process must also include input from an advisory panel composed of employee advocates and representatives from agriculture and business industries and public institutions of higher education. </w:t>
      </w:r>
    </w:p>
    <w:p w14:paraId="7D2BA331" w14:textId="77777777" w:rsidR="00834F37" w:rsidRPr="008524C7" w:rsidRDefault="00834F37" w:rsidP="00834F37">
      <w:r w:rsidRPr="008524C7">
        <w:t>SB 288 requires the Board to create these enforceable standards by May 1, 2028.</w:t>
      </w:r>
    </w:p>
    <w:p w14:paraId="0E207DC6" w14:textId="77777777" w:rsidR="00834F37" w:rsidRPr="0046311C" w:rsidRDefault="00834F37" w:rsidP="00834F37">
      <w:pPr>
        <w:rPr>
          <w:b/>
          <w:bCs/>
        </w:rPr>
      </w:pPr>
      <w:r w:rsidRPr="008524C7">
        <w:rPr>
          <w:b/>
          <w:bCs/>
        </w:rPr>
        <w:t xml:space="preserve">Employer </w:t>
      </w:r>
      <w:r>
        <w:rPr>
          <w:b/>
          <w:bCs/>
        </w:rPr>
        <w:t xml:space="preserve">Takeaway: </w:t>
      </w:r>
      <w:r w:rsidRPr="0046311C">
        <w:t xml:space="preserve">Applicable, covered </w:t>
      </w:r>
      <w:r>
        <w:t>e</w:t>
      </w:r>
      <w:r w:rsidRPr="008524C7">
        <w:t xml:space="preserve">mployers should also closely monitor ongoing rulemaking and related legal developments to stay informed of evolving obligations and be prepared to implement any new standards adopted by the Board.  </w:t>
      </w:r>
    </w:p>
    <w:p w14:paraId="0F85C8DC" w14:textId="77777777" w:rsidR="00834F37" w:rsidRPr="00F50723" w:rsidRDefault="00834F37" w:rsidP="00834F37"/>
    <w:p w14:paraId="1A774EAE" w14:textId="77777777" w:rsidR="00834F37" w:rsidRPr="008524C7" w:rsidRDefault="00834F37" w:rsidP="00834F37">
      <w:pPr>
        <w:rPr>
          <w:b/>
          <w:bCs/>
          <w:caps/>
          <w:noProof/>
          <w:color w:val="0E425C"/>
          <w:sz w:val="26"/>
          <w:szCs w:val="26"/>
        </w:rPr>
      </w:pPr>
      <w:r w:rsidRPr="008524C7">
        <w:rPr>
          <w:b/>
          <w:bCs/>
          <w:caps/>
          <w:color w:val="0070C0"/>
          <w:sz w:val="26"/>
          <w:szCs w:val="26"/>
        </w:rPr>
        <w:t xml:space="preserve">New! </w:t>
      </w:r>
      <w:r w:rsidRPr="008524C7">
        <w:rPr>
          <w:b/>
          <w:bCs/>
          <w:caps/>
          <w:noProof/>
          <w:color w:val="0E425C"/>
          <w:sz w:val="26"/>
          <w:szCs w:val="26"/>
        </w:rPr>
        <w:t>State Expands Wage Payment &amp; MIsclassification Penalties Effective</w:t>
      </w:r>
      <w:r w:rsidRPr="008524C7">
        <w:rPr>
          <w:b/>
          <w:bCs/>
          <w:caps/>
          <w:color w:val="0070C0"/>
          <w:sz w:val="26"/>
          <w:szCs w:val="26"/>
        </w:rPr>
        <w:t xml:space="preserve"> JUly 1, 2026</w:t>
      </w:r>
    </w:p>
    <w:p w14:paraId="6E1229DF" w14:textId="77777777" w:rsidR="00834F37" w:rsidRPr="008524C7" w:rsidRDefault="00834F37" w:rsidP="00834F37">
      <w:r w:rsidRPr="00551910">
        <w:t xml:space="preserve">Virginia’s </w:t>
      </w:r>
      <w:hyperlink r:id="rId1066" w:history="1">
        <w:r w:rsidRPr="008524C7">
          <w:rPr>
            <w:rStyle w:val="Hyperlink"/>
          </w:rPr>
          <w:t>House Bill (HB) 238</w:t>
        </w:r>
      </w:hyperlink>
      <w:r w:rsidRPr="008524C7">
        <w:t xml:space="preserve"> </w:t>
      </w:r>
      <w:r w:rsidRPr="00551910">
        <w:t>allows employees to bring civil actions for violations of the state’s laws regarding minimum wage, overtime, worker classification and prevailing wages. The bill also strengthens the Virginia Department of Labor and Industry’s (DOLI) investigative powers.</w:t>
      </w:r>
    </w:p>
    <w:p w14:paraId="49DD46D9" w14:textId="77777777" w:rsidR="00834F37" w:rsidRPr="00551910" w:rsidRDefault="00834F37" w:rsidP="00834F37">
      <w:pPr>
        <w:pStyle w:val="Heading3"/>
        <w:rPr>
          <w:b/>
          <w:bCs/>
          <w:color w:val="auto"/>
        </w:rPr>
      </w:pPr>
      <w:r w:rsidRPr="00551910">
        <w:rPr>
          <w:b/>
          <w:bCs/>
          <w:color w:val="auto"/>
        </w:rPr>
        <w:t>Expanded Definition of Wages</w:t>
      </w:r>
    </w:p>
    <w:p w14:paraId="48F3CFF8" w14:textId="77777777" w:rsidR="00834F37" w:rsidRPr="00551910" w:rsidRDefault="00834F37" w:rsidP="00834F37">
      <w:r w:rsidRPr="00551910">
        <w:t>The law modifies the definition of “wages” to include damages owed to misclassified workers and, as a result, treats misclassification claims as wage claims for enforcement and remedy purposes. Under HB 238,</w:t>
      </w:r>
      <w:r w:rsidRPr="00551910">
        <w:rPr>
          <w:b/>
          <w:bCs/>
        </w:rPr>
        <w:t xml:space="preserve"> wages</w:t>
      </w:r>
      <w:r w:rsidRPr="00551910">
        <w:t xml:space="preserve"> include any remuneration an employer owes to an employee, including hourly wages, minimum wages, piece-rate wages, day rates, salaries, overtime wages, legally required prevailing wages, </w:t>
      </w:r>
      <w:proofErr w:type="gramStart"/>
      <w:r w:rsidRPr="00551910">
        <w:t>commissions, tips</w:t>
      </w:r>
      <w:proofErr w:type="gramEnd"/>
      <w:r w:rsidRPr="00551910">
        <w:t>, bonuses and damages available for the misclassification of an employee.</w:t>
      </w:r>
    </w:p>
    <w:p w14:paraId="4C7E2E77" w14:textId="77777777" w:rsidR="00834F37" w:rsidRPr="00551910" w:rsidRDefault="00834F37" w:rsidP="00834F37">
      <w:pPr>
        <w:pStyle w:val="Heading3"/>
        <w:rPr>
          <w:b/>
          <w:bCs/>
          <w:color w:val="auto"/>
        </w:rPr>
      </w:pPr>
      <w:r w:rsidRPr="00551910">
        <w:rPr>
          <w:b/>
          <w:bCs/>
          <w:color w:val="auto"/>
        </w:rPr>
        <w:t>Worker Misclassification</w:t>
      </w:r>
    </w:p>
    <w:p w14:paraId="1FC96F1D" w14:textId="77777777" w:rsidR="00834F37" w:rsidRPr="00F50723" w:rsidRDefault="00834F37" w:rsidP="00834F37">
      <w:r w:rsidRPr="00F50723">
        <w:t xml:space="preserve">Under existing Virginia law, individuals who have not been properly classified as employees may bring a civil action for damages if the employer </w:t>
      </w:r>
      <w:proofErr w:type="gramStart"/>
      <w:r w:rsidRPr="00F50723">
        <w:t>had</w:t>
      </w:r>
      <w:proofErr w:type="gramEnd"/>
      <w:r w:rsidRPr="00F50723">
        <w:t xml:space="preserve"> knowledge of the misclassification. In such actions, the court may award damages in the amount of any wages, salary, employment benefits, other lost compensation and reasonable attorney fees and costs. </w:t>
      </w:r>
    </w:p>
    <w:p w14:paraId="0DB863E2" w14:textId="77777777" w:rsidR="00834F37" w:rsidRPr="00F50723" w:rsidRDefault="00834F37" w:rsidP="00834F37">
      <w:r w:rsidRPr="00F50723">
        <w:t xml:space="preserve">Under the new law, successful worker misclassification claims trigger the full remedies available under Virginia’s wage and hour laws, including unpaid wages, liquidated damages, prejudgment interest, and reasonable attorney fees and costs. If the court </w:t>
      </w:r>
      <w:r w:rsidRPr="00F50723">
        <w:lastRenderedPageBreak/>
        <w:t>finds that the employer knowingly failed to pay wages to an employee, the court will award the employee an amount equal to three times the amount of wages due.</w:t>
      </w:r>
    </w:p>
    <w:p w14:paraId="75DC9F5A" w14:textId="77777777" w:rsidR="00834F37" w:rsidRPr="00F50723" w:rsidRDefault="00834F37" w:rsidP="00834F37">
      <w:r w:rsidRPr="00F50723">
        <w:t>Civil actions for misclassification must be brought within three years.</w:t>
      </w:r>
    </w:p>
    <w:p w14:paraId="2BDA4020" w14:textId="77777777" w:rsidR="00834F37" w:rsidRPr="008524C7" w:rsidRDefault="00834F37" w:rsidP="00834F37">
      <w:r w:rsidRPr="00F50723">
        <w:rPr>
          <w:b/>
          <w:bCs/>
          <w:highlight w:val="lightGray"/>
        </w:rPr>
        <w:t>Employer Takeaway:</w:t>
      </w:r>
      <w:r w:rsidRPr="00F50723">
        <w:rPr>
          <w:b/>
          <w:bCs/>
        </w:rPr>
        <w:t xml:space="preserve"> </w:t>
      </w:r>
      <w:r w:rsidRPr="00F50723">
        <w:t>Virginia employers should review and update their wage and hour policies and procedures to ensure compliance with the new law by the law’s effective date.</w:t>
      </w:r>
    </w:p>
    <w:p w14:paraId="59F14FC6" w14:textId="77777777" w:rsidR="00834F37" w:rsidRDefault="00834F37" w:rsidP="0095107A">
      <w:pPr>
        <w:spacing w:after="0" w:line="240" w:lineRule="auto"/>
        <w:jc w:val="center"/>
        <w:rPr>
          <w:rFonts w:ascii="Calibri" w:hAnsi="Calibri" w:cs="Calibri"/>
          <w:b/>
          <w:bCs/>
          <w:sz w:val="28"/>
          <w:szCs w:val="28"/>
          <w:shd w:val="clear" w:color="auto" w:fill="FFFFFF"/>
        </w:rPr>
      </w:pPr>
    </w:p>
    <w:p w14:paraId="47A428E9" w14:textId="0B9E7B6A" w:rsidR="0095107A" w:rsidRPr="00DD7BD1" w:rsidRDefault="0095107A" w:rsidP="0095107A">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7FC250AD" w14:textId="77777777" w:rsidR="0095107A" w:rsidRPr="00DD7BD1" w:rsidRDefault="0095107A" w:rsidP="0095107A">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Virginia’s minimum wage will increase to $12.77 per hour. The minimum base wage for tipped employees remains at $2.13 per hour.</w:t>
      </w:r>
    </w:p>
    <w:p w14:paraId="4AEB8041" w14:textId="77777777" w:rsidR="0095107A" w:rsidRPr="00DD7BD1" w:rsidRDefault="00C4571D" w:rsidP="0095107A">
      <w:pPr>
        <w:spacing w:after="0" w:line="240" w:lineRule="auto"/>
        <w:jc w:val="both"/>
        <w:rPr>
          <w:rFonts w:ascii="Calibri" w:hAnsi="Calibri" w:cs="Calibri"/>
          <w:b/>
          <w:bCs/>
          <w:shd w:val="clear" w:color="auto" w:fill="FFFFFF"/>
          <w:lang w:val="en"/>
        </w:rPr>
      </w:pPr>
      <w:r w:rsidRPr="00DD7BD1">
        <w:rPr>
          <w:rFonts w:ascii="Calibri" w:hAnsi="Calibri" w:cs="Calibri"/>
          <w:b/>
          <w:bCs/>
          <w:sz w:val="28"/>
          <w:szCs w:val="28"/>
          <w:shd w:val="clear" w:color="auto" w:fill="FFFFFF"/>
          <w:lang w:val="en"/>
        </w:rPr>
        <w:tab/>
      </w:r>
      <w:bookmarkStart w:id="145" w:name="_Hlk213075317"/>
    </w:p>
    <w:p w14:paraId="601EB2B5" w14:textId="20F0A4B5" w:rsidR="00C4571D" w:rsidRPr="00DD7BD1" w:rsidRDefault="00C4571D" w:rsidP="0095107A">
      <w:pPr>
        <w:spacing w:after="0" w:line="240" w:lineRule="auto"/>
        <w:jc w:val="both"/>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New Penalties for Failure to Respond to VEC Unemployment Claims – </w:t>
      </w:r>
      <w:r w:rsidRPr="00DD7BD1">
        <w:rPr>
          <w:rFonts w:ascii="Calibri" w:hAnsi="Calibri" w:cs="Calibri"/>
          <w:b/>
          <w:bCs/>
          <w:color w:val="C00000"/>
          <w:sz w:val="28"/>
          <w:szCs w:val="28"/>
          <w:shd w:val="clear" w:color="auto" w:fill="FFFFFF"/>
        </w:rPr>
        <w:t>July 1, 2025</w:t>
      </w:r>
      <w:bookmarkEnd w:id="145"/>
    </w:p>
    <w:p w14:paraId="3BD1E5B2" w14:textId="33CCBE00"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 Below, we explain the changes to the law and concrete steps for employers to take.</w:t>
      </w:r>
    </w:p>
    <w:p w14:paraId="032DB73C" w14:textId="77777777" w:rsidR="00C4571D" w:rsidRPr="00DD7BD1" w:rsidRDefault="00C4571D" w:rsidP="00C4571D">
      <w:pPr>
        <w:spacing w:after="0" w:line="240" w:lineRule="auto"/>
        <w:jc w:val="both"/>
        <w:rPr>
          <w:rFonts w:ascii="Calibri" w:hAnsi="Calibri" w:cs="Calibri"/>
          <w:b/>
          <w:bCs/>
          <w:w w:val="110"/>
        </w:rPr>
      </w:pPr>
    </w:p>
    <w:p w14:paraId="7E65C450" w14:textId="72215102" w:rsidR="00C4571D" w:rsidRPr="00DD7BD1" w:rsidRDefault="00C4571D" w:rsidP="00C4571D">
      <w:pPr>
        <w:spacing w:after="0" w:line="240" w:lineRule="auto"/>
        <w:jc w:val="both"/>
        <w:rPr>
          <w:rFonts w:ascii="Calibri" w:hAnsi="Calibri" w:cs="Calibri"/>
          <w:b/>
          <w:bCs/>
          <w:w w:val="110"/>
        </w:rPr>
      </w:pPr>
      <w:r w:rsidRPr="00DD7BD1">
        <w:rPr>
          <w:rFonts w:ascii="Calibri" w:hAnsi="Calibri" w:cs="Calibri"/>
          <w:b/>
          <w:bCs/>
          <w:w w:val="110"/>
        </w:rPr>
        <w:t>Increased Penalties for Failure to Respond to VEC.</w:t>
      </w:r>
    </w:p>
    <w:p w14:paraId="4373998A" w14:textId="4E8F37A8" w:rsidR="00C4571D" w:rsidRPr="00DD7BD1" w:rsidRDefault="00C4571D" w:rsidP="00C4571D">
      <w:pPr>
        <w:spacing w:after="0" w:line="240" w:lineRule="auto"/>
        <w:jc w:val="both"/>
        <w:rPr>
          <w:rFonts w:ascii="Calibri" w:hAnsi="Calibri" w:cs="Calibri"/>
          <w:w w:val="110"/>
        </w:rPr>
      </w:pPr>
      <w:hyperlink r:id="rId1067" w:tgtFrame="_blank" w:history="1">
        <w:r w:rsidRPr="00DD7BD1">
          <w:rPr>
            <w:rStyle w:val="Hyperlink"/>
            <w:rFonts w:ascii="Calibri" w:hAnsi="Calibri" w:cs="Calibri"/>
            <w:w w:val="110"/>
          </w:rPr>
          <w:t>Virginia Code § 60.2</w:t>
        </w:r>
        <w:r w:rsidRPr="00DD7BD1">
          <w:rPr>
            <w:rStyle w:val="Hyperlink"/>
            <w:rFonts w:ascii="Calibri" w:hAnsi="Calibri" w:cs="Calibri"/>
            <w:w w:val="110"/>
          </w:rPr>
          <w:noBreakHyphen/>
          <w:t>528.1</w:t>
        </w:r>
      </w:hyperlink>
      <w:r w:rsidRPr="00DD7BD1">
        <w:rPr>
          <w:rFonts w:ascii="Calibri" w:hAnsi="Calibri" w:cs="Calibri"/>
          <w:w w:val="110"/>
        </w:rPr>
        <w:t xml:space="preserve"> requires employers to “adequately” respond to VEC requests for information regarding unemployment benefits within 10 calendar days of delivery. A response is “adequate” if it provides sufficient and accurate information for the VEC to </w:t>
      </w:r>
      <w:proofErr w:type="gramStart"/>
      <w:r w:rsidRPr="00DD7BD1">
        <w:rPr>
          <w:rFonts w:ascii="Calibri" w:hAnsi="Calibri" w:cs="Calibri"/>
          <w:w w:val="110"/>
        </w:rPr>
        <w:t>make a decision</w:t>
      </w:r>
      <w:proofErr w:type="gramEnd"/>
      <w:r w:rsidRPr="00DD7BD1">
        <w:rPr>
          <w:rFonts w:ascii="Calibri" w:hAnsi="Calibri" w:cs="Calibri"/>
          <w:w w:val="110"/>
        </w:rPr>
        <w:t xml:space="preserve"> on a claim for benefits, such as whether the employee was fired for cause. </w:t>
      </w:r>
    </w:p>
    <w:p w14:paraId="73AE3A8C" w14:textId="77777777" w:rsidR="00C4571D" w:rsidRPr="00DD7BD1" w:rsidRDefault="00C4571D" w:rsidP="00C4571D">
      <w:pPr>
        <w:spacing w:after="0" w:line="240" w:lineRule="auto"/>
        <w:jc w:val="both"/>
        <w:rPr>
          <w:rFonts w:ascii="Calibri" w:hAnsi="Calibri" w:cs="Calibri"/>
          <w:w w:val="110"/>
        </w:rPr>
      </w:pPr>
    </w:p>
    <w:p w14:paraId="44D60BAA" w14:textId="0BDB35DE"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 VEC employs a more severe three-tiered system:</w:t>
      </w:r>
    </w:p>
    <w:p w14:paraId="628A4C00"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First failure</w:t>
      </w:r>
      <w:r w:rsidRPr="00DD7BD1">
        <w:rPr>
          <w:rFonts w:ascii="Calibri" w:hAnsi="Calibri" w:cs="Calibri"/>
          <w:w w:val="110"/>
        </w:rPr>
        <w:t>: the employer receives a warning letter</w:t>
      </w:r>
    </w:p>
    <w:p w14:paraId="6E9294A2"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Second failure</w:t>
      </w:r>
      <w:r w:rsidRPr="00DD7BD1">
        <w:rPr>
          <w:rFonts w:ascii="Calibri" w:hAnsi="Calibri" w:cs="Calibri"/>
          <w:w w:val="110"/>
        </w:rPr>
        <w:t xml:space="preserve">: the employer </w:t>
      </w:r>
      <w:proofErr w:type="gramStart"/>
      <w:r w:rsidRPr="00DD7BD1">
        <w:rPr>
          <w:rFonts w:ascii="Calibri" w:hAnsi="Calibri" w:cs="Calibri"/>
          <w:w w:val="110"/>
        </w:rPr>
        <w:t>is</w:t>
      </w:r>
      <w:proofErr w:type="gramEnd"/>
      <w:r w:rsidRPr="00DD7BD1">
        <w:rPr>
          <w:rFonts w:ascii="Calibri" w:hAnsi="Calibri" w:cs="Calibri"/>
          <w:w w:val="110"/>
        </w:rPr>
        <w:t xml:space="preserve"> assessed an increased civil penalty of </w:t>
      </w:r>
      <w:r w:rsidRPr="00DD7BD1">
        <w:rPr>
          <w:rFonts w:ascii="Calibri" w:hAnsi="Calibri" w:cs="Calibri"/>
          <w:b/>
          <w:bCs/>
          <w:w w:val="110"/>
        </w:rPr>
        <w:t>$100</w:t>
      </w:r>
    </w:p>
    <w:p w14:paraId="7147CED1" w14:textId="00D6B802"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Third (or additional) failure</w:t>
      </w:r>
      <w:r w:rsidRPr="00DD7BD1">
        <w:rPr>
          <w:rFonts w:ascii="Calibri" w:hAnsi="Calibri" w:cs="Calibri"/>
          <w:w w:val="110"/>
        </w:rPr>
        <w:t>: the employer </w:t>
      </w:r>
      <w:r w:rsidRPr="00DD7BD1">
        <w:rPr>
          <w:rFonts w:ascii="Calibri" w:hAnsi="Calibri" w:cs="Calibri"/>
          <w:b/>
          <w:bCs/>
          <w:w w:val="110"/>
        </w:rPr>
        <w:t>loses its appeal rights</w:t>
      </w:r>
      <w:r w:rsidRPr="00DD7BD1">
        <w:rPr>
          <w:rFonts w:ascii="Calibri" w:hAnsi="Calibri" w:cs="Calibri"/>
          <w:w w:val="110"/>
        </w:rPr>
        <w:t> to the decision </w:t>
      </w:r>
      <w:r w:rsidRPr="00DD7BD1">
        <w:rPr>
          <w:rFonts w:ascii="Calibri" w:hAnsi="Calibri" w:cs="Calibri"/>
          <w:b/>
          <w:bCs/>
          <w:w w:val="110"/>
        </w:rPr>
        <w:t>and</w:t>
      </w:r>
      <w:r w:rsidRPr="00DD7BD1">
        <w:rPr>
          <w:rFonts w:ascii="Calibri" w:hAnsi="Calibri" w:cs="Calibri"/>
          <w:w w:val="110"/>
        </w:rPr>
        <w:t> will not be credited for any overpayment resulting from the decision’</w:t>
      </w:r>
    </w:p>
    <w:p w14:paraId="3B57FF5B" w14:textId="77777777" w:rsidR="00C4571D" w:rsidRPr="00DD7BD1" w:rsidRDefault="00C4571D" w:rsidP="00C4571D">
      <w:pPr>
        <w:spacing w:after="0" w:line="240" w:lineRule="auto"/>
        <w:jc w:val="both"/>
        <w:rPr>
          <w:rFonts w:ascii="Calibri" w:hAnsi="Calibri" w:cs="Calibri"/>
          <w:w w:val="110"/>
        </w:rPr>
      </w:pPr>
    </w:p>
    <w:p w14:paraId="343032C6" w14:textId="7E0906D4"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Pr="00DD7BD1" w:rsidRDefault="00C4571D" w:rsidP="00C4571D">
      <w:pPr>
        <w:spacing w:after="0" w:line="240" w:lineRule="auto"/>
        <w:jc w:val="both"/>
        <w:rPr>
          <w:rFonts w:ascii="Calibri" w:hAnsi="Calibri" w:cs="Calibri"/>
          <w:w w:val="110"/>
        </w:rPr>
      </w:pPr>
      <w:r w:rsidRPr="00DD7BD1">
        <w:rPr>
          <w:rFonts w:ascii="Calibri" w:hAnsi="Calibri" w:cs="Calibri"/>
          <w:b/>
          <w:bCs/>
          <w:w w:val="110"/>
          <w:highlight w:val="lightGray"/>
        </w:rPr>
        <w:t>Employer Takeaway:</w:t>
      </w:r>
      <w:r w:rsidRPr="00DD7BD1">
        <w:rPr>
          <w:rFonts w:ascii="Calibri" w:hAnsi="Calibri" w:cs="Calibri"/>
          <w:w w:val="110"/>
        </w:rPr>
        <w:t xml:space="preserve"> Employers should be mindful and provide timely responses to the VEC regarding unemployment claims.  Employers are offered the option to respond either electronically, by fax, or by mail. More information can be found on the </w:t>
      </w:r>
      <w:hyperlink r:id="rId1068" w:tgtFrame="_blank" w:history="1">
        <w:r w:rsidRPr="00DD7BD1">
          <w:rPr>
            <w:rStyle w:val="Hyperlink"/>
            <w:rFonts w:ascii="Calibri" w:hAnsi="Calibri" w:cs="Calibri"/>
            <w:w w:val="110"/>
          </w:rPr>
          <w:t>VEC website</w:t>
        </w:r>
      </w:hyperlink>
      <w:r w:rsidRPr="00DD7BD1">
        <w:rPr>
          <w:rFonts w:ascii="Calibri" w:hAnsi="Calibri" w:cs="Calibri"/>
          <w:w w:val="110"/>
        </w:rPr>
        <w:t>.</w:t>
      </w:r>
    </w:p>
    <w:p w14:paraId="6CEC2307" w14:textId="77777777" w:rsidR="00C4571D" w:rsidRPr="00DD7BD1" w:rsidRDefault="00C4571D" w:rsidP="00C4571D">
      <w:pPr>
        <w:spacing w:after="0" w:line="240" w:lineRule="auto"/>
        <w:jc w:val="center"/>
        <w:rPr>
          <w:rFonts w:ascii="Calibri" w:hAnsi="Calibri" w:cs="Calibri"/>
          <w:b/>
          <w:bCs/>
          <w:shd w:val="clear" w:color="auto" w:fill="FFFFFF"/>
          <w:lang w:val="en"/>
        </w:rPr>
      </w:pPr>
    </w:p>
    <w:p w14:paraId="571841D5" w14:textId="2465B561" w:rsidR="00264A05" w:rsidRPr="00DD7BD1" w:rsidRDefault="00264A05" w:rsidP="00C4571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Healthcare Workplace Violence Incident Reporting Requirements – </w:t>
      </w:r>
      <w:r w:rsidRPr="00DD7BD1">
        <w:rPr>
          <w:rFonts w:ascii="Calibri" w:hAnsi="Calibri" w:cs="Calibri"/>
          <w:b/>
          <w:bCs/>
          <w:color w:val="C00000"/>
          <w:sz w:val="28"/>
          <w:szCs w:val="28"/>
          <w:shd w:val="clear" w:color="auto" w:fill="FFFFFF"/>
          <w:lang w:val="en"/>
        </w:rPr>
        <w:t>Eff July 1, 2025</w:t>
      </w:r>
    </w:p>
    <w:p w14:paraId="68ED2478" w14:textId="2961FBA5" w:rsidR="00264A05" w:rsidRPr="00DD7BD1" w:rsidRDefault="00264A05" w:rsidP="00264A05">
      <w:pPr>
        <w:rPr>
          <w:rFonts w:ascii="Calibri" w:hAnsi="Calibri" w:cs="Calibri"/>
        </w:rPr>
      </w:pPr>
      <w:r w:rsidRPr="00DD7BD1">
        <w:rPr>
          <w:rFonts w:ascii="Calibri" w:hAnsi="Calibri" w:cs="Calibri"/>
        </w:rPr>
        <w:t xml:space="preserve">Starting July 1, 2025, Virginia will require health care employers to implement a workplace violence incident reporting system under </w:t>
      </w:r>
      <w:hyperlink r:id="rId1069" w:history="1">
        <w:r w:rsidRPr="00DD7BD1">
          <w:rPr>
            <w:rStyle w:val="Hyperlink"/>
            <w:rFonts w:ascii="Calibri" w:hAnsi="Calibri" w:cs="Calibri"/>
          </w:rPr>
          <w:t>VA Code § 31.1-127</w:t>
        </w:r>
      </w:hyperlink>
      <w:r w:rsidRPr="00DD7BD1">
        <w:rPr>
          <w:rFonts w:ascii="Calibri" w:hAnsi="Calibri" w:cs="Calibri"/>
        </w:rPr>
        <w:t xml:space="preserve">. These incident reporting systems will document, track and analyze any incident of workplace violence that has been reported. </w:t>
      </w:r>
    </w:p>
    <w:p w14:paraId="608AD5BF" w14:textId="062A8CA3" w:rsidR="00264A05" w:rsidRPr="00DD7BD1" w:rsidRDefault="00264A05" w:rsidP="00264A05">
      <w:pPr>
        <w:rPr>
          <w:rFonts w:ascii="Calibri" w:hAnsi="Calibri" w:cs="Calibri"/>
        </w:rPr>
      </w:pPr>
      <w:r w:rsidRPr="00DD7BD1">
        <w:rPr>
          <w:rFonts w:ascii="Calibri" w:hAnsi="Calibri" w:cs="Calibri"/>
        </w:rPr>
        <w:t xml:space="preserve">The law was enacted to analyze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DD7BD1" w:rsidRDefault="00264A05">
      <w:pPr>
        <w:pStyle w:val="ListParagraph"/>
        <w:numPr>
          <w:ilvl w:val="1"/>
          <w:numId w:val="182"/>
        </w:numPr>
        <w:spacing w:after="0" w:line="240" w:lineRule="auto"/>
        <w:ind w:left="630"/>
        <w:rPr>
          <w:rFonts w:ascii="Calibri" w:hAnsi="Calibri" w:cs="Calibri"/>
        </w:rPr>
      </w:pPr>
      <w:r w:rsidRPr="00DD7BD1">
        <w:rPr>
          <w:rFonts w:ascii="Calibri" w:hAnsi="Calibri" w:cs="Calibri"/>
        </w:rPr>
        <w:t xml:space="preserve">Employers must have their workplace violence reporting systems in effect by July 1, 2025.  </w:t>
      </w:r>
    </w:p>
    <w:p w14:paraId="59222BF2" w14:textId="77777777" w:rsidR="00264A05" w:rsidRPr="00DD7BD1" w:rsidRDefault="00264A05">
      <w:pPr>
        <w:pStyle w:val="ListParagraph"/>
        <w:numPr>
          <w:ilvl w:val="1"/>
          <w:numId w:val="182"/>
        </w:numPr>
        <w:spacing w:after="0" w:line="240" w:lineRule="auto"/>
        <w:ind w:left="630"/>
        <w:rPr>
          <w:rFonts w:ascii="Calibri" w:hAnsi="Calibri" w:cs="Calibri"/>
          <w:b/>
          <w:bCs/>
        </w:rPr>
      </w:pPr>
      <w:r w:rsidRPr="00DD7BD1">
        <w:rPr>
          <w:rFonts w:ascii="Calibri" w:hAnsi="Calibri" w:cs="Calibri"/>
        </w:rPr>
        <w:t xml:space="preserve">Hospitals must start reporting to the Department of Health annually the number of incidents of workplace violence voluntarily reported by an employee by </w:t>
      </w:r>
      <w:r w:rsidRPr="00DD7BD1">
        <w:rPr>
          <w:rFonts w:ascii="Calibri" w:hAnsi="Calibri" w:cs="Calibri"/>
          <w:color w:val="C00000"/>
        </w:rPr>
        <w:t>July 1, 202</w:t>
      </w:r>
      <w:r w:rsidRPr="00DD7BD1">
        <w:rPr>
          <w:rFonts w:ascii="Calibri" w:hAnsi="Calibri" w:cs="Calibri"/>
          <w:color w:val="C00000"/>
          <w:u w:val="single"/>
        </w:rPr>
        <w:t>6</w:t>
      </w:r>
    </w:p>
    <w:p w14:paraId="0EFCD6FB" w14:textId="77777777" w:rsidR="00264A05" w:rsidRPr="00DD7BD1" w:rsidRDefault="00264A05" w:rsidP="00264A05">
      <w:pPr>
        <w:rPr>
          <w:rFonts w:ascii="Calibri" w:hAnsi="Calibri" w:cs="Calibri"/>
          <w:b/>
          <w:bCs/>
          <w:color w:val="2E74B5" w:themeColor="accent5" w:themeShade="BF"/>
          <w:sz w:val="16"/>
          <w:szCs w:val="16"/>
          <w:shd w:val="clear" w:color="auto" w:fill="FFFFFF"/>
          <w:lang w:val="en"/>
        </w:rPr>
      </w:pPr>
    </w:p>
    <w:p w14:paraId="0EE30325" w14:textId="28C0C3F6" w:rsidR="00264A05" w:rsidRPr="00DD7BD1" w:rsidRDefault="00264A05" w:rsidP="00264A05">
      <w:pPr>
        <w:rPr>
          <w:rFonts w:ascii="Calibri" w:hAnsi="Calibri" w:cs="Calibri"/>
        </w:rPr>
      </w:pPr>
      <w:r w:rsidRPr="00DD7BD1">
        <w:rPr>
          <w:rFonts w:ascii="Calibri" w:hAnsi="Calibri" w:cs="Calibri"/>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DD7BD1" w:rsidRDefault="00264A05" w:rsidP="00264A05">
      <w:pPr>
        <w:rPr>
          <w:rFonts w:ascii="Calibri" w:hAnsi="Calibri" w:cs="Calibri"/>
        </w:rPr>
      </w:pPr>
      <w:r w:rsidRPr="00DD7BD1">
        <w:rPr>
          <w:rFonts w:ascii="Calibri" w:hAnsi="Calibri" w:cs="Calibri"/>
          <w:b/>
          <w:bCs/>
          <w:highlight w:val="lightGray"/>
        </w:rPr>
        <w:t>Next Steps:</w:t>
      </w:r>
      <w:r w:rsidRPr="00DD7BD1">
        <w:rPr>
          <w:rFonts w:ascii="Calibri" w:hAnsi="Calibri" w:cs="Calibri"/>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DD7BD1" w:rsidRDefault="004B7569" w:rsidP="004B7569">
      <w:pPr>
        <w:shd w:val="clear" w:color="auto" w:fill="FFFFFF"/>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 xml:space="preserve">New Notice Required for Workers’ Compensation Claim Denials – </w:t>
      </w:r>
      <w:r w:rsidRPr="00DD7BD1">
        <w:rPr>
          <w:rFonts w:ascii="Calibri" w:hAnsi="Calibri" w:cs="Calibri"/>
          <w:b/>
          <w:bCs/>
          <w:color w:val="C00000"/>
          <w:sz w:val="28"/>
          <w:szCs w:val="28"/>
        </w:rPr>
        <w:t>July 1</w:t>
      </w:r>
    </w:p>
    <w:p w14:paraId="34A4CF2C" w14:textId="77777777" w:rsidR="004B7569" w:rsidRPr="00DD7BD1" w:rsidRDefault="004B7569" w:rsidP="004B7569">
      <w:pPr>
        <w:pStyle w:val="BodyText"/>
        <w:spacing w:after="60"/>
        <w:rPr>
          <w:rFonts w:cs="Calibri"/>
          <w:color w:val="auto"/>
          <w:szCs w:val="22"/>
        </w:rPr>
      </w:pPr>
      <w:r w:rsidRPr="00DD7BD1">
        <w:rPr>
          <w:rFonts w:cs="Calibri"/>
          <w:color w:val="auto"/>
          <w:szCs w:val="22"/>
        </w:rPr>
        <w:t xml:space="preserve">Under an </w:t>
      </w:r>
      <w:hyperlink r:id="rId1070" w:history="1">
        <w:r w:rsidRPr="00DD7BD1">
          <w:rPr>
            <w:rStyle w:val="Hyperlink"/>
            <w:rFonts w:cs="Calibri"/>
            <w:szCs w:val="22"/>
          </w:rPr>
          <w:t>amendment</w:t>
        </w:r>
      </w:hyperlink>
      <w:r w:rsidRPr="00DD7BD1">
        <w:rPr>
          <w:rFonts w:cs="Calibri"/>
          <w:color w:val="auto"/>
          <w:szCs w:val="22"/>
        </w:rPr>
        <w:t xml:space="preserve"> that goes into effect on </w:t>
      </w:r>
      <w:r w:rsidRPr="00DD7BD1">
        <w:rPr>
          <w:rFonts w:cs="Calibri"/>
          <w:b/>
          <w:bCs/>
          <w:color w:val="C00000"/>
          <w:szCs w:val="22"/>
        </w:rPr>
        <w:t>July 1, 2024</w:t>
      </w:r>
      <w:r w:rsidRPr="00DD7BD1">
        <w:rPr>
          <w:rFonts w:cs="Calibri"/>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Covered Employers</w:t>
      </w:r>
    </w:p>
    <w:p w14:paraId="43A14DD6"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amendment applies to all employers that are subject to the </w:t>
      </w:r>
      <w:hyperlink r:id="rId1071" w:history="1">
        <w:r w:rsidRPr="00DD7BD1">
          <w:rPr>
            <w:rStyle w:val="Hyperlink"/>
            <w:rFonts w:cs="Calibri"/>
            <w:szCs w:val="22"/>
          </w:rPr>
          <w:t>Virginia Workers’ Compensation Act</w:t>
        </w:r>
      </w:hyperlink>
      <w:r w:rsidRPr="00DD7BD1">
        <w:rPr>
          <w:rFonts w:cs="Calibri"/>
          <w:szCs w:val="22"/>
        </w:rPr>
        <w:t xml:space="preserve">. </w:t>
      </w:r>
      <w:r w:rsidRPr="00DD7BD1">
        <w:rPr>
          <w:rFonts w:cs="Calibri"/>
          <w:color w:val="auto"/>
          <w:szCs w:val="22"/>
        </w:rPr>
        <w:t xml:space="preserve">These include any employer that regularly employs </w:t>
      </w:r>
      <w:r w:rsidRPr="00DD7BD1">
        <w:rPr>
          <w:rFonts w:cs="Calibri"/>
          <w:b/>
          <w:bCs/>
          <w:color w:val="auto"/>
          <w:szCs w:val="22"/>
        </w:rPr>
        <w:t>three or more employees</w:t>
      </w:r>
      <w:r w:rsidRPr="00DD7BD1">
        <w:rPr>
          <w:rFonts w:cs="Calibri"/>
          <w:color w:val="auto"/>
          <w:szCs w:val="22"/>
        </w:rPr>
        <w:t>, all underground coal mine operators regardless of the number of employees, and all “</w:t>
      </w:r>
      <w:hyperlink r:id="rId1072" w:history="1">
        <w:r w:rsidRPr="00DD7BD1">
          <w:rPr>
            <w:rStyle w:val="Hyperlink"/>
            <w:rFonts w:cs="Calibri"/>
            <w:szCs w:val="22"/>
          </w:rPr>
          <w:t>statutory employers</w:t>
        </w:r>
      </w:hyperlink>
      <w:r w:rsidRPr="00DD7BD1">
        <w:rPr>
          <w:rFonts w:cs="Calibri"/>
          <w:szCs w:val="22"/>
        </w:rPr>
        <w:t>.”</w:t>
      </w:r>
    </w:p>
    <w:p w14:paraId="1E33F6A4"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 xml:space="preserve">Text of Required Notice </w:t>
      </w:r>
    </w:p>
    <w:p w14:paraId="4A89BAA2" w14:textId="77777777" w:rsidR="004B7569" w:rsidRPr="00DD7BD1" w:rsidRDefault="004B7569" w:rsidP="004B7569">
      <w:pPr>
        <w:pStyle w:val="BodyText"/>
        <w:spacing w:after="60"/>
        <w:ind w:left="540" w:right="360"/>
        <w:rPr>
          <w:rFonts w:cs="Calibri"/>
          <w:color w:val="auto"/>
          <w:szCs w:val="22"/>
        </w:rPr>
      </w:pPr>
      <w:r w:rsidRPr="00DD7BD1">
        <w:rPr>
          <w:rFonts w:cs="Calibri"/>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letter must also include the address, telephone number and website an employee may use to </w:t>
      </w:r>
      <w:hyperlink r:id="rId1073" w:history="1">
        <w:r w:rsidRPr="00DD7BD1">
          <w:rPr>
            <w:rStyle w:val="Hyperlink"/>
            <w:rFonts w:cs="Calibri"/>
            <w:szCs w:val="22"/>
          </w:rPr>
          <w:t>contact the state workers’ compensation commission</w:t>
        </w:r>
      </w:hyperlink>
      <w:r w:rsidRPr="00DD7BD1">
        <w:rPr>
          <w:rFonts w:cs="Calibri"/>
          <w:szCs w:val="22"/>
        </w:rPr>
        <w:t>.</w:t>
      </w:r>
    </w:p>
    <w:p w14:paraId="756B9B60"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Enforcement</w:t>
      </w:r>
    </w:p>
    <w:p w14:paraId="3C349F45" w14:textId="77777777" w:rsidR="004B7569" w:rsidRPr="00DD7BD1" w:rsidRDefault="004B7569" w:rsidP="004B7569">
      <w:pPr>
        <w:pStyle w:val="BodyText"/>
        <w:spacing w:after="60"/>
        <w:rPr>
          <w:rFonts w:cs="Calibri"/>
          <w:color w:val="auto"/>
          <w:szCs w:val="22"/>
        </w:rPr>
      </w:pPr>
      <w:r w:rsidRPr="00DD7BD1">
        <w:rPr>
          <w:rFonts w:cs="Calibri"/>
          <w:color w:val="auto"/>
          <w:szCs w:val="22"/>
        </w:rPr>
        <w:t xml:space="preserve">An employer (or its insurance carrier) that fails to comply with the new notice requirement may be subject to a civil penalty of up to $500 per violation. If a violation is </w:t>
      </w:r>
      <w:proofErr w:type="gramStart"/>
      <w:r w:rsidRPr="00DD7BD1">
        <w:rPr>
          <w:rFonts w:cs="Calibri"/>
          <w:color w:val="auto"/>
          <w:szCs w:val="22"/>
        </w:rPr>
        <w:t>willful</w:t>
      </w:r>
      <w:proofErr w:type="gramEnd"/>
      <w:r w:rsidRPr="00DD7BD1">
        <w:rPr>
          <w:rFonts w:cs="Calibri"/>
          <w:color w:val="auto"/>
          <w:szCs w:val="22"/>
        </w:rPr>
        <w:t>, the penalty may be increased to between $500 and $5,000.</w:t>
      </w:r>
    </w:p>
    <w:p w14:paraId="7551726F" w14:textId="77777777" w:rsidR="00A83553" w:rsidRPr="00DD7BD1" w:rsidRDefault="00A83553" w:rsidP="004B7569">
      <w:pPr>
        <w:shd w:val="clear" w:color="auto" w:fill="FFFFFF"/>
        <w:spacing w:after="0" w:line="240" w:lineRule="auto"/>
        <w:jc w:val="center"/>
        <w:rPr>
          <w:rFonts w:ascii="Calibri" w:hAnsi="Calibri" w:cs="Calibri"/>
          <w:b/>
          <w:bCs/>
          <w:shd w:val="clear" w:color="auto" w:fill="FFFFFF"/>
          <w:lang w:val="en"/>
        </w:rPr>
      </w:pPr>
    </w:p>
    <w:p w14:paraId="2B818AE6" w14:textId="3FFA02FD" w:rsidR="004B7569" w:rsidRPr="00DD7BD1" w:rsidRDefault="004B7569" w:rsidP="004B7569">
      <w:pPr>
        <w:shd w:val="clear" w:color="auto" w:fill="FFFFFF"/>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Captive Audience Meetings Limited &amp; Race Protections Expanded – </w:t>
      </w:r>
      <w:r w:rsidRPr="00DD7BD1">
        <w:rPr>
          <w:rFonts w:ascii="Calibri" w:hAnsi="Calibri" w:cs="Calibri"/>
          <w:b/>
          <w:bCs/>
          <w:color w:val="C00000"/>
          <w:sz w:val="28"/>
          <w:szCs w:val="28"/>
          <w:shd w:val="clear" w:color="auto" w:fill="FFFFFF"/>
          <w:lang w:val="en"/>
        </w:rPr>
        <w:t>July 1</w:t>
      </w:r>
    </w:p>
    <w:p w14:paraId="23BA538D"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LIMITS ON CAPTIVE AUDIENCE MEETINGS</w:t>
      </w:r>
      <w:r w:rsidRPr="00DD7BD1">
        <w:rPr>
          <w:rFonts w:ascii="Calibri" w:eastAsia="Times New Roman" w:hAnsi="Calibri" w:cs="Calibri"/>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law defines matters as </w:t>
      </w:r>
      <w:r w:rsidRPr="00DD7BD1">
        <w:rPr>
          <w:rFonts w:ascii="Calibri" w:eastAsia="Times New Roman" w:hAnsi="Calibri" w:cs="Calibri"/>
          <w:i/>
          <w:iCs/>
        </w:rPr>
        <w:t>religious </w:t>
      </w:r>
      <w:r w:rsidRPr="00DD7BD1">
        <w:rPr>
          <w:rFonts w:ascii="Calibri" w:eastAsia="Times New Roman" w:hAnsi="Calibri" w:cs="Calibri"/>
        </w:rPr>
        <w:t>if they relate to religious affiliation and practice and the decision to join or support any religious organization or institution. Matters are considered </w:t>
      </w:r>
      <w:r w:rsidRPr="00DD7BD1">
        <w:rPr>
          <w:rFonts w:ascii="Calibri" w:eastAsia="Times New Roman" w:hAnsi="Calibri" w:cs="Calibri"/>
          <w:i/>
          <w:iCs/>
        </w:rPr>
        <w:t>political</w:t>
      </w:r>
      <w:r w:rsidRPr="00DD7BD1">
        <w:rPr>
          <w:rFonts w:ascii="Calibri" w:eastAsia="Times New Roman" w:hAnsi="Calibri" w:cs="Calibri"/>
        </w:rPr>
        <w:t> if they relate to any of the following:</w:t>
      </w:r>
    </w:p>
    <w:p w14:paraId="08DFECA5"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affiliation</w:t>
      </w:r>
    </w:p>
    <w:p w14:paraId="11863E6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Elections for political office</w:t>
      </w:r>
    </w:p>
    <w:p w14:paraId="66149B54"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parties</w:t>
      </w:r>
    </w:p>
    <w:p w14:paraId="3F97E24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Legislative proposals</w:t>
      </w:r>
    </w:p>
    <w:p w14:paraId="40D05B77"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The decision to join or support any political party or political, civic, community, fraternal, or labor organization</w:t>
      </w:r>
    </w:p>
    <w:p w14:paraId="1451BB60"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lastRenderedPageBreak/>
        <w:t>Employer Take-away</w:t>
      </w:r>
      <w:r w:rsidRPr="00DD7BD1">
        <w:rPr>
          <w:rFonts w:ascii="Calibri" w:eastAsia="Times New Roman" w:hAnsi="Calibri" w:cs="Calibri"/>
          <w:b/>
          <w:bCs/>
        </w:rPr>
        <w:t xml:space="preserve">: </w:t>
      </w:r>
      <w:r w:rsidRPr="00DD7BD1">
        <w:rPr>
          <w:rFonts w:ascii="Calibri" w:eastAsia="Times New Roman" w:hAnsi="Calibri" w:cs="Calibri"/>
        </w:rPr>
        <w:t>Allow employees to opt out of any meeting or communication covered by this law and make sure supervisors understand the law. </w:t>
      </w:r>
    </w:p>
    <w:p w14:paraId="4ADD2EF1"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225EBAA7" w14:textId="4E0E98BC" w:rsidR="004B7569" w:rsidRPr="00DD7BD1" w:rsidRDefault="00696F10" w:rsidP="00696F10">
      <w:pPr>
        <w:shd w:val="clear" w:color="auto" w:fill="FFFFFF"/>
        <w:spacing w:after="0" w:line="240" w:lineRule="auto"/>
        <w:ind w:right="-90"/>
        <w:rPr>
          <w:rFonts w:ascii="Calibri" w:eastAsia="Times New Roman" w:hAnsi="Calibri" w:cs="Calibri"/>
        </w:rPr>
      </w:pPr>
      <w:r w:rsidRPr="00DD7BD1">
        <w:rPr>
          <w:rFonts w:ascii="Calibri" w:eastAsia="Times New Roman" w:hAnsi="Calibri" w:cs="Calibri"/>
          <w:b/>
          <w:bCs/>
          <w:sz w:val="28"/>
          <w:szCs w:val="28"/>
        </w:rPr>
        <w:t xml:space="preserve">State </w:t>
      </w:r>
      <w:r w:rsidR="004B7569" w:rsidRPr="00DD7BD1">
        <w:rPr>
          <w:rFonts w:ascii="Calibri" w:eastAsia="Times New Roman" w:hAnsi="Calibri" w:cs="Calibri"/>
          <w:b/>
          <w:bCs/>
          <w:sz w:val="28"/>
          <w:szCs w:val="28"/>
        </w:rPr>
        <w:t>E</w:t>
      </w:r>
      <w:r w:rsidRPr="00DD7BD1">
        <w:rPr>
          <w:rFonts w:ascii="Calibri" w:eastAsia="Times New Roman" w:hAnsi="Calibri" w:cs="Calibri"/>
          <w:b/>
          <w:bCs/>
          <w:sz w:val="28"/>
          <w:szCs w:val="28"/>
        </w:rPr>
        <w:t>xpands</w:t>
      </w:r>
      <w:r w:rsidR="004B7569" w:rsidRPr="00DD7BD1">
        <w:rPr>
          <w:rFonts w:ascii="Calibri" w:eastAsia="Times New Roman" w:hAnsi="Calibri" w:cs="Calibri"/>
          <w:b/>
          <w:bCs/>
          <w:sz w:val="28"/>
          <w:szCs w:val="28"/>
        </w:rPr>
        <w:t xml:space="preserve"> P</w:t>
      </w:r>
      <w:r w:rsidRPr="00DD7BD1">
        <w:rPr>
          <w:rFonts w:ascii="Calibri" w:eastAsia="Times New Roman" w:hAnsi="Calibri" w:cs="Calibri"/>
          <w:b/>
          <w:bCs/>
          <w:sz w:val="28"/>
          <w:szCs w:val="28"/>
        </w:rPr>
        <w:t>rotections</w:t>
      </w:r>
      <w:r w:rsidR="004B7569" w:rsidRPr="00DD7BD1">
        <w:rPr>
          <w:rFonts w:ascii="Calibri" w:eastAsia="Times New Roman" w:hAnsi="Calibri" w:cs="Calibri"/>
          <w:b/>
          <w:bCs/>
          <w:sz w:val="28"/>
          <w:szCs w:val="28"/>
        </w:rPr>
        <w:t xml:space="preserve"> </w:t>
      </w:r>
      <w:r w:rsidRPr="00DD7BD1">
        <w:rPr>
          <w:rFonts w:ascii="Calibri" w:eastAsia="Times New Roman" w:hAnsi="Calibri" w:cs="Calibri"/>
          <w:b/>
          <w:bCs/>
          <w:sz w:val="28"/>
          <w:szCs w:val="28"/>
        </w:rPr>
        <w:t>for</w:t>
      </w:r>
      <w:r w:rsidR="004B7569" w:rsidRPr="00DD7BD1">
        <w:rPr>
          <w:rFonts w:ascii="Calibri" w:eastAsia="Times New Roman" w:hAnsi="Calibri" w:cs="Calibri"/>
          <w:b/>
          <w:bCs/>
          <w:sz w:val="28"/>
          <w:szCs w:val="28"/>
        </w:rPr>
        <w:t xml:space="preserve"> R</w:t>
      </w:r>
      <w:r w:rsidRPr="00DD7BD1">
        <w:rPr>
          <w:rFonts w:ascii="Calibri" w:eastAsia="Times New Roman" w:hAnsi="Calibri" w:cs="Calibri"/>
          <w:b/>
          <w:bCs/>
          <w:sz w:val="28"/>
          <w:szCs w:val="28"/>
        </w:rPr>
        <w:t>ace</w:t>
      </w:r>
      <w:r w:rsidR="004B7569" w:rsidRPr="00DD7BD1">
        <w:rPr>
          <w:rFonts w:ascii="Calibri" w:eastAsia="Times New Roman" w:hAnsi="Calibri" w:cs="Calibri"/>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definition creates a very broad set of protections for employees and has the potential for wide application, such as protecting dialect and styles of dress.</w:t>
      </w:r>
    </w:p>
    <w:p w14:paraId="4878BB09"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 xml:space="preserve">If you have dress or grooming policies that regulate hairstyles or head coverings, consider whether they’re </w:t>
      </w:r>
      <w:proofErr w:type="gramStart"/>
      <w:r w:rsidRPr="00DD7BD1">
        <w:rPr>
          <w:rFonts w:ascii="Calibri" w:eastAsia="Times New Roman" w:hAnsi="Calibri" w:cs="Calibri"/>
        </w:rPr>
        <w:t>absolutely necessary</w:t>
      </w:r>
      <w:proofErr w:type="gramEnd"/>
      <w:r w:rsidRPr="00DD7BD1">
        <w:rPr>
          <w:rFonts w:ascii="Calibri" w:eastAsia="Times New Roman" w:hAnsi="Calibri" w:cs="Calibri"/>
        </w:rPr>
        <w:t xml:space="preserve"> for your organization. If you believe that they are, consider consulting with an attorney to ensure they don’t run afoul of this law.  Additionally, 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Lastly, consider updating your Equal Employment Opportunity (EEO) policy to make it clear that race includes traits associated with or perceived to be associated with race.  ETC’s EEO Policy does include the reference “</w:t>
      </w:r>
      <w:r w:rsidRPr="00DD7BD1">
        <w:rPr>
          <w:rFonts w:ascii="Calibri" w:hAnsi="Calibri" w:cs="Calibri"/>
          <w:color w:val="000000"/>
        </w:rPr>
        <w:t xml:space="preserve">actual or perceived race, and traits commonly or historically associated with race </w:t>
      </w:r>
      <w:r w:rsidRPr="00DD7BD1">
        <w:rPr>
          <w:rFonts w:ascii="Calibri" w:hAnsi="Calibri" w:cs="Calibri"/>
        </w:rPr>
        <w:t>including but not limited to hair texture and hair styles such as afros, braids, twists, knots, locks and high-top fades.”</w:t>
      </w:r>
    </w:p>
    <w:p w14:paraId="56FFCF1D" w14:textId="77777777" w:rsidR="004B7569" w:rsidRPr="00DD7BD1" w:rsidRDefault="004B7569" w:rsidP="009040C5">
      <w:pPr>
        <w:pStyle w:val="MainTitle"/>
        <w:spacing w:after="0" w:line="240" w:lineRule="auto"/>
        <w:jc w:val="center"/>
        <w:rPr>
          <w:rFonts w:ascii="Calibri" w:eastAsia="Times New Roman" w:hAnsi="Calibri" w:cs="Calibri"/>
          <w:bCs/>
          <w:color w:val="231F20"/>
          <w:kern w:val="36"/>
          <w:sz w:val="20"/>
          <w:szCs w:val="20"/>
        </w:rPr>
      </w:pPr>
    </w:p>
    <w:p w14:paraId="610E1204" w14:textId="7E424199" w:rsidR="009040C5" w:rsidRPr="00DD7BD1" w:rsidRDefault="009040C5" w:rsidP="00264A05">
      <w:pPr>
        <w:pStyle w:val="MainTitle"/>
        <w:spacing w:after="0" w:line="240" w:lineRule="auto"/>
        <w:jc w:val="center"/>
        <w:rPr>
          <w:rFonts w:ascii="Calibri" w:hAnsi="Calibri" w:cs="Calibri"/>
        </w:rPr>
      </w:pPr>
      <w:r w:rsidRPr="00DD7BD1">
        <w:rPr>
          <w:rFonts w:ascii="Calibri" w:eastAsia="Times New Roman" w:hAnsi="Calibri" w:cs="Calibri"/>
          <w:bCs/>
          <w:color w:val="231F20"/>
          <w:kern w:val="36"/>
          <w:sz w:val="28"/>
          <w:szCs w:val="28"/>
        </w:rPr>
        <w:t xml:space="preserve">Eligible Employers Must Register for </w:t>
      </w:r>
      <w:proofErr w:type="spellStart"/>
      <w:r w:rsidRPr="00DD7BD1">
        <w:rPr>
          <w:rFonts w:ascii="Calibri" w:eastAsia="Times New Roman" w:hAnsi="Calibri" w:cs="Calibri"/>
          <w:bCs/>
          <w:color w:val="231F20"/>
          <w:kern w:val="36"/>
          <w:sz w:val="28"/>
          <w:szCs w:val="28"/>
        </w:rPr>
        <w:t>RetirePath</w:t>
      </w:r>
      <w:proofErr w:type="spellEnd"/>
      <w:r w:rsidRPr="00DD7BD1">
        <w:rPr>
          <w:rFonts w:ascii="Calibri" w:eastAsia="Times New Roman" w:hAnsi="Calibri" w:cs="Calibri"/>
          <w:bCs/>
          <w:color w:val="231F20"/>
          <w:kern w:val="36"/>
          <w:sz w:val="28"/>
          <w:szCs w:val="28"/>
        </w:rPr>
        <w:t xml:space="preserve"> by Feb. 15, 2024</w:t>
      </w:r>
    </w:p>
    <w:p w14:paraId="73D5FB44"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Employers that are required to participate in Virginia’s state-facilitated individual retirement account (IRA) savings program—known as </w:t>
      </w:r>
      <w:hyperlink r:id="rId1074" w:history="1">
        <w:proofErr w:type="spellStart"/>
        <w:r w:rsidRPr="00DD7BD1">
          <w:rPr>
            <w:rStyle w:val="Hyperlink"/>
            <w:rFonts w:cs="Calibri"/>
            <w:szCs w:val="22"/>
          </w:rPr>
          <w:t>RetirePath</w:t>
        </w:r>
        <w:proofErr w:type="spellEnd"/>
        <w:r w:rsidRPr="00DD7BD1">
          <w:rPr>
            <w:rStyle w:val="Hyperlink"/>
            <w:rFonts w:cs="Calibri"/>
            <w:szCs w:val="22"/>
          </w:rPr>
          <w:t xml:space="preserve"> Virginia</w:t>
        </w:r>
      </w:hyperlink>
      <w:r w:rsidRPr="00DD7BD1">
        <w:rPr>
          <w:rFonts w:cs="Calibri"/>
          <w:szCs w:val="22"/>
        </w:rPr>
        <w:t>—</w:t>
      </w:r>
      <w:r w:rsidRPr="00DD7BD1">
        <w:rPr>
          <w:rFonts w:cs="Calibri"/>
          <w:color w:val="auto"/>
          <w:szCs w:val="22"/>
        </w:rPr>
        <w:t xml:space="preserve">must register or certify an exemption for the program before </w:t>
      </w:r>
      <w:r w:rsidRPr="00DD7BD1">
        <w:rPr>
          <w:rFonts w:cs="Calibri"/>
          <w:b/>
          <w:bCs/>
          <w:color w:val="auto"/>
          <w:szCs w:val="22"/>
        </w:rPr>
        <w:t>Feb. 15, 2024</w:t>
      </w:r>
      <w:r w:rsidRPr="00DD7BD1">
        <w:rPr>
          <w:rFonts w:cs="Calibri"/>
          <w:color w:val="auto"/>
          <w:szCs w:val="22"/>
        </w:rPr>
        <w:t xml:space="preserve">. Businesses that fail to act before the registration deadline may face an annual penalty of up to </w:t>
      </w:r>
      <w:r w:rsidRPr="00DD7BD1">
        <w:rPr>
          <w:rFonts w:cs="Calibri"/>
          <w:b/>
          <w:bCs/>
          <w:color w:val="auto"/>
          <w:szCs w:val="22"/>
        </w:rPr>
        <w:t>$200</w:t>
      </w:r>
      <w:r w:rsidRPr="00DD7BD1">
        <w:rPr>
          <w:rFonts w:cs="Calibri"/>
          <w:color w:val="auto"/>
          <w:szCs w:val="22"/>
        </w:rPr>
        <w:t xml:space="preserve"> per eligible employee.  </w:t>
      </w:r>
    </w:p>
    <w:p w14:paraId="73155B68" w14:textId="77777777" w:rsidR="009040C5" w:rsidRPr="00DD7BD1" w:rsidRDefault="009040C5" w:rsidP="009040C5">
      <w:pPr>
        <w:pStyle w:val="SubHeader"/>
        <w:spacing w:line="240" w:lineRule="auto"/>
        <w:rPr>
          <w:rFonts w:cs="Calibri"/>
          <w:color w:val="auto"/>
          <w:sz w:val="12"/>
          <w:szCs w:val="12"/>
        </w:rPr>
      </w:pPr>
    </w:p>
    <w:p w14:paraId="1560A0CA"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Covered Employers</w:t>
      </w:r>
    </w:p>
    <w:p w14:paraId="37053089" w14:textId="77777777" w:rsidR="009040C5" w:rsidRPr="00DD7BD1" w:rsidRDefault="009040C5" w:rsidP="009040C5">
      <w:pPr>
        <w:pStyle w:val="BodyText"/>
        <w:spacing w:after="0" w:line="240" w:lineRule="auto"/>
        <w:rPr>
          <w:rFonts w:cs="Calibri"/>
          <w:color w:val="auto"/>
          <w:szCs w:val="22"/>
        </w:rPr>
      </w:pPr>
      <w:r w:rsidRPr="00DD7BD1">
        <w:rPr>
          <w:rFonts w:cs="Calibri"/>
          <w:color w:val="auto"/>
          <w:szCs w:val="22"/>
        </w:rPr>
        <w:t xml:space="preserve">Employers in Virginia must participate in </w:t>
      </w:r>
      <w:proofErr w:type="spellStart"/>
      <w:r w:rsidRPr="00DD7BD1">
        <w:rPr>
          <w:rFonts w:cs="Calibri"/>
          <w:color w:val="auto"/>
          <w:szCs w:val="22"/>
        </w:rPr>
        <w:t>RetirePath</w:t>
      </w:r>
      <w:proofErr w:type="spellEnd"/>
      <w:r w:rsidRPr="00DD7BD1">
        <w:rPr>
          <w:rFonts w:cs="Calibri"/>
          <w:color w:val="auto"/>
          <w:szCs w:val="22"/>
        </w:rPr>
        <w:t xml:space="preserve"> if they:</w:t>
      </w:r>
    </w:p>
    <w:p w14:paraId="5D23D8BA"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Are a nongovernmental business, industry, trade, profession or other enterprise—whether conducted on a </w:t>
      </w:r>
      <w:r w:rsidRPr="00DD7BD1">
        <w:rPr>
          <w:rFonts w:cs="Calibri"/>
          <w:b/>
          <w:bCs/>
          <w:color w:val="auto"/>
          <w:szCs w:val="22"/>
        </w:rPr>
        <w:t>for-profit or nonprofit basis</w:t>
      </w:r>
      <w:r w:rsidRPr="00DD7BD1">
        <w:rPr>
          <w:rFonts w:cs="Calibri"/>
          <w:color w:val="auto"/>
          <w:szCs w:val="22"/>
        </w:rPr>
        <w:t>;</w:t>
      </w:r>
    </w:p>
    <w:p w14:paraId="433E330F"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w:t>
      </w:r>
      <w:r w:rsidRPr="00DD7BD1">
        <w:rPr>
          <w:rFonts w:cs="Calibri"/>
          <w:b/>
          <w:bCs/>
          <w:color w:val="auto"/>
          <w:szCs w:val="22"/>
        </w:rPr>
        <w:t>25 or more</w:t>
      </w:r>
      <w:r w:rsidRPr="00DD7BD1">
        <w:rPr>
          <w:rFonts w:cs="Calibri"/>
          <w:color w:val="auto"/>
          <w:szCs w:val="22"/>
        </w:rPr>
        <w:t xml:space="preserve"> eligible employees (i.e., those who are employed at least 30 hours per week);</w:t>
      </w:r>
    </w:p>
    <w:p w14:paraId="443997F9"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been in operation for </w:t>
      </w:r>
      <w:r w:rsidRPr="00DD7BD1">
        <w:rPr>
          <w:rFonts w:cs="Calibri"/>
          <w:b/>
          <w:bCs/>
          <w:color w:val="auto"/>
          <w:szCs w:val="22"/>
        </w:rPr>
        <w:t>at least two years</w:t>
      </w:r>
      <w:r w:rsidRPr="00DD7BD1">
        <w:rPr>
          <w:rFonts w:cs="Calibri"/>
          <w:color w:val="auto"/>
          <w:szCs w:val="22"/>
        </w:rPr>
        <w:t xml:space="preserve"> prior to the program’s implementation; and</w:t>
      </w:r>
    </w:p>
    <w:p w14:paraId="7087F6E8" w14:textId="77777777" w:rsidR="009040C5" w:rsidRPr="00DD7BD1" w:rsidRDefault="009040C5" w:rsidP="009040C5">
      <w:pPr>
        <w:pStyle w:val="Bullet"/>
        <w:spacing w:line="240" w:lineRule="auto"/>
        <w:rPr>
          <w:rFonts w:cs="Calibri"/>
          <w:color w:val="auto"/>
          <w:szCs w:val="22"/>
        </w:rPr>
      </w:pPr>
      <w:r w:rsidRPr="00DD7BD1">
        <w:rPr>
          <w:rFonts w:cs="Calibri"/>
          <w:b/>
          <w:bCs/>
          <w:color w:val="auto"/>
          <w:szCs w:val="22"/>
        </w:rPr>
        <w:t>Do not offer</w:t>
      </w:r>
      <w:r w:rsidRPr="00DD7BD1">
        <w:rPr>
          <w:rFonts w:cs="Calibri"/>
          <w:color w:val="auto"/>
          <w:szCs w:val="22"/>
        </w:rPr>
        <w:t xml:space="preserve"> a qualified retirement plan to their employees.</w:t>
      </w:r>
    </w:p>
    <w:p w14:paraId="2B181F1D" w14:textId="77777777" w:rsidR="009040C5" w:rsidRPr="00DD7BD1" w:rsidRDefault="009040C5" w:rsidP="009040C5">
      <w:pPr>
        <w:pStyle w:val="Bullet"/>
        <w:numPr>
          <w:ilvl w:val="0"/>
          <w:numId w:val="0"/>
        </w:numPr>
        <w:spacing w:line="240" w:lineRule="auto"/>
        <w:rPr>
          <w:rFonts w:cs="Calibri"/>
          <w:color w:val="auto"/>
          <w:szCs w:val="22"/>
        </w:rPr>
      </w:pPr>
      <w:r w:rsidRPr="00DD7BD1">
        <w:rPr>
          <w:rFonts w:cs="Calibri"/>
          <w:color w:val="auto"/>
          <w:szCs w:val="22"/>
        </w:rPr>
        <w:t xml:space="preserve">Eligible employees are automatically enrolled in </w:t>
      </w:r>
      <w:proofErr w:type="spellStart"/>
      <w:r w:rsidRPr="00DD7BD1">
        <w:rPr>
          <w:rFonts w:cs="Calibri"/>
          <w:color w:val="auto"/>
          <w:szCs w:val="22"/>
        </w:rPr>
        <w:t>RetirePath</w:t>
      </w:r>
      <w:proofErr w:type="spellEnd"/>
      <w:r w:rsidRPr="00DD7BD1">
        <w:rPr>
          <w:rFonts w:cs="Calibri"/>
          <w:color w:val="auto"/>
          <w:szCs w:val="22"/>
        </w:rPr>
        <w:t xml:space="preserve"> unless they elect not to participate.</w:t>
      </w:r>
    </w:p>
    <w:p w14:paraId="576E66B0" w14:textId="77777777" w:rsidR="009040C5" w:rsidRPr="00DD7BD1" w:rsidRDefault="009040C5" w:rsidP="009040C5">
      <w:pPr>
        <w:pStyle w:val="SubHeader"/>
        <w:spacing w:line="240" w:lineRule="auto"/>
        <w:rPr>
          <w:rFonts w:cs="Calibri"/>
          <w:color w:val="auto"/>
          <w:sz w:val="12"/>
          <w:szCs w:val="12"/>
        </w:rPr>
      </w:pPr>
    </w:p>
    <w:p w14:paraId="41664EE5"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Registration Information</w:t>
      </w:r>
    </w:p>
    <w:p w14:paraId="0CED82AF" w14:textId="77777777" w:rsidR="009040C5" w:rsidRPr="00DD7BD1" w:rsidRDefault="009040C5" w:rsidP="009040C5">
      <w:pPr>
        <w:pStyle w:val="BodyText"/>
        <w:spacing w:after="0" w:line="240" w:lineRule="auto"/>
        <w:rPr>
          <w:rFonts w:cs="Calibri"/>
          <w:szCs w:val="22"/>
        </w:rPr>
      </w:pPr>
      <w:proofErr w:type="spellStart"/>
      <w:r w:rsidRPr="00DD7BD1">
        <w:rPr>
          <w:rFonts w:cs="Calibri"/>
          <w:color w:val="auto"/>
          <w:szCs w:val="22"/>
        </w:rPr>
        <w:t>RetirePath</w:t>
      </w:r>
      <w:proofErr w:type="spellEnd"/>
      <w:r w:rsidRPr="00DD7BD1">
        <w:rPr>
          <w:rFonts w:cs="Calibri"/>
          <w:color w:val="auto"/>
          <w:szCs w:val="22"/>
        </w:rPr>
        <w:t xml:space="preserve">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1075" w:history="1">
        <w:r w:rsidRPr="00DD7BD1">
          <w:rPr>
            <w:rStyle w:val="Hyperlink"/>
            <w:rFonts w:cs="Calibri"/>
            <w:szCs w:val="22"/>
          </w:rPr>
          <w:t>request one here</w:t>
        </w:r>
      </w:hyperlink>
      <w:r w:rsidRPr="00DD7BD1">
        <w:rPr>
          <w:rFonts w:cs="Calibri"/>
          <w:szCs w:val="22"/>
        </w:rPr>
        <w:t>.</w:t>
      </w:r>
    </w:p>
    <w:p w14:paraId="0EBB1EBC"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At registration, employers self-certify their eligibility for </w:t>
      </w:r>
      <w:proofErr w:type="spellStart"/>
      <w:r w:rsidRPr="00DD7BD1">
        <w:rPr>
          <w:rFonts w:cs="Calibri"/>
          <w:color w:val="auto"/>
          <w:szCs w:val="22"/>
        </w:rPr>
        <w:t>RetirePath</w:t>
      </w:r>
      <w:proofErr w:type="spellEnd"/>
      <w:r w:rsidRPr="00DD7BD1">
        <w:rPr>
          <w:rFonts w:cs="Calibri"/>
          <w:color w:val="auto"/>
          <w:szCs w:val="22"/>
        </w:rPr>
        <w:t xml:space="preserve">. Employers that already offer a qualified plan or are otherwise exempt can certify an exemption. More details are available </w:t>
      </w:r>
      <w:hyperlink r:id="rId1076" w:history="1">
        <w:r w:rsidRPr="00DD7BD1">
          <w:rPr>
            <w:rStyle w:val="Hyperlink"/>
            <w:rFonts w:cs="Calibri"/>
            <w:szCs w:val="22"/>
          </w:rPr>
          <w:t>here</w:t>
        </w:r>
      </w:hyperlink>
      <w:r w:rsidRPr="00DD7BD1">
        <w:rPr>
          <w:rFonts w:cs="Calibri"/>
          <w:szCs w:val="22"/>
        </w:rPr>
        <w:t>.</w:t>
      </w:r>
    </w:p>
    <w:p w14:paraId="3B96DDC0" w14:textId="77777777" w:rsidR="009040C5" w:rsidRPr="00DD7BD1" w:rsidRDefault="009040C5" w:rsidP="009040C5">
      <w:pPr>
        <w:pStyle w:val="SubHeader"/>
        <w:spacing w:line="240" w:lineRule="auto"/>
        <w:rPr>
          <w:rFonts w:cs="Calibri"/>
          <w:color w:val="auto"/>
          <w:sz w:val="12"/>
          <w:szCs w:val="12"/>
        </w:rPr>
      </w:pPr>
    </w:p>
    <w:p w14:paraId="25C5E538"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Responsibilities</w:t>
      </w:r>
    </w:p>
    <w:p w14:paraId="33F76059"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Register</w:t>
      </w:r>
      <w:r w:rsidRPr="00DD7BD1">
        <w:rPr>
          <w:rFonts w:cs="Calibri"/>
          <w:color w:val="auto"/>
        </w:rPr>
        <w:t xml:space="preserve"> (or certify an exemption) with their employer identification number and unique </w:t>
      </w:r>
      <w:proofErr w:type="spellStart"/>
      <w:r w:rsidRPr="00DD7BD1">
        <w:rPr>
          <w:rFonts w:cs="Calibri"/>
          <w:color w:val="auto"/>
        </w:rPr>
        <w:t>RetirePath</w:t>
      </w:r>
      <w:proofErr w:type="spellEnd"/>
      <w:r w:rsidRPr="00DD7BD1">
        <w:rPr>
          <w:rFonts w:cs="Calibri"/>
          <w:color w:val="auto"/>
        </w:rPr>
        <w:t xml:space="preserve"> access code by </w:t>
      </w:r>
      <w:r w:rsidRPr="00DD7BD1">
        <w:rPr>
          <w:rFonts w:cs="Calibri"/>
          <w:b/>
          <w:bCs/>
          <w:color w:val="auto"/>
        </w:rPr>
        <w:t>Feb. 15, 2024</w:t>
      </w:r>
      <w:r w:rsidRPr="00DD7BD1">
        <w:rPr>
          <w:rFonts w:cs="Calibri"/>
          <w:color w:val="auto"/>
        </w:rPr>
        <w:t>;</w:t>
      </w:r>
    </w:p>
    <w:p w14:paraId="3438095B"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 xml:space="preserve">Upload </w:t>
      </w:r>
      <w:r w:rsidRPr="00DD7BD1">
        <w:rPr>
          <w:rFonts w:cs="Calibri"/>
          <w:color w:val="auto"/>
        </w:rPr>
        <w:t>payroll information and submit employees’ contributions; and</w:t>
      </w:r>
    </w:p>
    <w:p w14:paraId="64CBA56C"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Keep employee records up to date.</w:t>
      </w:r>
      <w:r w:rsidRPr="00DD7BD1">
        <w:rPr>
          <w:rFonts w:cs="Calibri"/>
          <w:color w:val="auto"/>
        </w:rPr>
        <w:t xml:space="preserve"> Payroll details must be submitted each pay period.</w:t>
      </w:r>
    </w:p>
    <w:p w14:paraId="7396175E" w14:textId="77777777" w:rsidR="009040C5" w:rsidRPr="00DD7BD1" w:rsidRDefault="009040C5" w:rsidP="009040C5">
      <w:pPr>
        <w:pStyle w:val="SubHeader"/>
        <w:spacing w:line="240" w:lineRule="auto"/>
        <w:rPr>
          <w:rFonts w:cs="Calibri"/>
          <w:color w:val="auto"/>
          <w:sz w:val="12"/>
          <w:szCs w:val="12"/>
        </w:rPr>
      </w:pPr>
    </w:p>
    <w:p w14:paraId="600B6A02"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Resources</w:t>
      </w:r>
    </w:p>
    <w:p w14:paraId="30EEA81E" w14:textId="77777777" w:rsidR="009040C5" w:rsidRPr="00DD7BD1" w:rsidRDefault="009040C5" w:rsidP="009040C5">
      <w:pPr>
        <w:pStyle w:val="BodyText"/>
        <w:spacing w:after="0" w:line="240" w:lineRule="auto"/>
        <w:rPr>
          <w:rFonts w:cs="Calibri"/>
          <w:color w:val="auto"/>
          <w:szCs w:val="22"/>
        </w:rPr>
      </w:pPr>
      <w:proofErr w:type="spellStart"/>
      <w:r w:rsidRPr="00DD7BD1">
        <w:rPr>
          <w:rFonts w:cs="Calibri"/>
          <w:color w:val="auto"/>
          <w:szCs w:val="22"/>
        </w:rPr>
        <w:t>RetirePath</w:t>
      </w:r>
      <w:proofErr w:type="spellEnd"/>
      <w:r w:rsidRPr="00DD7BD1">
        <w:rPr>
          <w:rFonts w:cs="Calibri"/>
          <w:color w:val="auto"/>
          <w:szCs w:val="22"/>
        </w:rPr>
        <w:t xml:space="preserve"> provides a webpage dedicated to </w:t>
      </w:r>
      <w:hyperlink r:id="rId1077" w:history="1">
        <w:r w:rsidRPr="00DD7BD1">
          <w:rPr>
            <w:rStyle w:val="Hyperlink"/>
            <w:rFonts w:cs="Calibri"/>
            <w:szCs w:val="22"/>
          </w:rPr>
          <w:t>resources for employers</w:t>
        </w:r>
      </w:hyperlink>
      <w:r w:rsidRPr="00DD7BD1">
        <w:rPr>
          <w:rFonts w:cs="Calibri"/>
          <w:szCs w:val="22"/>
        </w:rPr>
        <w:t xml:space="preserve">, </w:t>
      </w:r>
      <w:r w:rsidRPr="00DD7BD1">
        <w:rPr>
          <w:rFonts w:cs="Calibri"/>
          <w:color w:val="auto"/>
          <w:szCs w:val="22"/>
        </w:rPr>
        <w:t xml:space="preserve">which includes an employer help center, videos and a registration checklist. </w:t>
      </w:r>
      <w:hyperlink r:id="rId1078" w:history="1">
        <w:r w:rsidRPr="00DD7BD1">
          <w:rPr>
            <w:rStyle w:val="Hyperlink"/>
            <w:rFonts w:cs="Calibri"/>
            <w:szCs w:val="22"/>
          </w:rPr>
          <w:t>FAQs</w:t>
        </w:r>
      </w:hyperlink>
      <w:r w:rsidRPr="00DD7BD1">
        <w:rPr>
          <w:rFonts w:cs="Calibri"/>
          <w:szCs w:val="22"/>
        </w:rPr>
        <w:t xml:space="preserve"> </w:t>
      </w:r>
      <w:r w:rsidRPr="00DD7BD1">
        <w:rPr>
          <w:rFonts w:cs="Calibri"/>
          <w:color w:val="auto"/>
          <w:szCs w:val="22"/>
        </w:rPr>
        <w:t>are also available.</w:t>
      </w:r>
    </w:p>
    <w:p w14:paraId="08766822" w14:textId="77777777" w:rsidR="005C31E9" w:rsidRPr="00DD7BD1" w:rsidRDefault="005C31E9" w:rsidP="00746F77">
      <w:pPr>
        <w:spacing w:after="0" w:line="240" w:lineRule="auto"/>
        <w:jc w:val="both"/>
        <w:rPr>
          <w:rFonts w:ascii="Calibri" w:hAnsi="Calibri" w:cs="Calibri"/>
          <w:b/>
          <w:bCs/>
          <w:color w:val="2E74B5" w:themeColor="accent5" w:themeShade="BF"/>
          <w:shd w:val="clear" w:color="auto" w:fill="FFFFFF"/>
          <w:lang w:val="en"/>
        </w:rPr>
      </w:pPr>
    </w:p>
    <w:p w14:paraId="344956A7" w14:textId="78B49D93" w:rsidR="00962BDB" w:rsidRPr="000C3074" w:rsidRDefault="00746F77" w:rsidP="000C3074">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Washington</w:t>
      </w:r>
    </w:p>
    <w:p w14:paraId="6624FAC0" w14:textId="77777777" w:rsidR="00672C7B" w:rsidRDefault="00672C7B" w:rsidP="00672C7B">
      <w:pPr>
        <w:spacing w:after="0" w:line="240" w:lineRule="auto"/>
        <w:rPr>
          <w:b/>
          <w:bCs/>
          <w:caps/>
          <w:color w:val="0070C0"/>
          <w:sz w:val="28"/>
          <w:szCs w:val="28"/>
        </w:rPr>
      </w:pPr>
      <w:r w:rsidRPr="00D22628">
        <w:rPr>
          <w:b/>
          <w:bCs/>
          <w:caps/>
          <w:color w:val="0070C0"/>
          <w:sz w:val="28"/>
          <w:szCs w:val="28"/>
        </w:rPr>
        <w:lastRenderedPageBreak/>
        <w:t xml:space="preserve">New! </w:t>
      </w:r>
      <w:r w:rsidRPr="00D22628">
        <w:rPr>
          <w:b/>
          <w:bCs/>
          <w:caps/>
          <w:noProof/>
          <w:color w:val="0E425C"/>
          <w:sz w:val="28"/>
          <w:szCs w:val="28"/>
        </w:rPr>
        <w:t xml:space="preserve">State Published Fair Chance Act Notice </w:t>
      </w:r>
      <w:r w:rsidRPr="00D22628">
        <w:rPr>
          <w:b/>
          <w:bCs/>
          <w:caps/>
          <w:color w:val="0070C0"/>
          <w:sz w:val="28"/>
          <w:szCs w:val="28"/>
        </w:rPr>
        <w:t>July 1, 2026</w:t>
      </w:r>
    </w:p>
    <w:p w14:paraId="33B484FF" w14:textId="77777777" w:rsidR="00672C7B" w:rsidRDefault="00672C7B" w:rsidP="00672C7B">
      <w:pPr>
        <w:spacing w:after="0" w:line="240" w:lineRule="auto"/>
        <w:rPr>
          <w:rFonts w:eastAsia="Times New Roman"/>
          <w:sz w:val="26"/>
          <w:szCs w:val="26"/>
        </w:rPr>
      </w:pPr>
      <w:r w:rsidRPr="001D724F">
        <w:rPr>
          <w:rFonts w:eastAsia="Times New Roman"/>
          <w:sz w:val="26"/>
          <w:szCs w:val="26"/>
        </w:rPr>
        <w:t xml:space="preserve">Coinciding with the </w:t>
      </w:r>
      <w:proofErr w:type="gramStart"/>
      <w:r w:rsidRPr="001D724F">
        <w:rPr>
          <w:rFonts w:eastAsia="Times New Roman"/>
          <w:sz w:val="26"/>
          <w:szCs w:val="26"/>
        </w:rPr>
        <w:t>July 1</w:t>
      </w:r>
      <w:r>
        <w:rPr>
          <w:rFonts w:eastAsia="Times New Roman"/>
          <w:sz w:val="26"/>
          <w:szCs w:val="26"/>
        </w:rPr>
        <w:t xml:space="preserve"> </w:t>
      </w:r>
      <w:r w:rsidRPr="001D724F">
        <w:rPr>
          <w:rFonts w:eastAsia="Times New Roman"/>
          <w:sz w:val="26"/>
          <w:szCs w:val="26"/>
        </w:rPr>
        <w:t xml:space="preserve"> effective date</w:t>
      </w:r>
      <w:proofErr w:type="gramEnd"/>
      <w:r w:rsidRPr="001D724F">
        <w:rPr>
          <w:rFonts w:eastAsia="Times New Roman"/>
          <w:sz w:val="26"/>
          <w:szCs w:val="26"/>
        </w:rPr>
        <w:t>, the Washington Attorney General’s Office published its </w:t>
      </w:r>
      <w:hyperlink r:id="rId1079" w:tgtFrame="_blank" w:history="1">
        <w:r w:rsidRPr="001D724F">
          <w:rPr>
            <w:rStyle w:val="Hyperlink"/>
            <w:bCs/>
            <w:caps/>
            <w:sz w:val="26"/>
            <w:szCs w:val="26"/>
          </w:rPr>
          <w:t>Washington Fair Chance Act Guide for Employers and Applicants</w:t>
        </w:r>
      </w:hyperlink>
      <w:r w:rsidRPr="001D724F">
        <w:rPr>
          <w:b/>
          <w:bCs/>
          <w:caps/>
          <w:color w:val="0070C0"/>
          <w:sz w:val="28"/>
          <w:szCs w:val="28"/>
          <w:u w:val="single"/>
        </w:rPr>
        <w:t> </w:t>
      </w:r>
      <w:r w:rsidRPr="001D724F">
        <w:rPr>
          <w:rFonts w:eastAsia="Times New Roman"/>
          <w:sz w:val="26"/>
          <w:szCs w:val="26"/>
        </w:rPr>
        <w:t>(Guide), which employers must provide a copy of in certain circumstances described below.</w:t>
      </w:r>
      <w:r>
        <w:rPr>
          <w:rFonts w:eastAsia="Times New Roman"/>
          <w:sz w:val="26"/>
          <w:szCs w:val="26"/>
        </w:rPr>
        <w:t xml:space="preserve"> Additionally,</w:t>
      </w:r>
      <w:r w:rsidRPr="001D724F">
        <w:rPr>
          <w:rFonts w:eastAsia="Times New Roman"/>
          <w:sz w:val="26"/>
          <w:szCs w:val="26"/>
        </w:rPr>
        <w:t xml:space="preserve"> </w:t>
      </w:r>
      <w:r>
        <w:rPr>
          <w:rFonts w:eastAsia="Times New Roman"/>
          <w:sz w:val="26"/>
          <w:szCs w:val="26"/>
        </w:rPr>
        <w:t>t</w:t>
      </w:r>
      <w:r w:rsidRPr="001D724F">
        <w:rPr>
          <w:rFonts w:eastAsia="Times New Roman"/>
          <w:sz w:val="26"/>
          <w:szCs w:val="26"/>
        </w:rPr>
        <w:t>he publication of the Guide clarifies one aspect of employers’ new notice obligations under the amended FCA. However, additional implementation guidance remains outstanding.</w:t>
      </w:r>
    </w:p>
    <w:p w14:paraId="61E3016C" w14:textId="77777777" w:rsidR="00672C7B" w:rsidRPr="001D724F" w:rsidRDefault="00672C7B" w:rsidP="00672C7B">
      <w:pPr>
        <w:spacing w:after="0" w:line="240" w:lineRule="auto"/>
        <w:rPr>
          <w:rFonts w:eastAsia="Times New Roman"/>
          <w:sz w:val="26"/>
          <w:szCs w:val="26"/>
        </w:rPr>
      </w:pPr>
    </w:p>
    <w:p w14:paraId="2F5EFE09" w14:textId="77777777" w:rsidR="00672C7B" w:rsidRPr="001D724F" w:rsidRDefault="00672C7B" w:rsidP="00672C7B">
      <w:pPr>
        <w:spacing w:after="0" w:line="240" w:lineRule="auto"/>
        <w:rPr>
          <w:rFonts w:eastAsia="Times New Roman"/>
          <w:b/>
          <w:bCs/>
          <w:sz w:val="26"/>
          <w:szCs w:val="26"/>
        </w:rPr>
      </w:pPr>
      <w:r w:rsidRPr="001D724F">
        <w:rPr>
          <w:rFonts w:eastAsia="Times New Roman"/>
          <w:b/>
          <w:bCs/>
          <w:sz w:val="26"/>
          <w:szCs w:val="26"/>
        </w:rPr>
        <w:t>FAIR CHANCE ACT EMPLOYER GUIDE SATISFIES KEY EMPLOYER NOTICE REQUIREMENT</w:t>
      </w:r>
    </w:p>
    <w:p w14:paraId="6A44591D" w14:textId="77777777" w:rsidR="00672C7B" w:rsidRPr="001D724F" w:rsidRDefault="00672C7B" w:rsidP="00672C7B">
      <w:pPr>
        <w:spacing w:after="0" w:line="240" w:lineRule="auto"/>
        <w:rPr>
          <w:rFonts w:eastAsia="Times New Roman"/>
          <w:sz w:val="26"/>
          <w:szCs w:val="26"/>
        </w:rPr>
      </w:pPr>
      <w:r w:rsidRPr="001D724F">
        <w:rPr>
          <w:rFonts w:eastAsia="Times New Roman"/>
          <w:sz w:val="26"/>
          <w:szCs w:val="26"/>
        </w:rPr>
        <w:t>The amended FCA requires employers to provide applicants with (1) a written notice summarizing the FCA and (2) a copy of the Attorney General’s Fair Chance Act Guide when either</w:t>
      </w:r>
    </w:p>
    <w:p w14:paraId="5B1B9011" w14:textId="77777777" w:rsidR="00672C7B" w:rsidRPr="001D724F" w:rsidRDefault="00672C7B">
      <w:pPr>
        <w:numPr>
          <w:ilvl w:val="0"/>
          <w:numId w:val="391"/>
        </w:numPr>
        <w:spacing w:after="0" w:line="240" w:lineRule="auto"/>
        <w:rPr>
          <w:rFonts w:eastAsia="Times New Roman"/>
          <w:sz w:val="26"/>
          <w:szCs w:val="26"/>
        </w:rPr>
      </w:pPr>
      <w:r w:rsidRPr="001D724F">
        <w:rPr>
          <w:rFonts w:eastAsia="Times New Roman"/>
          <w:sz w:val="26"/>
          <w:szCs w:val="26"/>
        </w:rPr>
        <w:t>the employer informs an applicant that the position will be subject to a post-offer criminal history background check before extending a conditional offer; or</w:t>
      </w:r>
    </w:p>
    <w:p w14:paraId="4B72B08B" w14:textId="77777777" w:rsidR="00672C7B" w:rsidRPr="001D724F" w:rsidRDefault="00672C7B">
      <w:pPr>
        <w:numPr>
          <w:ilvl w:val="0"/>
          <w:numId w:val="391"/>
        </w:numPr>
        <w:spacing w:after="0" w:line="240" w:lineRule="auto"/>
        <w:rPr>
          <w:rFonts w:eastAsia="Times New Roman"/>
          <w:sz w:val="26"/>
          <w:szCs w:val="26"/>
        </w:rPr>
      </w:pPr>
      <w:r w:rsidRPr="001D724F">
        <w:rPr>
          <w:rFonts w:eastAsia="Times New Roman"/>
          <w:sz w:val="26"/>
          <w:szCs w:val="26"/>
        </w:rPr>
        <w:t>an applicant voluntarily discloses information about their criminal history during a job interview.</w:t>
      </w:r>
    </w:p>
    <w:p w14:paraId="09EBB292" w14:textId="77777777" w:rsidR="00672C7B" w:rsidRPr="001D724F" w:rsidRDefault="00672C7B" w:rsidP="00672C7B">
      <w:pPr>
        <w:spacing w:after="0" w:line="240" w:lineRule="auto"/>
        <w:rPr>
          <w:rFonts w:eastAsia="Times New Roman"/>
          <w:sz w:val="26"/>
          <w:szCs w:val="26"/>
        </w:rPr>
      </w:pPr>
      <w:r w:rsidRPr="001D724F">
        <w:rPr>
          <w:rFonts w:eastAsia="Times New Roman"/>
          <w:sz w:val="26"/>
          <w:szCs w:val="26"/>
        </w:rPr>
        <w:t>The attorney general has now published the required Guide, which explains the amended FCA’s principal requirements, including restrictions on pre-offer criminal history inquiries, the prohibition on categorical exclusions based on criminal history, the individualized assessment and notice requirements before taking adverse action, and the protections afforded to applicants and employees under the statute. The Guide also reiterates the requirements that apply when an applicant voluntarily discloses criminal history during an interview and explains the complaint process administered by the Attorney General’s Office.</w:t>
      </w:r>
    </w:p>
    <w:p w14:paraId="3693FB85" w14:textId="4E1D4C00" w:rsidR="00672C7B" w:rsidRPr="00672C7B" w:rsidRDefault="00672C7B" w:rsidP="00672C7B">
      <w:pPr>
        <w:spacing w:after="0" w:line="240" w:lineRule="auto"/>
        <w:rPr>
          <w:rFonts w:eastAsia="Times New Roman"/>
          <w:sz w:val="26"/>
          <w:szCs w:val="26"/>
        </w:rPr>
      </w:pPr>
      <w:r w:rsidRPr="001D724F">
        <w:rPr>
          <w:rFonts w:eastAsia="Times New Roman"/>
          <w:sz w:val="26"/>
          <w:szCs w:val="26"/>
        </w:rPr>
        <w:t>Covered employers should ensure they are using the attorney general’s current Guide whenever the statute requires it.</w:t>
      </w:r>
    </w:p>
    <w:p w14:paraId="6A39E2BB" w14:textId="71E34326" w:rsidR="004C1156" w:rsidRDefault="004C1156" w:rsidP="004C1156">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49BC212F" w14:textId="77777777" w:rsidR="004C1156" w:rsidRPr="004A0AD1" w:rsidRDefault="004C1156">
      <w:pPr>
        <w:pStyle w:val="BodyText"/>
        <w:numPr>
          <w:ilvl w:val="0"/>
          <w:numId w:val="376"/>
        </w:numPr>
        <w:spacing w:after="0" w:line="276" w:lineRule="auto"/>
        <w:jc w:val="left"/>
        <w:rPr>
          <w:caps/>
          <w:noProof/>
          <w:color w:val="0E425C"/>
        </w:rPr>
      </w:pPr>
      <w:r w:rsidRPr="004A0AD1">
        <w:rPr>
          <w:caps/>
          <w:noProof/>
          <w:color w:val="0E425C"/>
        </w:rPr>
        <w:t xml:space="preserve">City of Burien Minimum Wage Increases Effective </w:t>
      </w:r>
      <w:r w:rsidRPr="004A0AD1">
        <w:rPr>
          <w:caps/>
          <w:color w:val="0070C0"/>
        </w:rPr>
        <w:t>July 1, 2026</w:t>
      </w:r>
    </w:p>
    <w:p w14:paraId="5151EE93" w14:textId="77777777" w:rsidR="004C1156" w:rsidRPr="004A0AD1" w:rsidRDefault="004C1156">
      <w:pPr>
        <w:pStyle w:val="BodyText"/>
        <w:numPr>
          <w:ilvl w:val="1"/>
          <w:numId w:val="376"/>
        </w:numPr>
        <w:spacing w:after="0" w:line="276" w:lineRule="auto"/>
        <w:jc w:val="left"/>
        <w:rPr>
          <w:rFonts w:eastAsiaTheme="minorHAnsi"/>
          <w:color w:val="C00000"/>
          <w:u w:val="single"/>
          <w:shd w:val="clear" w:color="auto" w:fill="FFFFFF"/>
          <w:lang w:val="en"/>
        </w:rPr>
      </w:pPr>
      <w:r w:rsidRPr="004A0AD1">
        <w:rPr>
          <w:color w:val="auto"/>
        </w:rPr>
        <w:t>For more information, refer to the city’s</w:t>
      </w:r>
      <w:r w:rsidRPr="004A0AD1">
        <w:rPr>
          <w:rFonts w:eastAsiaTheme="minorHAnsi"/>
          <w:color w:val="FFFFFF" w:themeColor="background1"/>
          <w:u w:val="single"/>
          <w:shd w:val="clear" w:color="auto" w:fill="FFFFFF"/>
        </w:rPr>
        <w:t xml:space="preserve"> </w:t>
      </w:r>
      <w:hyperlink r:id="rId1080" w:tgtFrame="_blank" w:history="1">
        <w:r w:rsidRPr="004A0AD1">
          <w:rPr>
            <w:rStyle w:val="Hyperlink"/>
            <w:rFonts w:eastAsiaTheme="minorHAnsi"/>
            <w:shd w:val="clear" w:color="auto" w:fill="FFFFFF"/>
          </w:rPr>
          <w:t>website</w:t>
        </w:r>
      </w:hyperlink>
    </w:p>
    <w:p w14:paraId="4F3A69D3" w14:textId="77777777" w:rsidR="004C1156" w:rsidRPr="003B104F" w:rsidRDefault="004C1156">
      <w:pPr>
        <w:pStyle w:val="BodyText"/>
        <w:numPr>
          <w:ilvl w:val="0"/>
          <w:numId w:val="376"/>
        </w:numPr>
        <w:spacing w:after="0" w:line="276" w:lineRule="auto"/>
        <w:jc w:val="left"/>
        <w:rPr>
          <w:rFonts w:eastAsiaTheme="minorHAnsi"/>
          <w:color w:val="C00000"/>
          <w:u w:val="single"/>
          <w:shd w:val="clear" w:color="auto" w:fill="FFFFFF"/>
          <w:lang w:val="en"/>
        </w:rPr>
      </w:pPr>
      <w:r w:rsidRPr="0055141A">
        <w:rPr>
          <w:caps/>
          <w:noProof/>
          <w:color w:val="0E425C"/>
        </w:rPr>
        <w:t xml:space="preserve">State Expands Criminal History Law Effective </w:t>
      </w:r>
      <w:r w:rsidRPr="0055141A">
        <w:rPr>
          <w:caps/>
          <w:color w:val="0070C0"/>
        </w:rPr>
        <w:t xml:space="preserve">July 1, 2026 </w:t>
      </w:r>
    </w:p>
    <w:p w14:paraId="0EFA9720" w14:textId="77777777" w:rsidR="004C1156" w:rsidRPr="003B104F" w:rsidRDefault="004C1156">
      <w:pPr>
        <w:pStyle w:val="ListParagraph"/>
        <w:numPr>
          <w:ilvl w:val="1"/>
          <w:numId w:val="376"/>
        </w:numPr>
        <w:spacing w:after="0" w:line="240" w:lineRule="auto"/>
        <w:rPr>
          <w:rFonts w:eastAsia="Times New Roman"/>
        </w:rPr>
      </w:pPr>
      <w:r w:rsidRPr="003B104F">
        <w:rPr>
          <w:rFonts w:eastAsia="Times New Roman"/>
        </w:rPr>
        <w:t>For employers with 15 or more employees</w:t>
      </w:r>
    </w:p>
    <w:p w14:paraId="3E846770" w14:textId="77777777" w:rsidR="004C1156" w:rsidRPr="003B104F" w:rsidRDefault="004C1156">
      <w:pPr>
        <w:pStyle w:val="ListParagraph"/>
        <w:numPr>
          <w:ilvl w:val="1"/>
          <w:numId w:val="376"/>
        </w:numPr>
        <w:spacing w:after="0" w:line="240" w:lineRule="auto"/>
        <w:rPr>
          <w:rFonts w:eastAsia="Times New Roman"/>
        </w:rPr>
      </w:pPr>
      <w:r w:rsidRPr="003B104F">
        <w:rPr>
          <w:rFonts w:eastAsia="Times New Roman"/>
        </w:rPr>
        <w:t>Smaller employers should begin preparing now, as the requirements will apply to them on January 1, 2027.</w:t>
      </w:r>
    </w:p>
    <w:p w14:paraId="78811218" w14:textId="77777777" w:rsidR="004C1156" w:rsidRPr="0055141A" w:rsidRDefault="004C1156">
      <w:pPr>
        <w:pStyle w:val="BodyText"/>
        <w:numPr>
          <w:ilvl w:val="0"/>
          <w:numId w:val="376"/>
        </w:numPr>
        <w:spacing w:after="0" w:line="276" w:lineRule="auto"/>
        <w:jc w:val="left"/>
        <w:rPr>
          <w:rFonts w:eastAsiaTheme="minorHAnsi"/>
          <w:color w:val="C00000"/>
          <w:u w:val="single"/>
          <w:shd w:val="clear" w:color="auto" w:fill="FFFFFF"/>
          <w:lang w:val="en"/>
        </w:rPr>
      </w:pPr>
      <w:r w:rsidRPr="0055141A">
        <w:rPr>
          <w:caps/>
          <w:noProof/>
          <w:color w:val="0E425C"/>
        </w:rPr>
        <w:t xml:space="preserve">State Regulations Related to </w:t>
      </w:r>
      <w:r w:rsidRPr="0055141A">
        <w:rPr>
          <w:caps/>
          <w:noProof/>
          <w:color w:val="0E425C"/>
          <w:u w:val="single"/>
        </w:rPr>
        <w:t xml:space="preserve">Transportation Network Companies </w:t>
      </w:r>
      <w:r w:rsidRPr="0055141A">
        <w:rPr>
          <w:caps/>
          <w:noProof/>
          <w:color w:val="0E425C"/>
        </w:rPr>
        <w:t>Effective Sept</w:t>
      </w:r>
      <w:r>
        <w:rPr>
          <w:caps/>
          <w:noProof/>
          <w:color w:val="0E425C"/>
        </w:rPr>
        <w:t>ember</w:t>
      </w:r>
      <w:r w:rsidRPr="0055141A">
        <w:rPr>
          <w:caps/>
          <w:noProof/>
          <w:color w:val="0E425C"/>
        </w:rPr>
        <w:t xml:space="preserve"> 1, 2025 &amp; </w:t>
      </w:r>
      <w:r w:rsidRPr="0055141A">
        <w:rPr>
          <w:caps/>
          <w:color w:val="0070C0"/>
        </w:rPr>
        <w:t>July 1, 2026</w:t>
      </w:r>
    </w:p>
    <w:p w14:paraId="0AA01DD4" w14:textId="77777777" w:rsidR="004C1156" w:rsidRPr="004A0AD1" w:rsidRDefault="004C1156">
      <w:pPr>
        <w:pStyle w:val="BodyText"/>
        <w:numPr>
          <w:ilvl w:val="0"/>
          <w:numId w:val="376"/>
        </w:numPr>
        <w:spacing w:after="0" w:line="276" w:lineRule="auto"/>
        <w:jc w:val="left"/>
        <w:rPr>
          <w:caps/>
          <w:noProof/>
          <w:color w:val="0E425C"/>
        </w:rPr>
      </w:pPr>
      <w:r w:rsidRPr="0055141A">
        <w:rPr>
          <w:caps/>
          <w:noProof/>
          <w:color w:val="0E425C"/>
        </w:rPr>
        <w:t xml:space="preserve">State's </w:t>
      </w:r>
      <w:r>
        <w:rPr>
          <w:caps/>
          <w:noProof/>
          <w:color w:val="0E425C"/>
        </w:rPr>
        <w:t>I</w:t>
      </w:r>
      <w:r w:rsidRPr="0055141A">
        <w:rPr>
          <w:caps/>
          <w:noProof/>
          <w:color w:val="0E425C"/>
        </w:rPr>
        <w:t xml:space="preserve">mmigrant Worker Protection Act Requires Employee Notice of Form I-9 Audits by Federal Agencies Effective </w:t>
      </w:r>
      <w:r w:rsidRPr="0055141A">
        <w:rPr>
          <w:caps/>
          <w:color w:val="0070C0"/>
        </w:rPr>
        <w:t>October 1, 2026</w:t>
      </w:r>
    </w:p>
    <w:p w14:paraId="7909060C" w14:textId="77777777" w:rsidR="004C1156" w:rsidRDefault="004C1156" w:rsidP="002C0337">
      <w:pPr>
        <w:spacing w:after="0" w:line="240" w:lineRule="auto"/>
        <w:ind w:right="-187"/>
        <w:rPr>
          <w:b/>
          <w:bCs/>
          <w:caps/>
          <w:noProof/>
          <w:color w:val="0E425C"/>
          <w:sz w:val="26"/>
          <w:szCs w:val="26"/>
        </w:rPr>
      </w:pPr>
    </w:p>
    <w:p w14:paraId="7F99C99F" w14:textId="4CB93A93" w:rsidR="002C0337" w:rsidRPr="00672948" w:rsidRDefault="002C0337" w:rsidP="002C0337">
      <w:pPr>
        <w:spacing w:after="0" w:line="240" w:lineRule="auto"/>
        <w:ind w:right="-187"/>
        <w:rPr>
          <w:b/>
          <w:sz w:val="28"/>
        </w:rPr>
      </w:pPr>
      <w:r w:rsidRPr="00672948">
        <w:rPr>
          <w:b/>
          <w:bCs/>
          <w:caps/>
          <w:noProof/>
          <w:color w:val="0E425C"/>
          <w:sz w:val="26"/>
          <w:szCs w:val="26"/>
        </w:rPr>
        <w:t xml:space="preserve">Reminder: State Regulations Related to Transportation Network Companies Effective Sept 1, 2025 &amp; </w:t>
      </w:r>
      <w:r w:rsidRPr="00672948">
        <w:rPr>
          <w:b/>
          <w:bCs/>
          <w:caps/>
          <w:color w:val="0070C0"/>
          <w:sz w:val="26"/>
          <w:szCs w:val="26"/>
        </w:rPr>
        <w:t>July 1, 2026</w:t>
      </w:r>
    </w:p>
    <w:p w14:paraId="49D8DBD0" w14:textId="77777777" w:rsidR="002C0337" w:rsidRPr="00672948" w:rsidRDefault="002C0337" w:rsidP="002C0337">
      <w:pPr>
        <w:pStyle w:val="BodyText"/>
        <w:spacing w:after="0"/>
        <w:ind w:right="-187"/>
      </w:pPr>
      <w:r w:rsidRPr="000B5825">
        <w:rPr>
          <w:color w:val="auto"/>
        </w:rPr>
        <w:t>Washington employers should prepare for two significant legislative updates that will impact Transportation Network Companies (TNCs). Effective September 1, 2025, TNCs must provide drivers with detailed information about vehicle eligibility for each product class offered on their platform, including make, model, and year. Then, by</w:t>
      </w:r>
      <w:r w:rsidRPr="000B5825">
        <w:rPr>
          <w:b/>
          <w:bCs/>
          <w:color w:val="auto"/>
        </w:rPr>
        <w:t xml:space="preserve"> July 1, 2026</w:t>
      </w:r>
      <w:r w:rsidRPr="000B5825">
        <w:rPr>
          <w:color w:val="auto"/>
        </w:rPr>
        <w:t>, drivers will also be entitled to request aggregated, downloadable per-trip receipt data in a searchable format, enhancing transparency around earnings. As this topic is more industry released and beyond what ETC typically reports, access a recent article on the topic published by Seyfarth Shaw, LLP</w:t>
      </w:r>
      <w:r w:rsidRPr="00DD7BD1">
        <w:rPr>
          <w:color w:val="auto"/>
          <w:w w:val="110"/>
          <w:szCs w:val="22"/>
        </w:rPr>
        <w:t xml:space="preserve"> </w:t>
      </w:r>
      <w:hyperlink r:id="rId1081">
        <w:r w:rsidRPr="00DD7BD1">
          <w:rPr>
            <w:color w:val="0000FF"/>
            <w:w w:val="110"/>
            <w:szCs w:val="22"/>
            <w:u w:val="single" w:color="0000FF"/>
          </w:rPr>
          <w:t>HERE</w:t>
        </w:r>
      </w:hyperlink>
    </w:p>
    <w:p w14:paraId="1F75941B" w14:textId="77777777" w:rsidR="002C0337" w:rsidRPr="005E4403" w:rsidRDefault="002C0337" w:rsidP="002C0337">
      <w:pPr>
        <w:pStyle w:val="BodyText"/>
        <w:spacing w:after="0"/>
        <w:rPr>
          <w:b/>
          <w:bCs/>
          <w:caps/>
          <w:noProof/>
          <w:color w:val="0E425C"/>
          <w:sz w:val="12"/>
          <w:szCs w:val="12"/>
        </w:rPr>
      </w:pPr>
    </w:p>
    <w:p w14:paraId="7CBF859B" w14:textId="77777777" w:rsidR="002C0337" w:rsidRPr="00DD7BD1" w:rsidRDefault="002C0337" w:rsidP="002C0337">
      <w:pPr>
        <w:pStyle w:val="BodyText"/>
        <w:spacing w:after="0"/>
        <w:rPr>
          <w:rFonts w:eastAsiaTheme="minorHAnsi"/>
          <w:b/>
          <w:bCs/>
          <w:color w:val="C00000"/>
          <w:sz w:val="28"/>
          <w:szCs w:val="28"/>
          <w:u w:val="single"/>
          <w:shd w:val="clear" w:color="auto" w:fill="FFFFFF"/>
          <w:lang w:val="en"/>
        </w:rPr>
      </w:pPr>
      <w:r w:rsidRPr="000B5825">
        <w:rPr>
          <w:b/>
          <w:bCs/>
          <w:caps/>
          <w:noProof/>
          <w:color w:val="0E425C"/>
          <w:sz w:val="26"/>
          <w:szCs w:val="26"/>
        </w:rPr>
        <w:t>Reminder: State Expands Criminal History Law Eff</w:t>
      </w:r>
      <w:r>
        <w:rPr>
          <w:b/>
          <w:bCs/>
          <w:caps/>
          <w:noProof/>
          <w:color w:val="0E425C"/>
          <w:sz w:val="26"/>
          <w:szCs w:val="26"/>
        </w:rPr>
        <w:t>ective</w:t>
      </w:r>
      <w:r w:rsidRPr="000B5825">
        <w:rPr>
          <w:b/>
          <w:bCs/>
          <w:caps/>
          <w:noProof/>
          <w:color w:val="0E425C"/>
          <w:sz w:val="26"/>
          <w:szCs w:val="26"/>
        </w:rPr>
        <w:t xml:space="preserve"> </w:t>
      </w:r>
      <w:r w:rsidRPr="000B5825">
        <w:rPr>
          <w:b/>
          <w:bCs/>
          <w:caps/>
          <w:color w:val="0070C0"/>
          <w:sz w:val="26"/>
          <w:szCs w:val="26"/>
        </w:rPr>
        <w:t>July 1, 2026 &amp; July 1, 2027</w:t>
      </w:r>
    </w:p>
    <w:p w14:paraId="5A75752E" w14:textId="77777777" w:rsidR="002C0337" w:rsidRPr="00DD7BD1" w:rsidRDefault="002C0337" w:rsidP="002C0337">
      <w:pPr>
        <w:pStyle w:val="BodyText"/>
        <w:spacing w:after="0"/>
        <w:rPr>
          <w:color w:val="auto"/>
          <w:szCs w:val="22"/>
          <w:shd w:val="clear" w:color="auto" w:fill="FFFFFF"/>
        </w:rPr>
      </w:pPr>
      <w:r w:rsidRPr="00DD7BD1">
        <w:rPr>
          <w:color w:val="auto"/>
          <w:szCs w:val="22"/>
          <w:shd w:val="clear" w:color="auto" w:fill="FFFFFF"/>
        </w:rPr>
        <w:lastRenderedPageBreak/>
        <w:t>Washington</w:t>
      </w:r>
      <w:r w:rsidRPr="00DD7BD1">
        <w:rPr>
          <w:color w:val="C00000"/>
          <w:szCs w:val="22"/>
          <w:shd w:val="clear" w:color="auto" w:fill="FFFFFF"/>
        </w:rPr>
        <w:t xml:space="preserve"> </w:t>
      </w:r>
      <w:hyperlink r:id="rId1082" w:history="1">
        <w:r w:rsidRPr="00DD7BD1">
          <w:rPr>
            <w:rStyle w:val="Hyperlink"/>
            <w:szCs w:val="22"/>
            <w:shd w:val="clear" w:color="auto" w:fill="FFFFFF"/>
          </w:rPr>
          <w:t>amended</w:t>
        </w:r>
      </w:hyperlink>
      <w:r w:rsidRPr="00DD7BD1">
        <w:rPr>
          <w:color w:val="C00000"/>
          <w:szCs w:val="22"/>
          <w:shd w:val="clear" w:color="auto" w:fill="FFFFFF"/>
        </w:rPr>
        <w:t xml:space="preserve"> </w:t>
      </w:r>
      <w:r w:rsidRPr="00DD7BD1">
        <w:rPr>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671D58E0" w14:textId="77777777" w:rsidR="002C0337" w:rsidRPr="00DD7BD1" w:rsidRDefault="002C0337" w:rsidP="002C0337">
      <w:pPr>
        <w:pStyle w:val="BodyText"/>
        <w:spacing w:after="0"/>
        <w:rPr>
          <w:color w:val="auto"/>
          <w:szCs w:val="22"/>
          <w:shd w:val="clear" w:color="auto" w:fill="FFFFFF"/>
        </w:rPr>
      </w:pPr>
      <w:r w:rsidRPr="00DD7BD1">
        <w:rPr>
          <w:color w:val="auto"/>
          <w:szCs w:val="22"/>
          <w:shd w:val="clear" w:color="auto" w:fill="FFFFFF"/>
        </w:rPr>
        <w:t>The amendment takes effect:</w:t>
      </w:r>
    </w:p>
    <w:p w14:paraId="6BE76A2E" w14:textId="77777777" w:rsidR="002C0337" w:rsidRPr="00DD7BD1" w:rsidRDefault="002C0337" w:rsidP="002C0337">
      <w:pPr>
        <w:pStyle w:val="BodyText"/>
        <w:numPr>
          <w:ilvl w:val="0"/>
          <w:numId w:val="184"/>
        </w:numPr>
        <w:spacing w:after="0" w:line="276" w:lineRule="auto"/>
        <w:rPr>
          <w:color w:val="auto"/>
          <w:szCs w:val="22"/>
          <w:shd w:val="clear" w:color="auto" w:fill="FFFFFF"/>
        </w:rPr>
      </w:pPr>
      <w:r w:rsidRPr="00DD7BD1">
        <w:rPr>
          <w:color w:val="auto"/>
          <w:szCs w:val="22"/>
          <w:shd w:val="clear" w:color="auto" w:fill="FFFFFF"/>
        </w:rPr>
        <w:t xml:space="preserve">July 1, 2026, for employers with 15 or more employees </w:t>
      </w:r>
    </w:p>
    <w:p w14:paraId="01A05998" w14:textId="1A940FEA" w:rsidR="002C0337" w:rsidRDefault="002C0337" w:rsidP="002C0337">
      <w:pPr>
        <w:pStyle w:val="BodyText"/>
        <w:numPr>
          <w:ilvl w:val="0"/>
          <w:numId w:val="184"/>
        </w:numPr>
        <w:spacing w:after="0" w:line="276" w:lineRule="auto"/>
        <w:rPr>
          <w:color w:val="auto"/>
          <w:szCs w:val="22"/>
          <w:shd w:val="clear" w:color="auto" w:fill="FFFFFF"/>
        </w:rPr>
      </w:pPr>
      <w:r w:rsidRPr="00DD7BD1">
        <w:rPr>
          <w:color w:val="auto"/>
          <w:szCs w:val="22"/>
          <w:shd w:val="clear" w:color="auto" w:fill="FFFFFF"/>
        </w:rPr>
        <w:t>July 1, 2027, for employers with fewer than 15 employees</w:t>
      </w:r>
    </w:p>
    <w:p w14:paraId="748D778E" w14:textId="77777777" w:rsidR="002C0337" w:rsidRPr="002C0337" w:rsidRDefault="002C0337" w:rsidP="002C0337">
      <w:pPr>
        <w:pStyle w:val="BodyText"/>
        <w:spacing w:after="0" w:line="276" w:lineRule="auto"/>
        <w:ind w:left="720"/>
        <w:rPr>
          <w:color w:val="auto"/>
          <w:szCs w:val="22"/>
          <w:shd w:val="clear" w:color="auto" w:fill="FFFFFF"/>
        </w:rPr>
      </w:pPr>
    </w:p>
    <w:p w14:paraId="443A9C67" w14:textId="72857AB2" w:rsidR="00306DC7" w:rsidRDefault="00306DC7" w:rsidP="00CE72BF">
      <w:pPr>
        <w:rPr>
          <w:b/>
          <w:bCs/>
          <w:caps/>
          <w:color w:val="0070C0"/>
          <w:sz w:val="26"/>
          <w:szCs w:val="26"/>
        </w:rPr>
      </w:pPr>
      <w:r w:rsidRPr="00CB6D79">
        <w:rPr>
          <w:b/>
          <w:bCs/>
          <w:caps/>
          <w:noProof/>
          <w:color w:val="0E425C"/>
          <w:sz w:val="26"/>
          <w:szCs w:val="26"/>
        </w:rPr>
        <w:t xml:space="preserve">State Requires Employee Notice of Form I-9 Audits Effective </w:t>
      </w:r>
      <w:r>
        <w:rPr>
          <w:b/>
          <w:bCs/>
          <w:caps/>
          <w:color w:val="0070C0"/>
          <w:sz w:val="26"/>
          <w:szCs w:val="26"/>
        </w:rPr>
        <w:t>October 1, 2026</w:t>
      </w:r>
    </w:p>
    <w:p w14:paraId="178EF376" w14:textId="77777777" w:rsidR="00306DC7" w:rsidRDefault="00306DC7" w:rsidP="00306DC7">
      <w:r w:rsidRPr="00653EDB">
        <w:t>On March 30, 2026, Washington enacted the</w:t>
      </w:r>
      <w:r>
        <w:t xml:space="preserve"> </w:t>
      </w:r>
      <w:hyperlink r:id="rId1083" w:anchor="page=1" w:history="1">
        <w:r w:rsidRPr="00774222">
          <w:rPr>
            <w:rStyle w:val="Hyperlink"/>
          </w:rPr>
          <w:t>Immigrant Worker Protection Act</w:t>
        </w:r>
      </w:hyperlink>
      <w:r>
        <w:t xml:space="preserve"> </w:t>
      </w:r>
      <w:r w:rsidRPr="00653EDB">
        <w:t xml:space="preserve">(Act), which requires employers to provide written notice to employees when federal agencies notify employers of any inspection of Employment Eligibility Verification forms (Forms I-9) and related worker records. The Act aims to provide workers with advance notice of immigration-related inspections of employment records conducted by federal agencies and information on the results of those inspections. </w:t>
      </w:r>
    </w:p>
    <w:p w14:paraId="621EB9C0" w14:textId="77777777" w:rsidR="00306DC7" w:rsidRPr="00E11952" w:rsidRDefault="00306DC7" w:rsidP="00306DC7">
      <w:pPr>
        <w:rPr>
          <w:b/>
          <w:bCs/>
        </w:rPr>
      </w:pPr>
      <w:r w:rsidRPr="00E11952">
        <w:rPr>
          <w:b/>
          <w:bCs/>
        </w:rPr>
        <w:t>Notice Requirements</w:t>
      </w:r>
    </w:p>
    <w:p w14:paraId="4FC8EA51" w14:textId="77777777" w:rsidR="00306DC7" w:rsidRPr="00653EDB" w:rsidRDefault="00306DC7" w:rsidP="00306DC7">
      <w:r w:rsidRPr="00653EDB">
        <w:t xml:space="preserve">Within </w:t>
      </w:r>
      <w:r w:rsidRPr="00653EDB">
        <w:rPr>
          <w:b/>
          <w:bCs/>
        </w:rPr>
        <w:t>5 business days</w:t>
      </w:r>
      <w:r w:rsidRPr="00653EDB">
        <w:t xml:space="preserve"> of receiving notification from a federal agency of any inspection of Forms I-9 and any related worker records, employers must provide written notice to each worker and the worker’s authorized representative, if any. </w:t>
      </w:r>
    </w:p>
    <w:p w14:paraId="69D21105" w14:textId="77777777" w:rsidR="00306DC7" w:rsidRPr="00653EDB" w:rsidRDefault="00306DC7" w:rsidP="00306DC7">
      <w:r w:rsidRPr="00653EDB">
        <w:t xml:space="preserve">The notice must also contain the following information in English and the five </w:t>
      </w:r>
      <w:proofErr w:type="gramStart"/>
      <w:r w:rsidRPr="00653EDB">
        <w:t>most commonly used</w:t>
      </w:r>
      <w:proofErr w:type="gramEnd"/>
      <w:r w:rsidRPr="00653EDB">
        <w:t xml:space="preserve"> non-English languages in Washington:</w:t>
      </w:r>
    </w:p>
    <w:p w14:paraId="3AE3E6BA" w14:textId="77777777" w:rsidR="00306DC7" w:rsidRPr="00653EDB" w:rsidRDefault="00306DC7" w:rsidP="00306DC7">
      <w:pPr>
        <w:pStyle w:val="Bullet"/>
        <w:spacing w:line="240" w:lineRule="auto"/>
        <w:ind w:left="648"/>
        <w:rPr>
          <w:color w:val="auto"/>
        </w:rPr>
      </w:pPr>
      <w:r w:rsidRPr="00653EDB">
        <w:rPr>
          <w:color w:val="auto"/>
        </w:rPr>
        <w:t>The name of the federal agency that will be conducting the inspection;</w:t>
      </w:r>
    </w:p>
    <w:p w14:paraId="5417355A" w14:textId="77777777" w:rsidR="00306DC7" w:rsidRPr="00653EDB" w:rsidRDefault="00306DC7" w:rsidP="00306DC7">
      <w:pPr>
        <w:pStyle w:val="Bullet"/>
        <w:spacing w:line="240" w:lineRule="auto"/>
        <w:ind w:left="648"/>
        <w:rPr>
          <w:color w:val="auto"/>
        </w:rPr>
      </w:pPr>
      <w:r w:rsidRPr="00653EDB">
        <w:rPr>
          <w:color w:val="auto"/>
        </w:rPr>
        <w:t>The date that the employer received notice of the inspection;</w:t>
      </w:r>
    </w:p>
    <w:p w14:paraId="196697FD" w14:textId="77777777" w:rsidR="00306DC7" w:rsidRPr="00653EDB" w:rsidRDefault="00306DC7" w:rsidP="00306DC7">
      <w:pPr>
        <w:pStyle w:val="Bullet"/>
        <w:spacing w:line="240" w:lineRule="auto"/>
        <w:ind w:left="648"/>
        <w:rPr>
          <w:color w:val="auto"/>
        </w:rPr>
      </w:pPr>
      <w:r w:rsidRPr="00653EDB">
        <w:rPr>
          <w:color w:val="auto"/>
        </w:rPr>
        <w:t>The types of records sought and other identified purposes of the inspection (to the extent known by the employer); and</w:t>
      </w:r>
    </w:p>
    <w:p w14:paraId="0FE173AB" w14:textId="77777777" w:rsidR="00306DC7" w:rsidRPr="00653EDB" w:rsidRDefault="00306DC7" w:rsidP="00306DC7">
      <w:pPr>
        <w:pStyle w:val="Bullet"/>
        <w:spacing w:line="240" w:lineRule="auto"/>
        <w:ind w:left="648"/>
        <w:rPr>
          <w:color w:val="auto"/>
        </w:rPr>
      </w:pPr>
      <w:r w:rsidRPr="00653EDB">
        <w:rPr>
          <w:color w:val="auto"/>
        </w:rPr>
        <w:t>Contact information for a statewide organization that provides information and advocacy related to immigrant and refugee rights, which must be identified and approved by the attorney general.</w:t>
      </w:r>
    </w:p>
    <w:p w14:paraId="571F27C8" w14:textId="77777777" w:rsidR="00306DC7" w:rsidRPr="00653EDB" w:rsidRDefault="00306DC7" w:rsidP="00306DC7">
      <w:r w:rsidRPr="00653EDB">
        <w:t xml:space="preserve">To comply with the Act’s notice requirements, employers may use the model notice which the attorney general is required to prepare and make available by </w:t>
      </w:r>
      <w:r w:rsidRPr="00653EDB">
        <w:rPr>
          <w:b/>
          <w:bCs/>
        </w:rPr>
        <w:t>Sept. 1, 2026</w:t>
      </w:r>
      <w:r w:rsidRPr="00653EDB">
        <w:t xml:space="preserve">. </w:t>
      </w:r>
    </w:p>
    <w:p w14:paraId="61461A7E" w14:textId="77777777" w:rsidR="00306DC7" w:rsidRPr="00653EDB" w:rsidRDefault="00306DC7" w:rsidP="00306DC7">
      <w:pPr>
        <w:spacing w:after="0" w:line="240" w:lineRule="auto"/>
      </w:pPr>
      <w:r w:rsidRPr="00653EDB">
        <w:t>Employers must also provide notice by posting the federal agency’s notice of inspection in conspicuous places on their premises where notices to workers are customarily posted. Employers must also deliver the notice of inspection directly to employees using the primary method of communication they typically use. Delivery must include at least one of the following:</w:t>
      </w:r>
    </w:p>
    <w:p w14:paraId="597330C2" w14:textId="77777777" w:rsidR="00306DC7" w:rsidRPr="00653EDB" w:rsidRDefault="00306DC7" w:rsidP="00306DC7">
      <w:pPr>
        <w:pStyle w:val="Bullet"/>
        <w:spacing w:line="240" w:lineRule="auto"/>
        <w:ind w:left="648"/>
        <w:rPr>
          <w:color w:val="auto"/>
        </w:rPr>
      </w:pPr>
      <w:r w:rsidRPr="00653EDB">
        <w:rPr>
          <w:color w:val="auto"/>
        </w:rPr>
        <w:t>Hand delivery;</w:t>
      </w:r>
    </w:p>
    <w:p w14:paraId="33226C47" w14:textId="77777777" w:rsidR="00306DC7" w:rsidRPr="00653EDB" w:rsidRDefault="00306DC7" w:rsidP="00306DC7">
      <w:pPr>
        <w:pStyle w:val="Bullet"/>
        <w:spacing w:line="240" w:lineRule="auto"/>
        <w:ind w:left="648"/>
        <w:rPr>
          <w:color w:val="auto"/>
        </w:rPr>
      </w:pPr>
      <w:r w:rsidRPr="00653EDB">
        <w:rPr>
          <w:color w:val="auto"/>
        </w:rPr>
        <w:t>Mail with proof of delivery;</w:t>
      </w:r>
    </w:p>
    <w:p w14:paraId="4AA0A58D" w14:textId="77777777" w:rsidR="00306DC7" w:rsidRPr="00653EDB" w:rsidRDefault="00306DC7" w:rsidP="00306DC7">
      <w:pPr>
        <w:pStyle w:val="Bullet"/>
        <w:spacing w:line="240" w:lineRule="auto"/>
        <w:ind w:left="648"/>
        <w:rPr>
          <w:color w:val="auto"/>
        </w:rPr>
      </w:pPr>
      <w:r w:rsidRPr="00653EDB">
        <w:rPr>
          <w:color w:val="auto"/>
        </w:rPr>
        <w:t>Email with proof of transmission;</w:t>
      </w:r>
    </w:p>
    <w:p w14:paraId="0FFBF030" w14:textId="77777777" w:rsidR="00306DC7" w:rsidRPr="00653EDB" w:rsidRDefault="00306DC7" w:rsidP="00306DC7">
      <w:pPr>
        <w:pStyle w:val="Bullet"/>
        <w:spacing w:line="240" w:lineRule="auto"/>
        <w:ind w:left="648"/>
        <w:rPr>
          <w:color w:val="auto"/>
        </w:rPr>
      </w:pPr>
      <w:r w:rsidRPr="00653EDB">
        <w:rPr>
          <w:color w:val="auto"/>
        </w:rPr>
        <w:t>Text message with proof of transmission, which may include a link to a notice maintained on a website.</w:t>
      </w:r>
    </w:p>
    <w:p w14:paraId="4F3A0C5F" w14:textId="77777777" w:rsidR="00306DC7" w:rsidRPr="00653EDB" w:rsidRDefault="00306DC7" w:rsidP="00306DC7">
      <w:pPr>
        <w:spacing w:after="0"/>
        <w:rPr>
          <w:b/>
          <w:bCs/>
          <w:i/>
          <w:iCs/>
        </w:rPr>
      </w:pPr>
      <w:r w:rsidRPr="00653EDB">
        <w:rPr>
          <w:b/>
          <w:bCs/>
          <w:i/>
          <w:iCs/>
        </w:rPr>
        <w:t>Inspection Results Notice Requirements</w:t>
      </w:r>
    </w:p>
    <w:p w14:paraId="00F9756D" w14:textId="77777777" w:rsidR="00306DC7" w:rsidRPr="00653EDB" w:rsidRDefault="00306DC7" w:rsidP="00306DC7">
      <w:r w:rsidRPr="00653EDB">
        <w:t xml:space="preserve">Within </w:t>
      </w:r>
      <w:r w:rsidRPr="00653EDB">
        <w:rPr>
          <w:b/>
          <w:bCs/>
        </w:rPr>
        <w:t>5 business days</w:t>
      </w:r>
      <w:r w:rsidRPr="00653EDB">
        <w:t xml:space="preserve"> of receiving written notice of inspection results for Forms I-9 and related worker records from a federal agency, employers must provide to each affected worker and their authorized representative, if any, a copy of the notice. Employers must also provide written notice of the employer and the affected worker’s obligations arising from the inspection results. This notice must be written in the language most regularly used to communicate between the employer and the affected worker.</w:t>
      </w:r>
    </w:p>
    <w:p w14:paraId="473E8329" w14:textId="39E1A5FC" w:rsidR="00306DC7" w:rsidRPr="00E432A2" w:rsidRDefault="00306DC7" w:rsidP="00E432A2">
      <w:r w:rsidRPr="00F50723">
        <w:rPr>
          <w:b/>
          <w:bCs/>
          <w:highlight w:val="lightGray"/>
        </w:rPr>
        <w:t xml:space="preserve">Employer Takeaway: </w:t>
      </w:r>
      <w:r w:rsidRPr="00653EDB">
        <w:t xml:space="preserve">ETC will continue to monitor the Act to see if it receives funding by the June 30, 2026, deadline. In the interim employers should ensure they comply with the state Act’s notice and posting requirements by October 1, 2026. </w:t>
      </w:r>
    </w:p>
    <w:p w14:paraId="7462BE6A" w14:textId="44352E50" w:rsidR="00962BDB" w:rsidRDefault="00962BDB" w:rsidP="000C3074">
      <w:pPr>
        <w:spacing w:after="0" w:line="240" w:lineRule="auto"/>
        <w:jc w:val="center"/>
        <w:rPr>
          <w:b/>
          <w:bCs/>
          <w:caps/>
          <w:color w:val="0070C0"/>
          <w:sz w:val="26"/>
          <w:szCs w:val="26"/>
        </w:rPr>
      </w:pPr>
      <w:r w:rsidRPr="00476AE6">
        <w:rPr>
          <w:b/>
          <w:bCs/>
          <w:caps/>
          <w:color w:val="0070C0"/>
          <w:sz w:val="26"/>
          <w:szCs w:val="26"/>
        </w:rPr>
        <w:t xml:space="preserve">New! </w:t>
      </w:r>
      <w:r w:rsidRPr="00476AE6">
        <w:rPr>
          <w:b/>
          <w:bCs/>
          <w:caps/>
          <w:noProof/>
          <w:color w:val="0E425C"/>
          <w:sz w:val="26"/>
          <w:szCs w:val="26"/>
        </w:rPr>
        <w:t xml:space="preserve">State Mini-WARN Regulations Amended Effective </w:t>
      </w:r>
      <w:r w:rsidRPr="00476AE6">
        <w:rPr>
          <w:b/>
          <w:bCs/>
          <w:caps/>
          <w:color w:val="0070C0"/>
          <w:sz w:val="26"/>
          <w:szCs w:val="26"/>
        </w:rPr>
        <w:t>March 17, 2026</w:t>
      </w:r>
    </w:p>
    <w:p w14:paraId="0B2FD409" w14:textId="77777777" w:rsidR="00962BDB" w:rsidRDefault="00962BDB" w:rsidP="000C3074">
      <w:pPr>
        <w:spacing w:after="0" w:line="240" w:lineRule="auto"/>
        <w:rPr>
          <w:shd w:val="clear" w:color="auto" w:fill="FFFFFF"/>
        </w:rPr>
      </w:pPr>
      <w:r w:rsidRPr="00A2630C">
        <w:rPr>
          <w:shd w:val="clear" w:color="auto" w:fill="FFFFFF"/>
        </w:rPr>
        <w:t>On March 17, 2026, Washington State Governor Bob Ferguson signed legislation (</w:t>
      </w:r>
      <w:hyperlink r:id="rId1084" w:history="1">
        <w:r w:rsidRPr="00C81467">
          <w:rPr>
            <w:rStyle w:val="Hyperlink"/>
            <w:shd w:val="clear" w:color="auto" w:fill="FFFFFF"/>
          </w:rPr>
          <w:t>Engrossed Senate Bill (ESB) 6106</w:t>
        </w:r>
      </w:hyperlink>
      <w:r w:rsidRPr="00A2630C">
        <w:rPr>
          <w:shd w:val="clear" w:color="auto" w:fill="FFFFFF"/>
        </w:rPr>
        <w:t xml:space="preserve">) that amends the state’s analogue of the federal Worker Adjustment and Retraining Notification (WARN) Act by changing the definition of “employer” and adjusting the notice requirements to better protect the names and addresses of affected employees. The bill </w:t>
      </w:r>
      <w:r w:rsidRPr="00A2630C">
        <w:rPr>
          <w:shd w:val="clear" w:color="auto" w:fill="FFFFFF"/>
        </w:rPr>
        <w:lastRenderedPageBreak/>
        <w:t>also changes the notices that must contain the names and addresses of employees affected by layoffs. Lastly, the amended mini-WARN Act also stops disclosure under the Public Records Act of the names and addresses of affected employees. The amendments take effect immediately, so employers will want to update their notice forms to accommodate those changes when employers with 50 or more full-time employees in the state have a mass layoffs or business closures impacting 50 or more employees.</w:t>
      </w:r>
    </w:p>
    <w:p w14:paraId="44E6038F" w14:textId="77777777" w:rsidR="00962BDB" w:rsidRDefault="00962BDB" w:rsidP="00337917">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State Passes Law Addressing PFML Taxation</w:t>
      </w:r>
    </w:p>
    <w:p w14:paraId="472357D2" w14:textId="77777777" w:rsidR="00962BDB" w:rsidRPr="0003710C" w:rsidRDefault="00962BDB" w:rsidP="00337917">
      <w:pPr>
        <w:spacing w:after="0" w:line="240" w:lineRule="auto"/>
      </w:pPr>
      <w:r w:rsidRPr="00A2630C">
        <w:t>Washington state has enacted</w:t>
      </w:r>
      <w:r w:rsidRPr="0003710C">
        <w:t xml:space="preserve"> </w:t>
      </w:r>
      <w:hyperlink r:id="rId1085" w:anchor="page=1" w:history="1">
        <w:r w:rsidRPr="0003710C">
          <w:rPr>
            <w:rStyle w:val="Hyperlink"/>
          </w:rPr>
          <w:t>House Bill (HB) 2345</w:t>
        </w:r>
      </w:hyperlink>
      <w:r w:rsidRPr="00A2630C">
        <w:t xml:space="preserve"> in response to an IRS revenue ruling on the federal tax treatment of contributions and payments under state paid family and medical leave (PFML) programs. The new state law modifies the distribution of employer and employee contributions under Washington PFML between family and medical leave premiums. The law is intended to ameliorate tax obligations under the revenue ruling, but </w:t>
      </w:r>
      <w:r w:rsidRPr="00A2630C">
        <w:rPr>
          <w:b/>
          <w:bCs/>
        </w:rPr>
        <w:t>it does not affect how the total premium is divided between employees and employers</w:t>
      </w:r>
      <w:r w:rsidRPr="00A2630C">
        <w:t>. HB 2345 was signed into law on March 11, 2026.</w:t>
      </w:r>
    </w:p>
    <w:p w14:paraId="31ECE915" w14:textId="77777777" w:rsidR="00962BDB" w:rsidRPr="0003710C" w:rsidRDefault="00962BDB" w:rsidP="00337917">
      <w:pPr>
        <w:pStyle w:val="Heading2"/>
        <w:spacing w:before="0" w:line="240" w:lineRule="auto"/>
        <w:rPr>
          <w:color w:val="auto"/>
        </w:rPr>
      </w:pPr>
      <w:r w:rsidRPr="0003710C">
        <w:rPr>
          <w:color w:val="auto"/>
        </w:rPr>
        <w:t>Revenue Ruling 2025-4</w:t>
      </w:r>
    </w:p>
    <w:p w14:paraId="68B6A3A4" w14:textId="77777777" w:rsidR="00962BDB" w:rsidRPr="00A2630C" w:rsidRDefault="00962BDB" w:rsidP="00337917">
      <w:pPr>
        <w:spacing w:after="0" w:line="240" w:lineRule="auto"/>
      </w:pPr>
      <w:r w:rsidRPr="00A2630C">
        <w:t xml:space="preserve">IRS Revenue Ruling 2025-4 issued in January 2025, treats mandatory state PFML benefit amounts attributable to employer contributions for medical leave as income subject to federal income taxes and wages subject to federal employment taxes, including Social Security, Medicare, and Federal Unemployment Tax Act taxes. </w:t>
      </w:r>
    </w:p>
    <w:p w14:paraId="41B0C2B0" w14:textId="77777777" w:rsidR="00962BDB" w:rsidRPr="00A2630C" w:rsidRDefault="00962BDB" w:rsidP="00337917">
      <w:pPr>
        <w:spacing w:after="0" w:line="240" w:lineRule="auto"/>
      </w:pPr>
      <w:r w:rsidRPr="00A2630C">
        <w:t>The ruling does not treat family leave benefit amounts attributable to employer contributions as wages subject to federal employment taxes, although they are subject to federal income taxes.</w:t>
      </w:r>
    </w:p>
    <w:p w14:paraId="3529BA4C" w14:textId="77777777" w:rsidR="00962BDB" w:rsidRPr="00A2630C" w:rsidRDefault="00962BDB" w:rsidP="00337917">
      <w:pPr>
        <w:spacing w:after="0" w:line="240" w:lineRule="auto"/>
      </w:pPr>
      <w:r w:rsidRPr="00A2630C">
        <w:t>The revenue ruling stated that it would not be enforced for calendar year 2025. In December 2025, the IRS extended the enforcement relief through the end of calendar year 2026 for medical leave benefits attributable to employer contributions.</w:t>
      </w:r>
    </w:p>
    <w:p w14:paraId="1CDCBFB7" w14:textId="77777777" w:rsidR="00962BDB" w:rsidRPr="0003710C" w:rsidRDefault="00962BDB" w:rsidP="00337917">
      <w:pPr>
        <w:pStyle w:val="Heading2"/>
        <w:spacing w:before="0" w:line="240" w:lineRule="auto"/>
        <w:rPr>
          <w:b/>
          <w:bCs/>
          <w:color w:val="auto"/>
        </w:rPr>
      </w:pPr>
      <w:r w:rsidRPr="0003710C">
        <w:rPr>
          <w:color w:val="auto"/>
        </w:rPr>
        <w:t>HB 2345</w:t>
      </w:r>
    </w:p>
    <w:p w14:paraId="5BB39B9B" w14:textId="77777777" w:rsidR="00962BDB" w:rsidRPr="00A2630C" w:rsidRDefault="00962BDB" w:rsidP="00337917">
      <w:pPr>
        <w:spacing w:after="0" w:line="240" w:lineRule="auto"/>
      </w:pPr>
      <w:r w:rsidRPr="00A2630C">
        <w:t>The new Washington law was passed at ESD’s request for the purpose of:</w:t>
      </w:r>
    </w:p>
    <w:p w14:paraId="14657821"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Swapping employer contributions through a technical accounting adjustment from the program’s medical leave premiums to the family leave portions; and</w:t>
      </w:r>
    </w:p>
    <w:p w14:paraId="13BE5645"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 xml:space="preserve">Leaving total contributions unchanged for Washington workers and employers. </w:t>
      </w:r>
    </w:p>
    <w:p w14:paraId="08004519" w14:textId="77777777" w:rsidR="00962BDB" w:rsidRPr="00A2630C" w:rsidRDefault="00962BDB" w:rsidP="00337917">
      <w:pPr>
        <w:spacing w:after="0" w:line="240" w:lineRule="auto"/>
        <w:ind w:left="450"/>
      </w:pPr>
      <w:r w:rsidRPr="00A2630C">
        <w:t xml:space="preserve">HB 2345 allows employers to withhold up to 100% of the </w:t>
      </w:r>
      <w:r w:rsidRPr="00A2630C">
        <w:rPr>
          <w:b/>
          <w:bCs/>
        </w:rPr>
        <w:t>family leave</w:t>
      </w:r>
      <w:r w:rsidRPr="00A2630C">
        <w:t xml:space="preserve"> premium from employees’ wages. For the </w:t>
      </w:r>
      <w:r w:rsidRPr="00A2630C">
        <w:rPr>
          <w:b/>
          <w:bCs/>
        </w:rPr>
        <w:t>medical leave premium</w:t>
      </w:r>
      <w:r w:rsidRPr="00A2630C">
        <w:t>, the law allows employers to withhold an amount equal to the difference between:</w:t>
      </w:r>
    </w:p>
    <w:p w14:paraId="0D67941F"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family leave plus 45% of the full amount of the premium required for medical leave; and</w:t>
      </w:r>
    </w:p>
    <w:p w14:paraId="59AA1A0A"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medical leave.</w:t>
      </w:r>
    </w:p>
    <w:p w14:paraId="6DB5D4FC" w14:textId="77777777" w:rsidR="00962BDB" w:rsidRPr="00A2630C" w:rsidRDefault="00962BDB" w:rsidP="00337917">
      <w:pPr>
        <w:spacing w:after="0" w:line="240" w:lineRule="auto"/>
      </w:pPr>
      <w:r w:rsidRPr="00A2630C">
        <w:t>In an</w:t>
      </w:r>
      <w:r w:rsidRPr="0003710C">
        <w:t xml:space="preserve"> </w:t>
      </w:r>
      <w:hyperlink r:id="rId1086" w:history="1">
        <w:r w:rsidRPr="0003710C">
          <w:rPr>
            <w:rStyle w:val="Hyperlink"/>
          </w:rPr>
          <w:t xml:space="preserve">announcement </w:t>
        </w:r>
      </w:hyperlink>
      <w:r w:rsidRPr="0003710C">
        <w:t xml:space="preserve"> </w:t>
      </w:r>
      <w:r w:rsidRPr="00A2630C">
        <w:t>about the law, ESD explained that because employer contributions for paid family leave are not subject to employment taxes, moving employer contributions from medical to family prevents additional federal tax liability. ESD said that had the measure not been passed, up to $30 million annually in tax liabilities would have been drawn from the state’s paid leave trust fund or passed on to Washington employers.</w:t>
      </w:r>
    </w:p>
    <w:p w14:paraId="73B8C234" w14:textId="77777777" w:rsidR="00962BDB" w:rsidRPr="00A2630C" w:rsidRDefault="00962BDB" w:rsidP="00337917">
      <w:pPr>
        <w:spacing w:after="0" w:line="240" w:lineRule="auto"/>
      </w:pPr>
      <w:r w:rsidRPr="00A2630C">
        <w:t>ESD also said that HB 2345 allows employers to avoid significant changes to their business practices that would otherwise be required under the revenue ruling.</w:t>
      </w:r>
    </w:p>
    <w:p w14:paraId="11FF2C12" w14:textId="77777777" w:rsidR="00962BDB" w:rsidRPr="0003710C" w:rsidRDefault="00962BDB" w:rsidP="00337917">
      <w:pPr>
        <w:pStyle w:val="Heading2"/>
        <w:spacing w:before="0" w:line="240" w:lineRule="auto"/>
        <w:rPr>
          <w:b/>
          <w:bCs/>
          <w:color w:val="auto"/>
        </w:rPr>
      </w:pPr>
      <w:r w:rsidRPr="0003710C">
        <w:rPr>
          <w:color w:val="auto"/>
        </w:rPr>
        <w:t>Next Steps for Employers</w:t>
      </w:r>
    </w:p>
    <w:p w14:paraId="054A66AA" w14:textId="77777777" w:rsidR="00962BDB" w:rsidRPr="00A2630C" w:rsidRDefault="00962BDB" w:rsidP="00337917">
      <w:pPr>
        <w:spacing w:after="0" w:line="240" w:lineRule="auto"/>
      </w:pPr>
      <w:r w:rsidRPr="00A2630C">
        <w:t xml:space="preserve">The new law will impact the </w:t>
      </w:r>
      <w:r w:rsidRPr="00A2630C">
        <w:rPr>
          <w:u w:val="single"/>
        </w:rPr>
        <w:t>2027 premium rate split</w:t>
      </w:r>
      <w:r w:rsidRPr="00A2630C">
        <w:t xml:space="preserve"> but does not affect the 2026 premium rate or contribution split. ESD said it will provide information to employers on how to implement the new premium split later this year. </w:t>
      </w:r>
    </w:p>
    <w:p w14:paraId="12513D1C" w14:textId="77777777" w:rsidR="00962BDB" w:rsidRDefault="00962BDB" w:rsidP="00337917">
      <w:pPr>
        <w:spacing w:after="0" w:line="240" w:lineRule="auto"/>
      </w:pPr>
      <w:r w:rsidRPr="00A2630C">
        <w:t>ESD also said it will announce the 2027 premium and detailed premium calculations by mid-November of this year for implementation by employers. </w:t>
      </w:r>
    </w:p>
    <w:p w14:paraId="51A21B3C" w14:textId="77777777" w:rsidR="00962BDB" w:rsidRPr="00A55FB9" w:rsidRDefault="00962BDB" w:rsidP="00962BDB">
      <w:pPr>
        <w:spacing w:after="0" w:line="240" w:lineRule="auto"/>
        <w:rPr>
          <w:sz w:val="16"/>
          <w:szCs w:val="16"/>
        </w:rPr>
      </w:pPr>
    </w:p>
    <w:p w14:paraId="52FBB240" w14:textId="77777777" w:rsidR="00962BDB" w:rsidRDefault="00962BDB" w:rsidP="009B5D14">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 xml:space="preserve">State Passes Law </w:t>
      </w:r>
      <w:r>
        <w:rPr>
          <w:b/>
          <w:bCs/>
          <w:caps/>
          <w:noProof/>
          <w:color w:val="0E425C"/>
          <w:sz w:val="26"/>
          <w:szCs w:val="26"/>
        </w:rPr>
        <w:t xml:space="preserve">BAnning all Noncompete Agreements Effective </w:t>
      </w:r>
      <w:r w:rsidRPr="00A21150">
        <w:rPr>
          <w:b/>
          <w:bCs/>
          <w:caps/>
          <w:color w:val="0070C0"/>
          <w:sz w:val="26"/>
          <w:szCs w:val="26"/>
        </w:rPr>
        <w:t>Jun 30, 2027</w:t>
      </w:r>
    </w:p>
    <w:p w14:paraId="1CF218D8" w14:textId="77777777" w:rsidR="00962BDB" w:rsidRPr="00C41984" w:rsidRDefault="00962BDB" w:rsidP="009B5D14">
      <w:pPr>
        <w:spacing w:after="0" w:line="240" w:lineRule="auto"/>
      </w:pPr>
      <w:r>
        <w:t xml:space="preserve">State </w:t>
      </w:r>
      <w:r w:rsidRPr="00C41984">
        <w:t xml:space="preserve">House Bill 1155 bans noncompetition agreements for all workers in the state, effective June 30, 2027. </w:t>
      </w:r>
    </w:p>
    <w:p w14:paraId="0EAFD6E9" w14:textId="77777777" w:rsidR="00962BDB" w:rsidRPr="00C41984" w:rsidRDefault="00962BDB">
      <w:pPr>
        <w:pStyle w:val="ListParagraph"/>
        <w:numPr>
          <w:ilvl w:val="0"/>
          <w:numId w:val="333"/>
        </w:numPr>
        <w:spacing w:after="0" w:line="240" w:lineRule="auto"/>
      </w:pPr>
      <w:r w:rsidRPr="00C41984">
        <w:t>Under new legislation, all noncompetition covenants in Washington will be void and unenforceable as of June 30, 2027, regardless of when they were executed.</w:t>
      </w:r>
    </w:p>
    <w:p w14:paraId="0AD46437" w14:textId="77777777" w:rsidR="00962BDB" w:rsidRPr="00C41984" w:rsidRDefault="00962BDB">
      <w:pPr>
        <w:numPr>
          <w:ilvl w:val="0"/>
          <w:numId w:val="333"/>
        </w:numPr>
        <w:spacing w:after="0" w:line="240" w:lineRule="auto"/>
      </w:pPr>
      <w:r w:rsidRPr="00C41984">
        <w:t>Noncompetes are defined broadly to include some customer non</w:t>
      </w:r>
      <w:r>
        <w:t>-</w:t>
      </w:r>
      <w:r w:rsidRPr="00C41984">
        <w:t>solicitation agreements, as well as agreements to repay or forfeit pay or benefits if the individual engages in lawful business activity.</w:t>
      </w:r>
    </w:p>
    <w:p w14:paraId="111554F8" w14:textId="77777777" w:rsidR="00962BDB" w:rsidRPr="00C41984" w:rsidRDefault="00962BDB">
      <w:pPr>
        <w:numPr>
          <w:ilvl w:val="0"/>
          <w:numId w:val="333"/>
        </w:numPr>
        <w:spacing w:after="0" w:line="240" w:lineRule="auto"/>
      </w:pPr>
      <w:r w:rsidRPr="00C41984">
        <w:t>The law applies retroactively and requires employers to notify affected employees and independent contractors by October 1, 2027.</w:t>
      </w:r>
    </w:p>
    <w:p w14:paraId="7A697067" w14:textId="77777777" w:rsidR="00962BDB" w:rsidRPr="00C41984" w:rsidRDefault="00962BDB">
      <w:pPr>
        <w:numPr>
          <w:ilvl w:val="0"/>
          <w:numId w:val="333"/>
        </w:numPr>
        <w:spacing w:after="0" w:line="240" w:lineRule="auto"/>
      </w:pPr>
      <w:r w:rsidRPr="00C41984">
        <w:lastRenderedPageBreak/>
        <w:t>Statutory damages and attorney fees are potentially available to aggrieved workers, and the Attorney General may bring enforcement actions.</w:t>
      </w:r>
    </w:p>
    <w:p w14:paraId="3A0A161B" w14:textId="77777777" w:rsidR="00962BDB" w:rsidRPr="008E422E" w:rsidRDefault="00962BDB">
      <w:pPr>
        <w:numPr>
          <w:ilvl w:val="0"/>
          <w:numId w:val="333"/>
        </w:numPr>
        <w:spacing w:after="0" w:line="240" w:lineRule="auto"/>
      </w:pPr>
      <w:r w:rsidRPr="00C41984">
        <w:t>Certain agreements, including narrowly defined non</w:t>
      </w:r>
      <w:r>
        <w:t>-</w:t>
      </w:r>
      <w:r w:rsidRPr="00C41984">
        <w:t>solicitation covenants, confidentiality agreements, and covenants tied to the sale of a business, are not prohibited by the new legislation.</w:t>
      </w:r>
    </w:p>
    <w:p w14:paraId="741568CF" w14:textId="77777777" w:rsidR="00962BDB" w:rsidRPr="009B5D14" w:rsidRDefault="00962BDB" w:rsidP="008167F5">
      <w:pPr>
        <w:spacing w:after="0" w:line="240" w:lineRule="auto"/>
        <w:ind w:left="86"/>
        <w:jc w:val="center"/>
        <w:rPr>
          <w:rFonts w:ascii="Calibri" w:hAnsi="Calibri" w:cs="Calibri"/>
          <w:b/>
          <w:bCs/>
          <w:color w:val="C00000"/>
          <w:sz w:val="16"/>
          <w:szCs w:val="16"/>
          <w:shd w:val="clear" w:color="auto" w:fill="FFFFFF"/>
        </w:rPr>
      </w:pPr>
    </w:p>
    <w:p w14:paraId="3573B2F9" w14:textId="7C8E2459" w:rsidR="004F11ED" w:rsidRPr="00DD7BD1" w:rsidRDefault="004F11ED" w:rsidP="008167F5">
      <w:pPr>
        <w:spacing w:after="0" w:line="240" w:lineRule="auto"/>
        <w:ind w:left="86"/>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New</w:t>
      </w:r>
      <w:r w:rsidR="008167F5" w:rsidRPr="00DD7BD1">
        <w:rPr>
          <w:rFonts w:ascii="Calibri" w:hAnsi="Calibri" w:cs="Calibri"/>
          <w:b/>
          <w:bCs/>
          <w:color w:val="C00000"/>
          <w:sz w:val="28"/>
          <w:szCs w:val="28"/>
          <w:shd w:val="clear" w:color="auto" w:fill="FFFFFF"/>
        </w:rPr>
        <w:t>/</w:t>
      </w:r>
      <w:r w:rsidRPr="00DD7BD1">
        <w:rPr>
          <w:rFonts w:ascii="Calibri" w:hAnsi="Calibri" w:cs="Calibri"/>
          <w:b/>
          <w:bCs/>
          <w:color w:val="C00000"/>
          <w:sz w:val="28"/>
          <w:szCs w:val="28"/>
          <w:shd w:val="clear" w:color="auto" w:fill="FFFFFF"/>
        </w:rPr>
        <w:t>Reminder:</w:t>
      </w:r>
      <w:r w:rsidRPr="00DD7BD1">
        <w:rPr>
          <w:rFonts w:ascii="Calibri" w:hAnsi="Calibri" w:cs="Calibri"/>
          <w:b/>
          <w:bCs/>
          <w:sz w:val="28"/>
          <w:szCs w:val="28"/>
          <w:shd w:val="clear" w:color="auto" w:fill="FFFFFF"/>
        </w:rPr>
        <w:t xml:space="preserve"> State Releases Model Notices &amp; Recap of PFML Changes – </w:t>
      </w:r>
      <w:r w:rsidRPr="00DD7BD1">
        <w:rPr>
          <w:rFonts w:ascii="Calibri" w:hAnsi="Calibri" w:cs="Calibri"/>
          <w:b/>
          <w:bCs/>
          <w:color w:val="C00000"/>
          <w:sz w:val="28"/>
          <w:szCs w:val="28"/>
          <w:shd w:val="clear" w:color="auto" w:fill="FFFFFF"/>
        </w:rPr>
        <w:t>Eff Jan 1, 2026</w:t>
      </w:r>
    </w:p>
    <w:p w14:paraId="32A5BB6C" w14:textId="77777777" w:rsidR="004F11ED" w:rsidRPr="00DD7BD1" w:rsidRDefault="004F11ED" w:rsidP="008167F5">
      <w:pPr>
        <w:pStyle w:val="SubHeader"/>
        <w:spacing w:line="240" w:lineRule="auto"/>
        <w:ind w:left="86"/>
        <w:rPr>
          <w:rFonts w:cs="Calibri"/>
          <w:color w:val="auto"/>
          <w:sz w:val="22"/>
          <w:szCs w:val="22"/>
        </w:rPr>
      </w:pPr>
      <w:r w:rsidRPr="00DD7BD1">
        <w:rPr>
          <w:rFonts w:cs="Calibri"/>
          <w:color w:val="auto"/>
          <w:sz w:val="22"/>
          <w:szCs w:val="22"/>
        </w:rPr>
        <w:t>New PFML Workplace Poster</w:t>
      </w:r>
    </w:p>
    <w:p w14:paraId="1B13E438" w14:textId="77777777" w:rsidR="004F11ED" w:rsidRPr="00DD7BD1" w:rsidRDefault="004F11ED" w:rsidP="008167F5">
      <w:pPr>
        <w:pStyle w:val="BodyText"/>
        <w:ind w:left="90"/>
        <w:rPr>
          <w:rFonts w:cs="Calibri"/>
          <w:color w:val="auto"/>
          <w:szCs w:val="22"/>
        </w:rPr>
      </w:pPr>
      <w:r w:rsidRPr="00DD7BD1">
        <w:rPr>
          <w:rFonts w:cs="Calibri"/>
          <w:color w:val="auto"/>
          <w:szCs w:val="22"/>
        </w:rPr>
        <w:t>The department has updated the workplace PFML</w:t>
      </w:r>
      <w:r w:rsidRPr="00DD7BD1">
        <w:rPr>
          <w:rFonts w:cs="Calibri"/>
          <w:szCs w:val="22"/>
        </w:rPr>
        <w:t xml:space="preserve"> </w:t>
      </w:r>
      <w:hyperlink r:id="rId1087"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which must be posted in a place customarily used to post other employment-related notices. ETC released this Notice in January’s HR WIRE.</w:t>
      </w:r>
    </w:p>
    <w:p w14:paraId="652704D8" w14:textId="77777777" w:rsidR="004F11ED" w:rsidRPr="00DD7BD1" w:rsidRDefault="004F11ED" w:rsidP="008167F5">
      <w:pPr>
        <w:pStyle w:val="SubHeader"/>
        <w:ind w:left="90"/>
        <w:rPr>
          <w:rFonts w:cs="Calibri"/>
          <w:color w:val="auto"/>
          <w:sz w:val="22"/>
          <w:szCs w:val="22"/>
        </w:rPr>
      </w:pPr>
      <w:r w:rsidRPr="00DD7BD1">
        <w:rPr>
          <w:rFonts w:cs="Calibri"/>
          <w:color w:val="auto"/>
          <w:sz w:val="22"/>
          <w:szCs w:val="22"/>
        </w:rPr>
        <w:t>Job-Protected Leave Expanded</w:t>
      </w:r>
    </w:p>
    <w:p w14:paraId="24F1BDC5"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2026</w:t>
      </w:r>
      <w:r w:rsidRPr="00DD7BD1">
        <w:rPr>
          <w:rFonts w:cs="Calibri"/>
          <w:b w:val="0"/>
          <w:bCs/>
          <w:color w:val="auto"/>
          <w:sz w:val="22"/>
          <w:szCs w:val="22"/>
        </w:rPr>
        <w:t>, employers with 25 or more employees </w:t>
      </w:r>
      <w:r w:rsidRPr="00DD7BD1">
        <w:rPr>
          <w:rFonts w:cs="Calibri"/>
          <w:b w:val="0"/>
          <w:bCs/>
          <w:i/>
          <w:iCs/>
          <w:color w:val="auto"/>
          <w:sz w:val="22"/>
          <w:szCs w:val="22"/>
        </w:rPr>
        <w:t>in the state </w:t>
      </w:r>
      <w:r w:rsidRPr="00DD7BD1">
        <w:rPr>
          <w:rFonts w:cs="Calibri"/>
          <w:b w:val="0"/>
          <w:bCs/>
          <w:color w:val="auto"/>
          <w:sz w:val="22"/>
          <w:szCs w:val="22"/>
        </w:rPr>
        <w:t>will be required to provide job-protected leave when employees are using PFML (currently the threshold is 50 or more);</w:t>
      </w:r>
    </w:p>
    <w:p w14:paraId="6909E63C"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2027</w:t>
      </w:r>
      <w:r w:rsidRPr="00DD7BD1">
        <w:rPr>
          <w:rFonts w:cs="Calibri"/>
          <w:b w:val="0"/>
          <w:bCs/>
          <w:color w:val="auto"/>
          <w:sz w:val="22"/>
          <w:szCs w:val="22"/>
        </w:rPr>
        <w:t xml:space="preserve">, the threshold drops to 15 or more; and </w:t>
      </w:r>
    </w:p>
    <w:p w14:paraId="3BD28A6D"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2028</w:t>
      </w:r>
      <w:r w:rsidRPr="00DD7BD1">
        <w:rPr>
          <w:rFonts w:cs="Calibri"/>
          <w:b w:val="0"/>
          <w:bCs/>
          <w:color w:val="auto"/>
          <w:sz w:val="22"/>
          <w:szCs w:val="22"/>
        </w:rPr>
        <w:t xml:space="preserve"> employers with just 8 or more employees will need to provide job protection.</w:t>
      </w:r>
    </w:p>
    <w:p w14:paraId="17155064" w14:textId="77777777" w:rsidR="004F11ED" w:rsidRPr="00DD7BD1" w:rsidRDefault="004F11ED" w:rsidP="008167F5">
      <w:pPr>
        <w:pStyle w:val="SubHeader"/>
        <w:ind w:left="90"/>
        <w:rPr>
          <w:rFonts w:cs="Calibri"/>
          <w:b w:val="0"/>
          <w:bCs/>
          <w:color w:val="auto"/>
          <w:sz w:val="16"/>
          <w:szCs w:val="16"/>
        </w:rPr>
      </w:pPr>
    </w:p>
    <w:p w14:paraId="27B9C92C" w14:textId="77777777" w:rsidR="004F11ED" w:rsidRPr="00DD7BD1" w:rsidRDefault="004F11ED" w:rsidP="008167F5">
      <w:pPr>
        <w:pStyle w:val="SubHeader"/>
        <w:ind w:left="90"/>
        <w:rPr>
          <w:rFonts w:cs="Calibri"/>
          <w:b w:val="0"/>
          <w:bCs/>
          <w:color w:val="auto"/>
          <w:sz w:val="22"/>
          <w:szCs w:val="22"/>
        </w:rPr>
      </w:pPr>
      <w:r w:rsidRPr="00DD7BD1">
        <w:rPr>
          <w:rFonts w:cs="Calibri"/>
          <w:b w:val="0"/>
          <w:bCs/>
          <w:color w:val="auto"/>
          <w:sz w:val="22"/>
          <w:szCs w:val="22"/>
        </w:rPr>
        <w:t>Also beginning in 2026, covered employers will be required to provide job-protected leave to all employees who have worked for at least 180 days.</w:t>
      </w:r>
    </w:p>
    <w:p w14:paraId="1D676358" w14:textId="77777777" w:rsidR="004F11ED" w:rsidRPr="00DD7BD1" w:rsidRDefault="004F11ED" w:rsidP="008167F5">
      <w:pPr>
        <w:pStyle w:val="SubHeader"/>
        <w:jc w:val="center"/>
        <w:rPr>
          <w:rFonts w:cs="Calibri"/>
          <w:color w:val="auto"/>
        </w:rPr>
      </w:pPr>
    </w:p>
    <w:p w14:paraId="225AEFF3" w14:textId="77777777" w:rsidR="004F11ED" w:rsidRPr="00DD7BD1" w:rsidRDefault="004F11ED" w:rsidP="008167F5">
      <w:pPr>
        <w:pStyle w:val="SubHeader"/>
        <w:jc w:val="center"/>
        <w:rPr>
          <w:rFonts w:cs="Calibri"/>
          <w:color w:val="auto"/>
        </w:rPr>
      </w:pPr>
      <w:r w:rsidRPr="00DD7BD1">
        <w:rPr>
          <w:rFonts w:cs="Calibri"/>
          <w:color w:val="C00000"/>
        </w:rPr>
        <w:t xml:space="preserve">New! </w:t>
      </w:r>
      <w:r w:rsidRPr="00DD7BD1">
        <w:rPr>
          <w:rFonts w:cs="Calibri"/>
          <w:color w:val="auto"/>
        </w:rPr>
        <w:t>Notice of Job Protection/Notice of Reinstatement</w:t>
      </w:r>
    </w:p>
    <w:p w14:paraId="15B413F9" w14:textId="77777777" w:rsidR="004F11ED" w:rsidRPr="00DD7BD1" w:rsidRDefault="004F11ED" w:rsidP="008167F5">
      <w:pPr>
        <w:pStyle w:val="BodyText"/>
        <w:rPr>
          <w:rFonts w:cs="Calibri"/>
          <w:color w:val="auto"/>
          <w:szCs w:val="22"/>
        </w:rPr>
      </w:pPr>
      <w:r w:rsidRPr="00DD7BD1">
        <w:rPr>
          <w:rFonts w:cs="Calibri"/>
          <w:color w:val="auto"/>
          <w:szCs w:val="22"/>
        </w:rPr>
        <w:t xml:space="preserve">As mentioned, amendments to PFML effective Jan. 1, 2026, expanded job protection during leave to employees who have worked for their employer for at least </w:t>
      </w:r>
      <w:r w:rsidRPr="00DD7BD1">
        <w:rPr>
          <w:rFonts w:cs="Calibri"/>
          <w:b/>
          <w:bCs/>
          <w:color w:val="auto"/>
          <w:szCs w:val="22"/>
        </w:rPr>
        <w:t xml:space="preserve">180 days </w:t>
      </w:r>
      <w:r w:rsidRPr="00DD7BD1">
        <w:rPr>
          <w:rFonts w:cs="Calibri"/>
          <w:color w:val="auto"/>
          <w:szCs w:val="22"/>
        </w:rPr>
        <w:t xml:space="preserve">(among other changes). Until Jan. 1, job restoration was required only for employees who had worked for their employer for 12 months and for 1,250 hours in the 12 months immediately before the leave. Starting in 2026, job protected leave expands to impact a greater number of employers over the next 3 years. </w:t>
      </w:r>
    </w:p>
    <w:p w14:paraId="386EF101"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 xml:space="preserve">Employers will be required to provide most employees with written notice of the estimated expiration of their right to job restoration and the date they are expected to return to work. </w:t>
      </w:r>
    </w:p>
    <w:p w14:paraId="13207A06"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This notice is required when:</w:t>
      </w:r>
    </w:p>
    <w:p w14:paraId="5FF5F6AB" w14:textId="77777777" w:rsidR="004F11ED" w:rsidRPr="00DD7BD1" w:rsidRDefault="004F11ED">
      <w:pPr>
        <w:pStyle w:val="BodyText"/>
        <w:numPr>
          <w:ilvl w:val="0"/>
          <w:numId w:val="325"/>
        </w:numPr>
        <w:spacing w:after="0" w:line="240" w:lineRule="auto"/>
        <w:ind w:left="540"/>
        <w:rPr>
          <w:rFonts w:cs="Calibri"/>
          <w:color w:val="auto"/>
          <w:szCs w:val="22"/>
        </w:rPr>
      </w:pPr>
      <w:r w:rsidRPr="00DD7BD1">
        <w:rPr>
          <w:rFonts w:cs="Calibri"/>
          <w:color w:val="auto"/>
          <w:szCs w:val="22"/>
        </w:rPr>
        <w:t>The employee takes a continuous leave that </w:t>
      </w:r>
      <w:r w:rsidRPr="00DD7BD1">
        <w:rPr>
          <w:rFonts w:cs="Calibri"/>
          <w:i/>
          <w:iCs/>
          <w:color w:val="auto"/>
          <w:szCs w:val="22"/>
        </w:rPr>
        <w:t>exceeds</w:t>
      </w:r>
      <w:r w:rsidRPr="00DD7BD1">
        <w:rPr>
          <w:rFonts w:cs="Calibri"/>
          <w:color w:val="auto"/>
          <w:szCs w:val="22"/>
        </w:rPr>
        <w:t> two typical workweeks (14 workdays), or</w:t>
      </w:r>
    </w:p>
    <w:p w14:paraId="7A04EAB0" w14:textId="77777777" w:rsidR="004F11ED" w:rsidRPr="00DD7BD1" w:rsidRDefault="004F11ED">
      <w:pPr>
        <w:pStyle w:val="BodyText"/>
        <w:numPr>
          <w:ilvl w:val="0"/>
          <w:numId w:val="325"/>
        </w:numPr>
        <w:spacing w:after="0" w:line="240" w:lineRule="auto"/>
        <w:ind w:left="540"/>
        <w:rPr>
          <w:rFonts w:cs="Calibri"/>
          <w:color w:val="auto"/>
          <w:szCs w:val="22"/>
        </w:rPr>
      </w:pPr>
      <w:r w:rsidRPr="00DD7BD1">
        <w:rPr>
          <w:rFonts w:cs="Calibri"/>
          <w:color w:val="auto"/>
          <w:szCs w:val="22"/>
        </w:rPr>
        <w:t>The employee takes combined intermittent periods of leave of 15 or more typical workdays.</w:t>
      </w:r>
    </w:p>
    <w:p w14:paraId="29AC69B6" w14:textId="77777777" w:rsidR="004F11ED" w:rsidRPr="00DD7BD1" w:rsidRDefault="004F11ED" w:rsidP="008167F5">
      <w:pPr>
        <w:pStyle w:val="BodyText"/>
        <w:spacing w:after="0" w:line="240" w:lineRule="auto"/>
        <w:ind w:left="540"/>
        <w:rPr>
          <w:rFonts w:cs="Calibri"/>
          <w:color w:val="auto"/>
          <w:szCs w:val="22"/>
        </w:rPr>
      </w:pPr>
      <w:r w:rsidRPr="00DD7BD1">
        <w:rPr>
          <w:rFonts w:cs="Calibri"/>
          <w:color w:val="auto"/>
          <w:szCs w:val="22"/>
        </w:rPr>
        <w:t xml:space="preserve">The notice must be provided at least </w:t>
      </w:r>
      <w:r w:rsidRPr="00DD7BD1">
        <w:rPr>
          <w:rFonts w:cs="Calibri"/>
          <w:b/>
          <w:bCs/>
          <w:color w:val="auto"/>
          <w:szCs w:val="22"/>
        </w:rPr>
        <w:t>5 business days in advance</w:t>
      </w:r>
      <w:r w:rsidRPr="00DD7BD1">
        <w:rPr>
          <w:rFonts w:cs="Calibri"/>
          <w:color w:val="auto"/>
          <w:szCs w:val="22"/>
        </w:rPr>
        <w:t>, be in a</w:t>
      </w:r>
      <w:r w:rsidRPr="00DD7BD1">
        <w:rPr>
          <w:rFonts w:cs="Calibri"/>
          <w:b/>
          <w:bCs/>
          <w:color w:val="auto"/>
          <w:szCs w:val="22"/>
        </w:rPr>
        <w:t xml:space="preserve"> language the employee understands</w:t>
      </w:r>
      <w:r w:rsidRPr="00DD7BD1">
        <w:rPr>
          <w:rFonts w:cs="Calibri"/>
          <w:color w:val="auto"/>
          <w:szCs w:val="22"/>
        </w:rPr>
        <w:t>, and be sent by a method that will p</w:t>
      </w:r>
      <w:r w:rsidRPr="00DD7BD1">
        <w:rPr>
          <w:rFonts w:cs="Calibri"/>
          <w:b/>
          <w:bCs/>
          <w:color w:val="auto"/>
          <w:szCs w:val="22"/>
        </w:rPr>
        <w:t>romptly reach the employee</w:t>
      </w:r>
      <w:r w:rsidRPr="00DD7BD1">
        <w:rPr>
          <w:rFonts w:cs="Calibri"/>
          <w:color w:val="auto"/>
          <w:szCs w:val="22"/>
        </w:rPr>
        <w:t xml:space="preserve">. </w:t>
      </w:r>
    </w:p>
    <w:p w14:paraId="566023B0" w14:textId="77777777" w:rsidR="004F11ED" w:rsidRPr="00DD7BD1" w:rsidRDefault="004F11ED" w:rsidP="004F11ED">
      <w:pPr>
        <w:pStyle w:val="BodyText"/>
        <w:spacing w:after="0" w:line="240" w:lineRule="auto"/>
        <w:ind w:left="1980"/>
        <w:rPr>
          <w:rFonts w:cs="Calibri"/>
          <w:color w:val="auto"/>
          <w:sz w:val="16"/>
          <w:szCs w:val="16"/>
        </w:rPr>
      </w:pPr>
    </w:p>
    <w:p w14:paraId="4145F619"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NOTE: For intermittent leave, employers can estimate the expiration date based on information they have from both the employee and the state. The department has created a new</w:t>
      </w:r>
      <w:r w:rsidRPr="00DD7BD1">
        <w:rPr>
          <w:rFonts w:cs="Calibri"/>
          <w:szCs w:val="22"/>
        </w:rPr>
        <w:t xml:space="preserve"> </w:t>
      </w:r>
      <w:hyperlink r:id="rId1088"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employers to use to meet this requirement.</w:t>
      </w:r>
    </w:p>
    <w:p w14:paraId="33FEEAC9" w14:textId="77777777" w:rsidR="004F11ED" w:rsidRPr="00DD7BD1" w:rsidRDefault="004F11ED" w:rsidP="008167F5">
      <w:pPr>
        <w:pStyle w:val="SubHeader"/>
        <w:rPr>
          <w:rFonts w:cs="Calibri"/>
          <w:color w:val="auto"/>
          <w:sz w:val="16"/>
          <w:szCs w:val="16"/>
        </w:rPr>
      </w:pPr>
    </w:p>
    <w:p w14:paraId="5581E25B" w14:textId="77777777" w:rsidR="004F11ED" w:rsidRPr="00DD7BD1" w:rsidRDefault="004F11ED" w:rsidP="008167F5">
      <w:pPr>
        <w:pStyle w:val="SubHeader"/>
        <w:rPr>
          <w:rFonts w:cs="Calibri"/>
          <w:color w:val="auto"/>
          <w:sz w:val="22"/>
          <w:szCs w:val="22"/>
        </w:rPr>
      </w:pPr>
      <w:r w:rsidRPr="00DD7BD1">
        <w:rPr>
          <w:rFonts w:cs="Calibri"/>
          <w:color w:val="auto"/>
          <w:sz w:val="22"/>
          <w:szCs w:val="22"/>
        </w:rPr>
        <w:t>Additional Notices</w:t>
      </w:r>
    </w:p>
    <w:p w14:paraId="4939475E" w14:textId="2469541B" w:rsidR="004F11ED" w:rsidRPr="00DD7BD1" w:rsidRDefault="004F11ED" w:rsidP="008167F5">
      <w:pPr>
        <w:pStyle w:val="BodyText"/>
        <w:rPr>
          <w:rFonts w:cs="Calibri"/>
          <w:color w:val="auto"/>
          <w:szCs w:val="22"/>
        </w:rPr>
      </w:pPr>
      <w:r w:rsidRPr="00DD7BD1">
        <w:rPr>
          <w:rFonts w:cs="Calibri"/>
          <w:color w:val="auto"/>
          <w:szCs w:val="22"/>
        </w:rPr>
        <w:t>Additional notices are expected, such as a notice about counting Family and Medical Leave Act leave against an employee’s PFML job protection, and an updated individual employee notice of PFML.  As released, ETC will alert employer clients of new notices.</w:t>
      </w:r>
      <w:r w:rsidR="008167F5" w:rsidRPr="00DD7BD1">
        <w:rPr>
          <w:rFonts w:cs="Calibri"/>
          <w:color w:val="auto"/>
          <w:szCs w:val="22"/>
        </w:rPr>
        <w:t xml:space="preserve"> </w:t>
      </w:r>
      <w:hyperlink r:id="rId1089" w:tgtFrame="_blank" w:history="1">
        <w:r w:rsidRPr="00DD7BD1">
          <w:rPr>
            <w:rStyle w:val="Hyperlink"/>
            <w:rFonts w:cs="Calibri"/>
            <w:szCs w:val="22"/>
          </w:rPr>
          <w:t>HB 1213</w:t>
        </w:r>
      </w:hyperlink>
      <w:r w:rsidRPr="00DD7BD1">
        <w:rPr>
          <w:rFonts w:cs="Calibri"/>
          <w:color w:val="auto"/>
          <w:szCs w:val="22"/>
        </w:rPr>
        <w:t> was signed by the governor on May 17, 2025.</w:t>
      </w:r>
    </w:p>
    <w:p w14:paraId="542BC1C5" w14:textId="7C8E18BF" w:rsidR="00832362" w:rsidRPr="00DD7BD1" w:rsidRDefault="00832362" w:rsidP="00832362">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Workplace Violence Law for </w:t>
      </w:r>
      <w:r w:rsidRPr="00DD7BD1">
        <w:rPr>
          <w:rFonts w:ascii="Calibri" w:hAnsi="Calibri" w:cs="Calibri"/>
          <w:b/>
          <w:bCs/>
          <w:sz w:val="28"/>
          <w:szCs w:val="28"/>
          <w:u w:val="single"/>
          <w:shd w:val="clear" w:color="auto" w:fill="FFFFFF"/>
          <w:lang w:val="en"/>
        </w:rPr>
        <w:t>Healthcare Settings</w:t>
      </w:r>
      <w:r w:rsidRPr="00DD7BD1">
        <w:rPr>
          <w:rFonts w:ascii="Calibri" w:hAnsi="Calibri" w:cs="Calibri"/>
          <w:b/>
          <w:bCs/>
          <w:sz w:val="28"/>
          <w:szCs w:val="28"/>
          <w:shd w:val="clear" w:color="auto" w:fill="FFFFFF"/>
          <w:lang w:val="en"/>
        </w:rPr>
        <w:t xml:space="preserve"> - Eff </w:t>
      </w:r>
      <w:r w:rsidRPr="00DD7BD1">
        <w:rPr>
          <w:rFonts w:ascii="Calibri" w:hAnsi="Calibri" w:cs="Calibri"/>
          <w:b/>
          <w:bCs/>
          <w:color w:val="C00000"/>
          <w:sz w:val="28"/>
          <w:szCs w:val="28"/>
          <w:shd w:val="clear" w:color="auto" w:fill="FFFFFF"/>
          <w:lang w:val="en"/>
        </w:rPr>
        <w:t>Jan 1, 2026</w:t>
      </w:r>
    </w:p>
    <w:p w14:paraId="27C8A225" w14:textId="4802456F" w:rsidR="00832362" w:rsidRPr="00DD7BD1" w:rsidRDefault="00832362" w:rsidP="00B532F8">
      <w:pPr>
        <w:spacing w:after="0" w:line="240" w:lineRule="auto"/>
        <w:rPr>
          <w:rFonts w:ascii="Calibri" w:hAnsi="Calibri" w:cs="Calibri"/>
        </w:rPr>
      </w:pPr>
      <w:hyperlink r:id="rId1090" w:history="1">
        <w:r w:rsidRPr="00DD7BD1">
          <w:rPr>
            <w:rStyle w:val="Hyperlink"/>
            <w:rFonts w:ascii="Calibri" w:hAnsi="Calibri" w:cs="Calibri"/>
          </w:rPr>
          <w:t>HB 1162</w:t>
        </w:r>
      </w:hyperlink>
      <w:r w:rsidRPr="00DD7BD1">
        <w:rPr>
          <w:rFonts w:ascii="Calibri" w:hAnsi="Calibri" w:cs="Calibri"/>
        </w:rPr>
        <w:t xml:space="preserve"> builds on the 2019 workplace violence prevention law by </w:t>
      </w:r>
      <w:r w:rsidRPr="00DD7BD1">
        <w:rPr>
          <w:rFonts w:ascii="Calibri" w:hAnsi="Calibri" w:cs="Calibri"/>
          <w:b/>
          <w:bCs/>
        </w:rPr>
        <w:t>requiring more frequent and detailed reviews of workplace violence incidents in healthcare settings</w:t>
      </w:r>
      <w:r w:rsidRPr="00DD7BD1">
        <w:rPr>
          <w:rFonts w:ascii="Calibri" w:hAnsi="Calibri" w:cs="Calibri"/>
        </w:rPr>
        <w:t>. (Healthcare settings include certain hospitals, hospice and home care agencies, and evaluation and treatment facilities.) It requires healthcare settings to promptly investigate every workplace violence incident, including identifying the factors that contributed to or caused the incident. Healthcare settings must also submit quarterly summaries of each incident—and the related investigations and analyses—to their safety committee or workplace violence committee, unless an exception applies. Under the amended law, healthcare settings must also conduct an annual comprehensive review and update of their workplace violence prevention plans. By contrast, the current law requires developing and implementing these plans only every three years.</w:t>
      </w:r>
    </w:p>
    <w:p w14:paraId="720370FC" w14:textId="4A6E5685" w:rsidR="00832362" w:rsidRPr="00DD7BD1" w:rsidRDefault="00832362" w:rsidP="008167F5">
      <w:pPr>
        <w:spacing w:after="0" w:line="240" w:lineRule="auto"/>
        <w:rPr>
          <w:rFonts w:ascii="Calibri" w:hAnsi="Calibri" w:cs="Calibri"/>
        </w:rPr>
      </w:pPr>
      <w:r w:rsidRPr="00DD7BD1">
        <w:rPr>
          <w:rFonts w:ascii="Calibri" w:hAnsi="Calibri" w:cs="Calibri"/>
          <w:b/>
          <w:bCs/>
          <w:highlight w:val="lightGray"/>
        </w:rPr>
        <w:lastRenderedPageBreak/>
        <w:t>Employer Takeaway:</w:t>
      </w:r>
      <w:r w:rsidRPr="00DD7BD1">
        <w:rPr>
          <w:rFonts w:ascii="Calibri" w:hAnsi="Calibri" w:cs="Calibri"/>
          <w:b/>
          <w:bCs/>
        </w:rPr>
        <w:t xml:space="preserve"> </w:t>
      </w:r>
      <w:r w:rsidRPr="00DD7BD1">
        <w:rPr>
          <w:rFonts w:ascii="Calibri" w:hAnsi="Calibri" w:cs="Calibri"/>
        </w:rPr>
        <w:t>Employers in healthcare settings should review the enactment and update their workplace policies and procedures accordingly. Employers should also be prepared to train staff on how to properly report, document, and investigate incidents of workplace violence to ensure compliance.</w:t>
      </w:r>
    </w:p>
    <w:p w14:paraId="5C87FDAB" w14:textId="77777777" w:rsidR="008167F5" w:rsidRPr="00DD7BD1" w:rsidRDefault="008167F5" w:rsidP="008167F5">
      <w:pPr>
        <w:spacing w:after="0" w:line="240" w:lineRule="auto"/>
        <w:rPr>
          <w:rFonts w:ascii="Calibri" w:hAnsi="Calibri" w:cs="Calibri"/>
        </w:rPr>
      </w:pPr>
    </w:p>
    <w:p w14:paraId="09126358" w14:textId="41FCD62C" w:rsidR="00832362" w:rsidRPr="00DD7BD1" w:rsidRDefault="00832362" w:rsidP="008167F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Enhanced Workplace Safety Standards for Applicable Isolated Employees - Eff </w:t>
      </w:r>
      <w:r w:rsidRPr="00DD7BD1">
        <w:rPr>
          <w:rFonts w:ascii="Calibri" w:hAnsi="Calibri" w:cs="Calibri"/>
          <w:b/>
          <w:bCs/>
          <w:color w:val="C00000"/>
          <w:sz w:val="28"/>
          <w:szCs w:val="28"/>
          <w:shd w:val="clear" w:color="auto" w:fill="FFFFFF"/>
          <w:lang w:val="en"/>
        </w:rPr>
        <w:t>Jan 1, 2026</w:t>
      </w:r>
    </w:p>
    <w:p w14:paraId="5AC99891" w14:textId="3AD2BF2C" w:rsidR="00832362" w:rsidRPr="00DD7BD1" w:rsidRDefault="00832362" w:rsidP="008167F5">
      <w:pPr>
        <w:spacing w:after="0" w:line="240" w:lineRule="auto"/>
        <w:rPr>
          <w:rFonts w:ascii="Calibri" w:hAnsi="Calibri" w:cs="Calibri"/>
        </w:rPr>
      </w:pPr>
      <w:hyperlink r:id="rId1091" w:history="1">
        <w:r w:rsidRPr="00DD7BD1">
          <w:rPr>
            <w:rStyle w:val="Hyperlink"/>
            <w:rFonts w:ascii="Calibri" w:hAnsi="Calibri" w:cs="Calibri"/>
          </w:rPr>
          <w:t>HB 1524</w:t>
        </w:r>
      </w:hyperlink>
      <w:r w:rsidRPr="00DD7BD1">
        <w:rPr>
          <w:rFonts w:ascii="Calibri" w:hAnsi="Calibri" w:cs="Calibri"/>
        </w:rPr>
        <w:t> applies to</w:t>
      </w:r>
      <w:r w:rsidRPr="00DD7BD1">
        <w:rPr>
          <w:rFonts w:ascii="Calibri" w:hAnsi="Calibri" w:cs="Calibri"/>
          <w:u w:val="single"/>
        </w:rPr>
        <w:t xml:space="preserve"> hotels, motels, retail businesses, security guard companies, and property services</w:t>
      </w:r>
      <w:r w:rsidRPr="00DD7BD1">
        <w:rPr>
          <w:rFonts w:ascii="Calibri" w:hAnsi="Calibri" w:cs="Calibri"/>
        </w:rPr>
        <w:t xml:space="preserve"> contractors that employ at least one isolated worker. </w:t>
      </w:r>
    </w:p>
    <w:p w14:paraId="215ED0A4" w14:textId="62E6E251" w:rsidR="00832362" w:rsidRPr="00DD7BD1" w:rsidRDefault="00832362" w:rsidP="00832362">
      <w:pPr>
        <w:rPr>
          <w:rFonts w:ascii="Calibri" w:hAnsi="Calibri" w:cs="Calibri"/>
        </w:rPr>
      </w:pPr>
      <w:r w:rsidRPr="00DD7BD1">
        <w:rPr>
          <w:rFonts w:ascii="Calibri" w:hAnsi="Calibri" w:cs="Calibri"/>
        </w:rPr>
        <w:t>HB 1524 updates the definition of “isolated employee” and imposes new requirements for panic buttons, which isolated employees must carry. (“Isolated employee” is defined as a janitor, security guard, hotel or motel housekeeper, or room service attendant who either “[p]</w:t>
      </w:r>
      <w:proofErr w:type="spellStart"/>
      <w:r w:rsidRPr="00DD7BD1">
        <w:rPr>
          <w:rFonts w:ascii="Calibri" w:hAnsi="Calibri" w:cs="Calibri"/>
        </w:rPr>
        <w:t>erforms</w:t>
      </w:r>
      <w:proofErr w:type="spellEnd"/>
      <w:r w:rsidRPr="00DD7BD1">
        <w:rPr>
          <w:rFonts w:ascii="Calibri" w:hAnsi="Calibri" w:cs="Calibri"/>
        </w:rPr>
        <w:t xml:space="preserve"> work in an area where two or more coworkers, supervisors, or a combination thereof are unable to immediately respond to an emergency without being summoned by the employee” or “spends at least 50 percent of her or his working hours without a supervisor or coworker present.”) Employers must train isolated employees on the proper use of panic buttons and instruct managers and supervisors on their responsibilities to respond to panic button alerts. The amendment also sets minimum standards for panic buttons, including ease of use. Employers are required to maintain records of panic button purchases, usage, and training. Willful violations may result in civil penalties of $1,000 per violation and up to $10,000 for repeat violations.</w:t>
      </w:r>
    </w:p>
    <w:p w14:paraId="538FF160" w14:textId="06F69A19" w:rsidR="00832362" w:rsidRPr="00DD7BD1" w:rsidRDefault="00832362" w:rsidP="00832362">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Employers of isolated employees should review the regulatory requirements and update both their policies and procedures regarding the use of panic buttons to ensure compliance with the new requirements.</w:t>
      </w:r>
    </w:p>
    <w:p w14:paraId="39DE4527" w14:textId="44AD9DEA" w:rsidR="00E732BB" w:rsidRPr="00DD7BD1" w:rsidRDefault="00E732BB" w:rsidP="00E732BB">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Announces PFML Premium Rate for 2026 – Eff </w:t>
      </w:r>
      <w:r w:rsidRPr="00DD7BD1">
        <w:rPr>
          <w:rFonts w:ascii="Calibri" w:hAnsi="Calibri" w:cs="Calibri"/>
          <w:b/>
          <w:bCs/>
          <w:color w:val="C00000"/>
          <w:sz w:val="28"/>
          <w:szCs w:val="28"/>
          <w:shd w:val="clear" w:color="auto" w:fill="FFFFFF"/>
        </w:rPr>
        <w:t>Jan 1, 2026</w:t>
      </w:r>
    </w:p>
    <w:p w14:paraId="1F0FB838" w14:textId="77777777" w:rsidR="00E732BB" w:rsidRPr="00DD7BD1" w:rsidRDefault="00E732BB" w:rsidP="00E732BB">
      <w:pPr>
        <w:pStyle w:val="BodyText"/>
        <w:spacing w:after="0" w:line="240" w:lineRule="auto"/>
        <w:rPr>
          <w:rFonts w:cs="Calibri"/>
          <w:color w:val="auto"/>
          <w:szCs w:val="22"/>
        </w:rPr>
      </w:pPr>
      <w:r w:rsidRPr="00DD7BD1">
        <w:rPr>
          <w:rFonts w:cs="Calibri"/>
          <w:color w:val="auto"/>
          <w:szCs w:val="22"/>
        </w:rPr>
        <w:t xml:space="preserve">Washington state has announced an increase to its paid family and medical leave (PFML)  </w:t>
      </w:r>
      <w:hyperlink r:id="rId1092" w:history="1">
        <w:r w:rsidRPr="00DD7BD1">
          <w:rPr>
            <w:rStyle w:val="Hyperlink"/>
            <w:rFonts w:cs="Calibri"/>
            <w:szCs w:val="22"/>
          </w:rPr>
          <w:t>premium rate</w:t>
        </w:r>
      </w:hyperlink>
      <w:r w:rsidRPr="00DD7BD1">
        <w:rPr>
          <w:rFonts w:cs="Calibri"/>
          <w:szCs w:val="22"/>
        </w:rPr>
        <w:t xml:space="preserve"> </w:t>
      </w:r>
      <w:r w:rsidRPr="00DD7BD1">
        <w:rPr>
          <w:rFonts w:cs="Calibri"/>
          <w:color w:val="auto"/>
          <w:szCs w:val="22"/>
        </w:rPr>
        <w:t xml:space="preserve">for 2026. The rate is adjusted annually based on premiums contributed and benefits paid during the previous year. </w:t>
      </w:r>
    </w:p>
    <w:p w14:paraId="391B0806"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2026 Premium Rate</w:t>
      </w:r>
    </w:p>
    <w:p w14:paraId="5D0F9330" w14:textId="77777777" w:rsidR="00E732BB" w:rsidRPr="00DD7BD1" w:rsidRDefault="00E732BB" w:rsidP="00E732BB">
      <w:pPr>
        <w:pStyle w:val="BodyText"/>
        <w:rPr>
          <w:rFonts w:cs="Calibri"/>
          <w:color w:val="auto"/>
          <w:szCs w:val="22"/>
        </w:rPr>
      </w:pPr>
      <w:r w:rsidRPr="00DD7BD1">
        <w:rPr>
          <w:rFonts w:cs="Calibri"/>
          <w:color w:val="auto"/>
          <w:szCs w:val="22"/>
        </w:rPr>
        <w:t>Starting Jan. 1, 2026, the PFML premium rate will be</w:t>
      </w:r>
      <w:r w:rsidRPr="00DD7BD1">
        <w:rPr>
          <w:rStyle w:val="Strong"/>
          <w:rFonts w:cs="Calibri"/>
          <w:color w:val="auto"/>
          <w:szCs w:val="22"/>
        </w:rPr>
        <w:t xml:space="preserve"> </w:t>
      </w:r>
      <w:r w:rsidRPr="00DD7BD1">
        <w:rPr>
          <w:rFonts w:cs="Calibri"/>
          <w:b/>
          <w:bCs/>
          <w:color w:val="auto"/>
          <w:szCs w:val="22"/>
        </w:rPr>
        <w:t xml:space="preserve">1.13% </w:t>
      </w:r>
      <w:r w:rsidRPr="00DD7BD1">
        <w:rPr>
          <w:rFonts w:cs="Calibri"/>
          <w:color w:val="auto"/>
          <w:szCs w:val="22"/>
        </w:rPr>
        <w:t>of each employee’s gross wages, not including tips, up to the 2026 Social Security cap of $184,500. This is an increase from the 2025 premium rate of 0.92% of wages.</w:t>
      </w:r>
    </w:p>
    <w:p w14:paraId="398E7D71" w14:textId="77777777" w:rsidR="00E732BB" w:rsidRPr="00DD7BD1" w:rsidRDefault="00E732BB" w:rsidP="00E732BB">
      <w:pPr>
        <w:pStyle w:val="BodyText"/>
        <w:rPr>
          <w:rFonts w:cs="Calibri"/>
          <w:color w:val="auto"/>
          <w:szCs w:val="22"/>
        </w:rPr>
      </w:pPr>
      <w:r w:rsidRPr="00DD7BD1">
        <w:rPr>
          <w:rFonts w:cs="Calibri"/>
          <w:color w:val="auto"/>
          <w:szCs w:val="22"/>
        </w:rPr>
        <w:t xml:space="preserve">Of the total 1.13% contribution in 2026, employers with 50 or more employees will pay </w:t>
      </w:r>
      <w:r w:rsidRPr="00DD7BD1">
        <w:rPr>
          <w:rFonts w:cs="Calibri"/>
          <w:b/>
          <w:bCs/>
          <w:color w:val="auto"/>
          <w:szCs w:val="22"/>
        </w:rPr>
        <w:t>28.57%</w:t>
      </w:r>
      <w:r w:rsidRPr="00DD7BD1">
        <w:rPr>
          <w:rFonts w:cs="Calibri"/>
          <w:color w:val="auto"/>
          <w:szCs w:val="22"/>
        </w:rPr>
        <w:t xml:space="preserve">, and employee withholding will cover the remaining 71.43%, a similar ratio as in 2025. Employers may pay some or </w:t>
      </w:r>
      <w:proofErr w:type="gramStart"/>
      <w:r w:rsidRPr="00DD7BD1">
        <w:rPr>
          <w:rFonts w:cs="Calibri"/>
          <w:color w:val="auto"/>
          <w:szCs w:val="22"/>
        </w:rPr>
        <w:t>all of</w:t>
      </w:r>
      <w:proofErr w:type="gramEnd"/>
      <w:r w:rsidRPr="00DD7BD1">
        <w:rPr>
          <w:rFonts w:cs="Calibri"/>
          <w:color w:val="auto"/>
          <w:szCs w:val="22"/>
        </w:rPr>
        <w:t xml:space="preserve"> the employees’ share on their behalf if they choose. Employers with </w:t>
      </w:r>
      <w:r w:rsidRPr="00DD7BD1">
        <w:rPr>
          <w:rFonts w:cs="Calibri"/>
          <w:b/>
          <w:color w:val="auto"/>
          <w:szCs w:val="22"/>
        </w:rPr>
        <w:t>fewer than 50 employees</w:t>
      </w:r>
      <w:r w:rsidRPr="00DD7BD1">
        <w:rPr>
          <w:rFonts w:cs="Calibri"/>
          <w:color w:val="auto"/>
          <w:szCs w:val="22"/>
        </w:rPr>
        <w:t xml:space="preserve"> employed in the state are not required to pay the employer portion of premiums, but they are eligible for grant assistance if they do.</w:t>
      </w:r>
    </w:p>
    <w:p w14:paraId="2A6F2C32" w14:textId="77777777" w:rsidR="00E732BB" w:rsidRPr="00DD7BD1" w:rsidRDefault="00E732BB" w:rsidP="00E732BB">
      <w:pPr>
        <w:pStyle w:val="SubHeader"/>
        <w:rPr>
          <w:rFonts w:cs="Calibri"/>
          <w:color w:val="auto"/>
          <w:sz w:val="22"/>
          <w:szCs w:val="22"/>
        </w:rPr>
      </w:pPr>
      <w:r w:rsidRPr="00DD7BD1">
        <w:rPr>
          <w:rFonts w:cs="Calibri"/>
          <w:noProof/>
          <w:color w:val="auto"/>
          <w:sz w:val="22"/>
          <w:szCs w:val="22"/>
        </w:rPr>
        <w:t>Employer Withholding</w:t>
      </w:r>
      <w:r w:rsidRPr="00DD7BD1">
        <w:rPr>
          <w:rFonts w:cs="Calibri"/>
          <w:color w:val="auto"/>
          <w:sz w:val="22"/>
          <w:szCs w:val="22"/>
        </w:rPr>
        <w:t xml:space="preserve"> </w:t>
      </w:r>
    </w:p>
    <w:p w14:paraId="05FF5355" w14:textId="77777777" w:rsidR="00E732BB" w:rsidRPr="00DD7BD1" w:rsidRDefault="00E732BB" w:rsidP="00E732BB">
      <w:pPr>
        <w:pStyle w:val="BodyText"/>
        <w:rPr>
          <w:rFonts w:cs="Calibri"/>
          <w:color w:val="auto"/>
          <w:szCs w:val="22"/>
        </w:rPr>
      </w:pPr>
      <w:r w:rsidRPr="00DD7BD1">
        <w:rPr>
          <w:rFonts w:cs="Calibri"/>
          <w:color w:val="auto"/>
          <w:szCs w:val="22"/>
        </w:rPr>
        <w:t xml:space="preserve">All employers must withhold employees’ premiums from their paychecks </w:t>
      </w:r>
      <w:r w:rsidRPr="00DD7BD1">
        <w:rPr>
          <w:rFonts w:cs="Calibri"/>
          <w:bCs/>
          <w:color w:val="auto"/>
          <w:szCs w:val="22"/>
        </w:rPr>
        <w:t xml:space="preserve">and </w:t>
      </w:r>
      <w:r w:rsidRPr="00DD7BD1">
        <w:rPr>
          <w:rFonts w:cs="Calibri"/>
          <w:color w:val="auto"/>
          <w:szCs w:val="22"/>
        </w:rPr>
        <w:t xml:space="preserve">pay the employer’s share, if any. The payments are made quarterly, with the filing of employer reports through </w:t>
      </w:r>
      <w:hyperlink r:id="rId1093" w:history="1">
        <w:proofErr w:type="spellStart"/>
        <w:r w:rsidRPr="00DD7BD1">
          <w:rPr>
            <w:rStyle w:val="Hyperlink"/>
            <w:rFonts w:cs="Calibri"/>
            <w:szCs w:val="22"/>
          </w:rPr>
          <w:t>SecureAccess</w:t>
        </w:r>
        <w:proofErr w:type="spellEnd"/>
        <w:r w:rsidRPr="00DD7BD1">
          <w:rPr>
            <w:rStyle w:val="Hyperlink"/>
            <w:rFonts w:cs="Calibri"/>
            <w:szCs w:val="22"/>
          </w:rPr>
          <w:t xml:space="preserve"> Washington</w:t>
        </w:r>
      </w:hyperlink>
      <w:r w:rsidRPr="00DD7BD1">
        <w:rPr>
          <w:rFonts w:cs="Calibri"/>
          <w:szCs w:val="22"/>
        </w:rPr>
        <w:t xml:space="preserve">. </w:t>
      </w:r>
      <w:r w:rsidRPr="00DD7BD1">
        <w:rPr>
          <w:rFonts w:cs="Calibri"/>
          <w:color w:val="auto"/>
          <w:szCs w:val="22"/>
        </w:rPr>
        <w:t>First-quarter premiums using the new rate are due by the end of April 2026. Employers may not retroactively withhold premiums from employees.</w:t>
      </w:r>
    </w:p>
    <w:p w14:paraId="2F2C9D33"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Upcoming Changes to PFML</w:t>
      </w:r>
    </w:p>
    <w:p w14:paraId="3AA3D2E4" w14:textId="51A31349" w:rsidR="00E732BB" w:rsidRPr="00DD7BD1" w:rsidRDefault="00E732BB" w:rsidP="001B7DD5">
      <w:pPr>
        <w:pStyle w:val="BodyText"/>
        <w:spacing w:after="0" w:line="240" w:lineRule="auto"/>
        <w:rPr>
          <w:rFonts w:cs="Calibri"/>
          <w:color w:val="auto"/>
          <w:szCs w:val="22"/>
        </w:rPr>
      </w:pPr>
      <w:r w:rsidRPr="00DD7BD1">
        <w:rPr>
          <w:rFonts w:cs="Calibri"/>
          <w:color w:val="auto"/>
          <w:szCs w:val="22"/>
        </w:rPr>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569A033B" w14:textId="77777777" w:rsidR="001B7DD5" w:rsidRPr="00DD7BD1" w:rsidRDefault="001B7DD5" w:rsidP="001B7DD5">
      <w:pPr>
        <w:spacing w:after="0" w:line="240" w:lineRule="auto"/>
        <w:jc w:val="center"/>
        <w:rPr>
          <w:rFonts w:ascii="Calibri" w:hAnsi="Calibri" w:cs="Calibri"/>
          <w:b/>
          <w:bCs/>
          <w:shd w:val="clear" w:color="auto" w:fill="FFFFFF"/>
        </w:rPr>
      </w:pPr>
    </w:p>
    <w:p w14:paraId="72C8986A" w14:textId="7BB129B5" w:rsidR="00C4571D" w:rsidRPr="00DD7BD1" w:rsidRDefault="00C4571D" w:rsidP="001B7DD5">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State’s Minimum Wage &amp; Salary Threshold Increasing – </w:t>
      </w:r>
      <w:r w:rsidRPr="00DD7BD1">
        <w:rPr>
          <w:rFonts w:ascii="Calibri" w:hAnsi="Calibri" w:cs="Calibri"/>
          <w:b/>
          <w:bCs/>
          <w:color w:val="C00000"/>
          <w:sz w:val="28"/>
          <w:szCs w:val="28"/>
          <w:shd w:val="clear" w:color="auto" w:fill="FFFFFF"/>
        </w:rPr>
        <w:t>Jan 1, 2026</w:t>
      </w:r>
    </w:p>
    <w:p w14:paraId="5BAAA3BA" w14:textId="03C001BB"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Washington currently holds the nation’s highest state minimum wage at $16.66/hour. Effective January 1, 2026, the state minimum wage will increase </w:t>
      </w:r>
      <w:r w:rsidRPr="00DD7BD1">
        <w:rPr>
          <w:rFonts w:ascii="Calibri" w:hAnsi="Calibri" w:cs="Calibri"/>
          <w:b/>
          <w:bCs/>
          <w:shd w:val="clear" w:color="auto" w:fill="FFFFFF"/>
        </w:rPr>
        <w:t>to $17.13/hour</w:t>
      </w:r>
      <w:r w:rsidRPr="00DD7BD1">
        <w:rPr>
          <w:rFonts w:ascii="Calibri" w:hAnsi="Calibri" w:cs="Calibri"/>
          <w:shd w:val="clear" w:color="auto" w:fill="FFFFFF"/>
        </w:rPr>
        <w:t xml:space="preserve">, reflecting a 2.8 percent increase. </w:t>
      </w:r>
    </w:p>
    <w:p w14:paraId="4988C691" w14:textId="77777777" w:rsidR="00C4571D" w:rsidRPr="00DD7BD1" w:rsidRDefault="00C4571D" w:rsidP="001B7DD5">
      <w:pPr>
        <w:spacing w:after="0" w:line="240" w:lineRule="auto"/>
        <w:rPr>
          <w:rFonts w:ascii="Calibri" w:hAnsi="Calibri" w:cs="Calibri"/>
          <w:sz w:val="16"/>
          <w:szCs w:val="16"/>
          <w:shd w:val="clear" w:color="auto" w:fill="FFFFFF"/>
        </w:rPr>
      </w:pPr>
    </w:p>
    <w:p w14:paraId="0728E42E" w14:textId="56056C3F" w:rsidR="00C4571D" w:rsidRPr="00DD7BD1" w:rsidRDefault="00C4571D" w:rsidP="001B7DD5">
      <w:pPr>
        <w:spacing w:after="0" w:line="240" w:lineRule="auto"/>
        <w:rPr>
          <w:rFonts w:ascii="Calibri" w:hAnsi="Calibri" w:cs="Calibri"/>
          <w:b/>
          <w:bCs/>
          <w:shd w:val="clear" w:color="auto" w:fill="FFFFFF"/>
        </w:rPr>
      </w:pPr>
      <w:r w:rsidRPr="00DD7BD1">
        <w:rPr>
          <w:rFonts w:ascii="Calibri" w:hAnsi="Calibri" w:cs="Calibri"/>
          <w:shd w:val="clear" w:color="auto" w:fill="FFFFFF"/>
        </w:rPr>
        <w:lastRenderedPageBreak/>
        <w:t xml:space="preserve">To qualify </w:t>
      </w:r>
      <w:r w:rsidRPr="00DD7BD1">
        <w:rPr>
          <w:rFonts w:ascii="Calibri" w:hAnsi="Calibri" w:cs="Calibri"/>
          <w:b/>
          <w:bCs/>
          <w:shd w:val="clear" w:color="auto" w:fill="FFFFFF"/>
        </w:rPr>
        <w:t>as exempt from overtime</w:t>
      </w:r>
      <w:r w:rsidRPr="00DD7BD1">
        <w:rPr>
          <w:rFonts w:ascii="Calibri" w:hAnsi="Calibri" w:cs="Calibri"/>
          <w:shd w:val="clear" w:color="auto" w:fill="FFFFFF"/>
        </w:rPr>
        <w:t xml:space="preserve">, employees must meet a </w:t>
      </w:r>
      <w:r w:rsidRPr="00DD7BD1">
        <w:rPr>
          <w:rFonts w:ascii="Calibri" w:hAnsi="Calibri" w:cs="Calibri"/>
          <w:b/>
          <w:bCs/>
          <w:shd w:val="clear" w:color="auto" w:fill="FFFFFF"/>
        </w:rPr>
        <w:t>minimum salary threshold</w:t>
      </w:r>
      <w:r w:rsidRPr="00DD7BD1">
        <w:rPr>
          <w:rFonts w:ascii="Calibri" w:hAnsi="Calibri" w:cs="Calibri"/>
          <w:shd w:val="clear" w:color="auto" w:fill="FFFFFF"/>
        </w:rPr>
        <w:t>, as well as a job duties test.</w:t>
      </w:r>
      <w:r w:rsidRPr="00DD7BD1">
        <w:rPr>
          <w:rFonts w:ascii="Calibri" w:hAnsi="Calibri" w:cs="Calibri"/>
          <w:color w:val="292929"/>
          <w:spacing w:val="3"/>
        </w:rPr>
        <w:t xml:space="preserve"> </w:t>
      </w:r>
      <w:r w:rsidRPr="00DD7BD1">
        <w:rPr>
          <w:rFonts w:ascii="Calibri" w:hAnsi="Calibri" w:cs="Calibri"/>
          <w:shd w:val="clear" w:color="auto" w:fill="FFFFFF"/>
        </w:rPr>
        <w:t xml:space="preserve">Starting January 1, 2026, all Washington employers must pay exempt employees at least 2.25 times the state minimum wage, </w:t>
      </w:r>
      <w:r w:rsidRPr="00DD7BD1">
        <w:rPr>
          <w:rFonts w:ascii="Calibri" w:hAnsi="Calibri" w:cs="Calibri"/>
          <w:b/>
          <w:bCs/>
          <w:shd w:val="clear" w:color="auto" w:fill="FFFFFF"/>
        </w:rPr>
        <w:t>equivalent to $80,168.40/year.</w:t>
      </w:r>
    </w:p>
    <w:p w14:paraId="6A9E2DCF" w14:textId="77777777" w:rsidR="00171B2A" w:rsidRPr="00DD7BD1" w:rsidRDefault="00171B2A" w:rsidP="001B7DD5">
      <w:pPr>
        <w:spacing w:after="0" w:line="240" w:lineRule="auto"/>
        <w:rPr>
          <w:rFonts w:ascii="Calibri" w:hAnsi="Calibri" w:cs="Calibri"/>
          <w:b/>
          <w:bCs/>
          <w:sz w:val="16"/>
          <w:szCs w:val="16"/>
          <w:shd w:val="clear" w:color="auto" w:fill="FFFFFF"/>
        </w:rPr>
      </w:pPr>
    </w:p>
    <w:p w14:paraId="69B3070A"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shd w:val="clear" w:color="auto" w:fill="FFFFFF"/>
        </w:rPr>
        <w:t>Updated Local Minimum Wages:</w:t>
      </w:r>
      <w:r w:rsidRPr="00DD7BD1">
        <w:rPr>
          <w:rFonts w:ascii="Calibri" w:hAnsi="Calibri" w:cs="Calibri"/>
          <w:shd w:val="clear" w:color="auto" w:fill="FFFFFF"/>
        </w:rPr>
        <w:br/>
      </w:r>
      <w:r w:rsidRPr="00DD7BD1">
        <w:rPr>
          <w:rFonts w:ascii="Calibri" w:hAnsi="Calibri" w:cs="Calibri"/>
          <w:b/>
          <w:bCs/>
          <w:i/>
          <w:iCs/>
          <w:shd w:val="clear" w:color="auto" w:fill="FFFFFF"/>
        </w:rPr>
        <w:t>Bellingham</w:t>
      </w:r>
      <w:r w:rsidRPr="00DD7BD1">
        <w:rPr>
          <w:rFonts w:ascii="Calibri" w:hAnsi="Calibri" w:cs="Calibri"/>
          <w:shd w:val="clear" w:color="auto" w:fill="FFFFFF"/>
        </w:rPr>
        <w:br/>
        <w:t>Bellingham’s minimum wage will increase to $19.13 to remain $2 more than the state’s minimum wage.</w:t>
      </w:r>
    </w:p>
    <w:p w14:paraId="1421F75B"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Conflicted Burien</w:t>
      </w:r>
      <w:r w:rsidRPr="00DD7BD1">
        <w:rPr>
          <w:rFonts w:ascii="Calibri" w:hAnsi="Calibri" w:cs="Calibri"/>
          <w:shd w:val="clear" w:color="auto" w:fill="FFFFFF"/>
        </w:rPr>
        <w:br/>
        <w:t>Burien’s minimum wage is still in litigation, but if the ordinance ultimately succeeds, the minimum wage rate will </w:t>
      </w:r>
      <w:r w:rsidRPr="00DD7BD1">
        <w:rPr>
          <w:rFonts w:ascii="Calibri" w:hAnsi="Calibri" w:cs="Calibri"/>
          <w:i/>
          <w:iCs/>
          <w:shd w:val="clear" w:color="auto" w:fill="FFFFFF"/>
        </w:rPr>
        <w:t>officially </w:t>
      </w:r>
      <w:r w:rsidRPr="00DD7BD1">
        <w:rPr>
          <w:rFonts w:ascii="Calibri" w:hAnsi="Calibri" w:cs="Calibri"/>
          <w:shd w:val="clear" w:color="auto" w:fill="FFFFFF"/>
        </w:rPr>
        <w:t>be $20.63 ($3.50 over the state rate) for employers with 21–499 employees in King County, and $21.63 ($4.50 over the state rate) for employers with 500+ full-time equivalent employees in King County. Smaller employers remain subject to the state rate.</w:t>
      </w:r>
    </w:p>
    <w:p w14:paraId="761B2709"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Everett</w:t>
      </w:r>
      <w:r w:rsidRPr="00DD7BD1">
        <w:rPr>
          <w:rFonts w:ascii="Calibri" w:hAnsi="Calibri" w:cs="Calibri"/>
          <w:shd w:val="clear" w:color="auto" w:fill="FFFFFF"/>
        </w:rPr>
        <w:br/>
        <w:t>The hourly minimum wage in Everett will increase as follows:</w:t>
      </w:r>
    </w:p>
    <w:p w14:paraId="0AB58154"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$20.77 for large employers with more than 500 employees</w:t>
      </w:r>
    </w:p>
    <w:p w14:paraId="702F2D22"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$18.77 for employers with 15–500 employees or annual revenue of over $2M</w:t>
      </w:r>
    </w:p>
    <w:p w14:paraId="5CE365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14 or fewer employees and annual revenue of $2M or less, the state rate applies.</w:t>
      </w:r>
    </w:p>
    <w:p w14:paraId="1AB39B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Unincorporated King County</w:t>
      </w:r>
      <w:r w:rsidRPr="00DD7BD1">
        <w:rPr>
          <w:rFonts w:ascii="Calibri" w:hAnsi="Calibri" w:cs="Calibri"/>
          <w:shd w:val="clear" w:color="auto" w:fill="FFFFFF"/>
        </w:rPr>
        <w:br/>
        <w:t>The hourly minimum wage in unincorporated King County will increase as follows:</w:t>
      </w:r>
    </w:p>
    <w:p w14:paraId="775B1F2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$18.32 for employers with 15 or fewer employees and less than $2M in annual revenue</w:t>
      </w:r>
    </w:p>
    <w:p w14:paraId="7DC85252"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15 or fewer employees and $2M+ in annual revenue</w:t>
      </w:r>
    </w:p>
    <w:p w14:paraId="090B048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16–499 employees</w:t>
      </w:r>
    </w:p>
    <w:p w14:paraId="06BAA3AA"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$20.82 for employers with 500+ employees</w:t>
      </w:r>
    </w:p>
    <w:p w14:paraId="41256FB3"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Renton</w:t>
      </w:r>
      <w:r w:rsidRPr="00DD7BD1">
        <w:rPr>
          <w:rFonts w:ascii="Calibri" w:hAnsi="Calibri" w:cs="Calibri"/>
          <w:shd w:val="clear" w:color="auto" w:fill="FFFFFF"/>
        </w:rPr>
        <w:br/>
        <w:t>The hourly minimum wage in Renton will increase as follows:</w:t>
      </w:r>
    </w:p>
    <w:p w14:paraId="543AEFAE"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$20.57 for employers with 15–500 employees </w:t>
      </w:r>
      <w:r w:rsidRPr="00DD7BD1">
        <w:rPr>
          <w:rFonts w:ascii="Calibri" w:hAnsi="Calibri" w:cs="Calibri"/>
          <w:i/>
          <w:iCs/>
          <w:shd w:val="clear" w:color="auto" w:fill="FFFFFF"/>
        </w:rPr>
        <w:t>or</w:t>
      </w:r>
      <w:r w:rsidRPr="00DD7BD1">
        <w:rPr>
          <w:rFonts w:ascii="Calibri" w:hAnsi="Calibri" w:cs="Calibri"/>
          <w:shd w:val="clear" w:color="auto" w:fill="FFFFFF"/>
        </w:rPr>
        <w:t> $2M+ annual revenue within Renton</w:t>
      </w:r>
    </w:p>
    <w:p w14:paraId="7409D540"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$21.57 for employers with 501+ employees worldwide</w:t>
      </w:r>
    </w:p>
    <w:p w14:paraId="3846FFC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meet any of the above criteria aren’t subject to the city’s minimum wage, so the state rate applies.</w:t>
      </w:r>
    </w:p>
    <w:p w14:paraId="16CFFF3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SeaTac Hospitality and Transportation Industry</w:t>
      </w:r>
      <w:r w:rsidRPr="00DD7BD1">
        <w:rPr>
          <w:rFonts w:ascii="Calibri" w:hAnsi="Calibri" w:cs="Calibri"/>
          <w:shd w:val="clear" w:color="auto" w:fill="FFFFFF"/>
        </w:rPr>
        <w:br/>
        <w:t>The minimum wage for hospitality and transportation industry workers in SeaTac will increase to $20.74 per hour. The state rate applies to those in other industries.</w:t>
      </w:r>
    </w:p>
    <w:p w14:paraId="447EAD1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Seattle</w:t>
      </w:r>
      <w:r w:rsidRPr="00DD7BD1">
        <w:rPr>
          <w:rFonts w:ascii="Calibri" w:hAnsi="Calibri" w:cs="Calibri"/>
          <w:shd w:val="clear" w:color="auto" w:fill="FFFFFF"/>
        </w:rPr>
        <w:br/>
        <w:t>Seattle’s minimum wage will increase to $21.30 per hour for all employers.</w:t>
      </w:r>
    </w:p>
    <w:p w14:paraId="130609CF" w14:textId="066D5B8A"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Tukwila</w:t>
      </w:r>
      <w:r w:rsidRPr="00DD7BD1">
        <w:rPr>
          <w:rFonts w:ascii="Calibri" w:hAnsi="Calibri" w:cs="Calibri"/>
          <w:shd w:val="clear" w:color="auto" w:fill="FFFFFF"/>
        </w:rPr>
        <w:br/>
        <w:t>The minimum wage in Tukwila will increase to $21.65 per hour for all employers.</w:t>
      </w:r>
    </w:p>
    <w:p w14:paraId="13872D43" w14:textId="77777777" w:rsidR="00D22205" w:rsidRPr="00DD7BD1" w:rsidRDefault="00D22205" w:rsidP="001B7DD5">
      <w:pPr>
        <w:spacing w:after="0" w:line="240" w:lineRule="auto"/>
        <w:rPr>
          <w:rFonts w:ascii="Calibri" w:hAnsi="Calibri" w:cs="Calibri"/>
          <w:shd w:val="clear" w:color="auto" w:fill="FFFFFF"/>
        </w:rPr>
      </w:pPr>
    </w:p>
    <w:p w14:paraId="324AD67A" w14:textId="549C31A2" w:rsidR="003F46D6" w:rsidRPr="00DD7BD1" w:rsidRDefault="003F46D6" w:rsidP="001B7DD5">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Regulations</w:t>
      </w:r>
      <w:r w:rsidRPr="00DD7BD1">
        <w:rPr>
          <w:rFonts w:ascii="Calibri" w:hAnsi="Calibri" w:cs="Calibri"/>
          <w:b/>
          <w:spacing w:val="-14"/>
          <w:sz w:val="28"/>
        </w:rPr>
        <w:t xml:space="preserve"> </w:t>
      </w:r>
      <w:r w:rsidRPr="00DD7BD1">
        <w:rPr>
          <w:rFonts w:ascii="Calibri" w:hAnsi="Calibri" w:cs="Calibri"/>
          <w:b/>
          <w:spacing w:val="-6"/>
          <w:sz w:val="28"/>
        </w:rPr>
        <w:t>Related</w:t>
      </w:r>
      <w:r w:rsidRPr="00DD7BD1">
        <w:rPr>
          <w:rFonts w:ascii="Calibri" w:hAnsi="Calibri" w:cs="Calibri"/>
          <w:b/>
          <w:spacing w:val="-13"/>
          <w:sz w:val="28"/>
        </w:rPr>
        <w:t xml:space="preserve"> </w:t>
      </w:r>
      <w:r w:rsidRPr="00DD7BD1">
        <w:rPr>
          <w:rFonts w:ascii="Calibri" w:hAnsi="Calibri" w:cs="Calibri"/>
          <w:b/>
          <w:spacing w:val="-6"/>
          <w:sz w:val="28"/>
        </w:rPr>
        <w:t>to</w:t>
      </w:r>
      <w:r w:rsidRPr="00DD7BD1">
        <w:rPr>
          <w:rFonts w:ascii="Calibri" w:hAnsi="Calibri" w:cs="Calibri"/>
          <w:b/>
          <w:spacing w:val="-14"/>
          <w:sz w:val="28"/>
        </w:rPr>
        <w:t xml:space="preserve"> </w:t>
      </w:r>
      <w:r w:rsidRPr="00DD7BD1">
        <w:rPr>
          <w:rFonts w:ascii="Calibri" w:hAnsi="Calibri" w:cs="Calibri"/>
          <w:b/>
          <w:spacing w:val="-6"/>
          <w:sz w:val="28"/>
        </w:rPr>
        <w:t>Transportation</w:t>
      </w:r>
      <w:r w:rsidRPr="00DD7BD1">
        <w:rPr>
          <w:rFonts w:ascii="Calibri" w:hAnsi="Calibri" w:cs="Calibri"/>
          <w:b/>
          <w:spacing w:val="-13"/>
          <w:sz w:val="28"/>
        </w:rPr>
        <w:t xml:space="preserve"> </w:t>
      </w:r>
      <w:r w:rsidRPr="00DD7BD1">
        <w:rPr>
          <w:rFonts w:ascii="Calibri" w:hAnsi="Calibri" w:cs="Calibri"/>
          <w:b/>
          <w:spacing w:val="-6"/>
          <w:sz w:val="28"/>
        </w:rPr>
        <w:t>Network</w:t>
      </w:r>
      <w:r w:rsidRPr="00DD7BD1">
        <w:rPr>
          <w:rFonts w:ascii="Calibri" w:hAnsi="Calibri" w:cs="Calibri"/>
          <w:b/>
          <w:spacing w:val="-14"/>
          <w:sz w:val="28"/>
        </w:rPr>
        <w:t xml:space="preserve"> </w:t>
      </w:r>
      <w:r w:rsidRPr="00DD7BD1">
        <w:rPr>
          <w:rFonts w:ascii="Calibri" w:hAnsi="Calibri" w:cs="Calibri"/>
          <w:b/>
          <w:spacing w:val="-6"/>
          <w:sz w:val="28"/>
        </w:rPr>
        <w:t>Companies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spacing w:val="-14"/>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 xml:space="preserve">1, </w:t>
      </w:r>
      <w:r w:rsidRPr="00DD7BD1">
        <w:rPr>
          <w:rFonts w:ascii="Calibri" w:hAnsi="Calibri" w:cs="Calibri"/>
          <w:b/>
          <w:color w:val="C00000"/>
          <w:sz w:val="28"/>
        </w:rPr>
        <w:t>2025 &amp; July 1, 2026</w:t>
      </w:r>
    </w:p>
    <w:p w14:paraId="7C12E0FB" w14:textId="77777777" w:rsidR="003F46D6" w:rsidRPr="00DD7BD1" w:rsidRDefault="003F46D6" w:rsidP="003F46D6">
      <w:pPr>
        <w:pStyle w:val="BodyText"/>
        <w:spacing w:after="0" w:line="240" w:lineRule="auto"/>
        <w:ind w:right="-187"/>
        <w:jc w:val="left"/>
        <w:rPr>
          <w:rFonts w:cs="Calibri"/>
          <w:szCs w:val="22"/>
        </w:rPr>
      </w:pPr>
      <w:r w:rsidRPr="00DD7BD1">
        <w:rPr>
          <w:rFonts w:cs="Calibri"/>
          <w:color w:val="auto"/>
          <w:w w:val="110"/>
          <w:szCs w:val="22"/>
        </w:rPr>
        <w:t>Washington employers should prepare for two significant legislative updates that will impact Transportation Network</w:t>
      </w:r>
      <w:r w:rsidRPr="00DD7BD1">
        <w:rPr>
          <w:rFonts w:cs="Calibri"/>
          <w:color w:val="auto"/>
          <w:spacing w:val="-6"/>
          <w:w w:val="110"/>
          <w:szCs w:val="22"/>
        </w:rPr>
        <w:t xml:space="preserve"> </w:t>
      </w:r>
      <w:r w:rsidRPr="00DD7BD1">
        <w:rPr>
          <w:rFonts w:cs="Calibri"/>
          <w:color w:val="auto"/>
          <w:w w:val="110"/>
          <w:szCs w:val="22"/>
        </w:rPr>
        <w:t>Companies</w:t>
      </w:r>
      <w:r w:rsidRPr="00DD7BD1">
        <w:rPr>
          <w:rFonts w:cs="Calibri"/>
          <w:color w:val="auto"/>
          <w:spacing w:val="-5"/>
          <w:w w:val="110"/>
          <w:szCs w:val="22"/>
        </w:rPr>
        <w:t xml:space="preserve"> </w:t>
      </w:r>
      <w:r w:rsidRPr="00DD7BD1">
        <w:rPr>
          <w:rFonts w:cs="Calibri"/>
          <w:color w:val="auto"/>
          <w:w w:val="110"/>
          <w:szCs w:val="22"/>
        </w:rPr>
        <w:t>(TNCs).</w:t>
      </w:r>
      <w:r w:rsidRPr="00DD7BD1">
        <w:rPr>
          <w:rFonts w:cs="Calibri"/>
          <w:color w:val="auto"/>
          <w:spacing w:val="40"/>
          <w:w w:val="110"/>
          <w:szCs w:val="22"/>
        </w:rPr>
        <w:t xml:space="preserve"> </w:t>
      </w:r>
      <w:r w:rsidRPr="00DD7BD1">
        <w:rPr>
          <w:rFonts w:cs="Calibri"/>
          <w:color w:val="auto"/>
          <w:w w:val="110"/>
          <w:szCs w:val="22"/>
        </w:rPr>
        <w:t>Effective</w:t>
      </w:r>
      <w:r w:rsidRPr="00DD7BD1">
        <w:rPr>
          <w:rFonts w:cs="Calibri"/>
          <w:color w:val="auto"/>
          <w:spacing w:val="-6"/>
          <w:w w:val="110"/>
          <w:szCs w:val="22"/>
        </w:rPr>
        <w:t xml:space="preserve"> </w:t>
      </w:r>
      <w:r w:rsidRPr="00DD7BD1">
        <w:rPr>
          <w:rFonts w:cs="Calibri"/>
          <w:color w:val="auto"/>
          <w:w w:val="110"/>
          <w:szCs w:val="22"/>
        </w:rPr>
        <w:t>September</w:t>
      </w:r>
      <w:r w:rsidRPr="00DD7BD1">
        <w:rPr>
          <w:rFonts w:cs="Calibri"/>
          <w:color w:val="auto"/>
          <w:spacing w:val="-6"/>
          <w:w w:val="110"/>
          <w:szCs w:val="22"/>
        </w:rPr>
        <w:t xml:space="preserve"> </w:t>
      </w:r>
      <w:r w:rsidRPr="00DD7BD1">
        <w:rPr>
          <w:rFonts w:cs="Calibri"/>
          <w:color w:val="auto"/>
          <w:w w:val="110"/>
          <w:szCs w:val="22"/>
        </w:rPr>
        <w:t>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TNCs</w:t>
      </w:r>
      <w:r w:rsidRPr="00DD7BD1">
        <w:rPr>
          <w:rFonts w:cs="Calibri"/>
          <w:color w:val="auto"/>
          <w:spacing w:val="-5"/>
          <w:w w:val="110"/>
          <w:szCs w:val="22"/>
        </w:rPr>
        <w:t xml:space="preserve"> </w:t>
      </w:r>
      <w:r w:rsidRPr="00DD7BD1">
        <w:rPr>
          <w:rFonts w:cs="Calibri"/>
          <w:color w:val="auto"/>
          <w:w w:val="110"/>
          <w:szCs w:val="22"/>
        </w:rPr>
        <w:t>must</w:t>
      </w:r>
      <w:r w:rsidRPr="00DD7BD1">
        <w:rPr>
          <w:rFonts w:cs="Calibri"/>
          <w:color w:val="auto"/>
          <w:spacing w:val="-6"/>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drivers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6"/>
          <w:w w:val="110"/>
          <w:szCs w:val="22"/>
        </w:rPr>
        <w:t xml:space="preserve"> </w:t>
      </w:r>
      <w:r w:rsidRPr="00DD7BD1">
        <w:rPr>
          <w:rFonts w:cs="Calibri"/>
          <w:color w:val="auto"/>
          <w:w w:val="110"/>
          <w:szCs w:val="22"/>
        </w:rPr>
        <w:t>detailed</w:t>
      </w:r>
      <w:r w:rsidRPr="00DD7BD1">
        <w:rPr>
          <w:rFonts w:cs="Calibri"/>
          <w:color w:val="auto"/>
          <w:spacing w:val="-5"/>
          <w:w w:val="110"/>
          <w:szCs w:val="22"/>
        </w:rPr>
        <w:t xml:space="preserve"> </w:t>
      </w:r>
      <w:r w:rsidRPr="00DD7BD1">
        <w:rPr>
          <w:rFonts w:cs="Calibri"/>
          <w:color w:val="auto"/>
          <w:w w:val="110"/>
          <w:szCs w:val="22"/>
        </w:rPr>
        <w:t>information about</w:t>
      </w:r>
      <w:r w:rsidRPr="00DD7BD1">
        <w:rPr>
          <w:rFonts w:cs="Calibri"/>
          <w:color w:val="auto"/>
          <w:spacing w:val="-5"/>
          <w:w w:val="110"/>
          <w:szCs w:val="22"/>
        </w:rPr>
        <w:t xml:space="preserve"> </w:t>
      </w:r>
      <w:r w:rsidRPr="00DD7BD1">
        <w:rPr>
          <w:rFonts w:cs="Calibri"/>
          <w:color w:val="auto"/>
          <w:w w:val="110"/>
          <w:szCs w:val="22"/>
        </w:rPr>
        <w:t>vehicle</w:t>
      </w:r>
      <w:r w:rsidRPr="00DD7BD1">
        <w:rPr>
          <w:rFonts w:cs="Calibri"/>
          <w:color w:val="auto"/>
          <w:spacing w:val="-4"/>
          <w:w w:val="110"/>
          <w:szCs w:val="22"/>
        </w:rPr>
        <w:t xml:space="preserve"> </w:t>
      </w:r>
      <w:r w:rsidRPr="00DD7BD1">
        <w:rPr>
          <w:rFonts w:cs="Calibri"/>
          <w:color w:val="auto"/>
          <w:w w:val="110"/>
          <w:szCs w:val="22"/>
        </w:rPr>
        <w:t>eligibility</w:t>
      </w:r>
      <w:r w:rsidRPr="00DD7BD1">
        <w:rPr>
          <w:rFonts w:cs="Calibri"/>
          <w:color w:val="auto"/>
          <w:spacing w:val="-4"/>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each</w:t>
      </w:r>
      <w:r w:rsidRPr="00DD7BD1">
        <w:rPr>
          <w:rFonts w:cs="Calibri"/>
          <w:color w:val="auto"/>
          <w:spacing w:val="-6"/>
          <w:w w:val="110"/>
          <w:szCs w:val="22"/>
        </w:rPr>
        <w:t xml:space="preserve"> </w:t>
      </w:r>
      <w:r w:rsidRPr="00DD7BD1">
        <w:rPr>
          <w:rFonts w:cs="Calibri"/>
          <w:color w:val="auto"/>
          <w:w w:val="110"/>
          <w:szCs w:val="22"/>
        </w:rPr>
        <w:t>product</w:t>
      </w:r>
      <w:r w:rsidRPr="00DD7BD1">
        <w:rPr>
          <w:rFonts w:cs="Calibri"/>
          <w:color w:val="auto"/>
          <w:spacing w:val="-5"/>
          <w:w w:val="110"/>
          <w:szCs w:val="22"/>
        </w:rPr>
        <w:t xml:space="preserve"> </w:t>
      </w:r>
      <w:r w:rsidRPr="00DD7BD1">
        <w:rPr>
          <w:rFonts w:cs="Calibri"/>
          <w:color w:val="auto"/>
          <w:w w:val="110"/>
          <w:szCs w:val="22"/>
        </w:rPr>
        <w:t>class</w:t>
      </w:r>
      <w:r w:rsidRPr="00DD7BD1">
        <w:rPr>
          <w:rFonts w:cs="Calibri"/>
          <w:color w:val="auto"/>
          <w:spacing w:val="-6"/>
          <w:w w:val="110"/>
          <w:szCs w:val="22"/>
        </w:rPr>
        <w:t xml:space="preserve"> </w:t>
      </w:r>
      <w:r w:rsidRPr="00DD7BD1">
        <w:rPr>
          <w:rFonts w:cs="Calibri"/>
          <w:color w:val="auto"/>
          <w:w w:val="110"/>
          <w:szCs w:val="22"/>
        </w:rPr>
        <w:t>offered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their</w:t>
      </w:r>
      <w:r w:rsidRPr="00DD7BD1">
        <w:rPr>
          <w:rFonts w:cs="Calibri"/>
          <w:color w:val="auto"/>
          <w:spacing w:val="-5"/>
          <w:w w:val="110"/>
          <w:szCs w:val="22"/>
        </w:rPr>
        <w:t xml:space="preserve"> </w:t>
      </w:r>
      <w:r w:rsidRPr="00DD7BD1">
        <w:rPr>
          <w:rFonts w:cs="Calibri"/>
          <w:color w:val="auto"/>
          <w:w w:val="110"/>
          <w:szCs w:val="22"/>
        </w:rPr>
        <w:t>platform,</w:t>
      </w:r>
      <w:r w:rsidRPr="00DD7BD1">
        <w:rPr>
          <w:rFonts w:cs="Calibri"/>
          <w:color w:val="auto"/>
          <w:spacing w:val="-5"/>
          <w:w w:val="110"/>
          <w:szCs w:val="22"/>
        </w:rPr>
        <w:t xml:space="preserve"> </w:t>
      </w:r>
      <w:r w:rsidRPr="00DD7BD1">
        <w:rPr>
          <w:rFonts w:cs="Calibri"/>
          <w:color w:val="auto"/>
          <w:w w:val="110"/>
          <w:szCs w:val="22"/>
        </w:rPr>
        <w:t>including</w:t>
      </w:r>
      <w:r w:rsidRPr="00DD7BD1">
        <w:rPr>
          <w:rFonts w:cs="Calibri"/>
          <w:color w:val="auto"/>
          <w:spacing w:val="-6"/>
          <w:w w:val="110"/>
          <w:szCs w:val="22"/>
        </w:rPr>
        <w:t xml:space="preserve"> </w:t>
      </w:r>
      <w:r w:rsidRPr="00DD7BD1">
        <w:rPr>
          <w:rFonts w:cs="Calibri"/>
          <w:color w:val="auto"/>
          <w:w w:val="110"/>
          <w:szCs w:val="22"/>
        </w:rPr>
        <w:t>make,</w:t>
      </w:r>
      <w:r w:rsidRPr="00DD7BD1">
        <w:rPr>
          <w:rFonts w:cs="Calibri"/>
          <w:color w:val="auto"/>
          <w:spacing w:val="-5"/>
          <w:w w:val="110"/>
          <w:szCs w:val="22"/>
        </w:rPr>
        <w:t xml:space="preserve"> </w:t>
      </w:r>
      <w:r w:rsidRPr="00DD7BD1">
        <w:rPr>
          <w:rFonts w:cs="Calibri"/>
          <w:color w:val="auto"/>
          <w:w w:val="110"/>
          <w:szCs w:val="22"/>
        </w:rPr>
        <w:t>model,</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year.</w:t>
      </w:r>
      <w:r w:rsidRPr="00DD7BD1">
        <w:rPr>
          <w:rFonts w:cs="Calibri"/>
          <w:color w:val="auto"/>
          <w:spacing w:val="-4"/>
          <w:w w:val="110"/>
          <w:szCs w:val="22"/>
        </w:rPr>
        <w:t xml:space="preserve"> </w:t>
      </w:r>
      <w:r w:rsidRPr="00DD7BD1">
        <w:rPr>
          <w:rFonts w:cs="Calibri"/>
          <w:color w:val="auto"/>
          <w:w w:val="110"/>
          <w:szCs w:val="22"/>
        </w:rPr>
        <w:t>Then,</w:t>
      </w:r>
      <w:r w:rsidRPr="00DD7BD1">
        <w:rPr>
          <w:rFonts w:cs="Calibri"/>
          <w:color w:val="auto"/>
          <w:spacing w:val="-5"/>
          <w:w w:val="110"/>
          <w:szCs w:val="22"/>
        </w:rPr>
        <w:t xml:space="preserve"> </w:t>
      </w:r>
      <w:r w:rsidRPr="00DD7BD1">
        <w:rPr>
          <w:rFonts w:cs="Calibri"/>
          <w:color w:val="auto"/>
          <w:w w:val="110"/>
          <w:szCs w:val="22"/>
        </w:rPr>
        <w:t>by July</w:t>
      </w:r>
      <w:r w:rsidRPr="00DD7BD1">
        <w:rPr>
          <w:rFonts w:cs="Calibri"/>
          <w:color w:val="auto"/>
          <w:spacing w:val="-3"/>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2026,</w:t>
      </w:r>
      <w:r w:rsidRPr="00DD7BD1">
        <w:rPr>
          <w:rFonts w:cs="Calibri"/>
          <w:color w:val="auto"/>
          <w:spacing w:val="-2"/>
          <w:w w:val="110"/>
          <w:szCs w:val="22"/>
        </w:rPr>
        <w:t xml:space="preserve"> </w:t>
      </w:r>
      <w:r w:rsidRPr="00DD7BD1">
        <w:rPr>
          <w:rFonts w:cs="Calibri"/>
          <w:color w:val="auto"/>
          <w:w w:val="110"/>
          <w:szCs w:val="22"/>
        </w:rPr>
        <w:t>drivers</w:t>
      </w:r>
      <w:r w:rsidRPr="00DD7BD1">
        <w:rPr>
          <w:rFonts w:cs="Calibri"/>
          <w:color w:val="auto"/>
          <w:spacing w:val="-2"/>
          <w:w w:val="110"/>
          <w:szCs w:val="22"/>
        </w:rPr>
        <w:t xml:space="preserve"> </w:t>
      </w:r>
      <w:r w:rsidRPr="00DD7BD1">
        <w:rPr>
          <w:rFonts w:cs="Calibri"/>
          <w:color w:val="auto"/>
          <w:w w:val="110"/>
          <w:szCs w:val="22"/>
        </w:rPr>
        <w:t>will</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3"/>
          <w:w w:val="110"/>
          <w:szCs w:val="22"/>
        </w:rPr>
        <w:t xml:space="preserve"> </w:t>
      </w:r>
      <w:r w:rsidRPr="00DD7BD1">
        <w:rPr>
          <w:rFonts w:cs="Calibri"/>
          <w:color w:val="auto"/>
          <w:w w:val="110"/>
          <w:szCs w:val="22"/>
        </w:rPr>
        <w:t>be entitled to</w:t>
      </w:r>
      <w:r w:rsidRPr="00DD7BD1">
        <w:rPr>
          <w:rFonts w:cs="Calibri"/>
          <w:color w:val="auto"/>
          <w:spacing w:val="-3"/>
          <w:w w:val="110"/>
          <w:szCs w:val="22"/>
        </w:rPr>
        <w:t xml:space="preserve"> </w:t>
      </w:r>
      <w:r w:rsidRPr="00DD7BD1">
        <w:rPr>
          <w:rFonts w:cs="Calibri"/>
          <w:color w:val="auto"/>
          <w:w w:val="110"/>
          <w:szCs w:val="22"/>
        </w:rPr>
        <w:t>request</w:t>
      </w:r>
      <w:r w:rsidRPr="00DD7BD1">
        <w:rPr>
          <w:rFonts w:cs="Calibri"/>
          <w:color w:val="auto"/>
          <w:spacing w:val="-2"/>
          <w:w w:val="110"/>
          <w:szCs w:val="22"/>
        </w:rPr>
        <w:t xml:space="preserve"> </w:t>
      </w:r>
      <w:r w:rsidRPr="00DD7BD1">
        <w:rPr>
          <w:rFonts w:cs="Calibri"/>
          <w:color w:val="auto"/>
          <w:w w:val="110"/>
          <w:szCs w:val="22"/>
        </w:rPr>
        <w:t>aggregated,</w:t>
      </w:r>
      <w:r w:rsidRPr="00DD7BD1">
        <w:rPr>
          <w:rFonts w:cs="Calibri"/>
          <w:color w:val="auto"/>
          <w:spacing w:val="-4"/>
          <w:w w:val="110"/>
          <w:szCs w:val="22"/>
        </w:rPr>
        <w:t xml:space="preserve"> </w:t>
      </w:r>
      <w:r w:rsidRPr="00DD7BD1">
        <w:rPr>
          <w:rFonts w:cs="Calibri"/>
          <w:color w:val="auto"/>
          <w:w w:val="110"/>
          <w:szCs w:val="22"/>
        </w:rPr>
        <w:t>downloadable</w:t>
      </w:r>
      <w:r w:rsidRPr="00DD7BD1">
        <w:rPr>
          <w:rFonts w:cs="Calibri"/>
          <w:color w:val="auto"/>
          <w:spacing w:val="-4"/>
          <w:w w:val="110"/>
          <w:szCs w:val="22"/>
        </w:rPr>
        <w:t xml:space="preserve"> </w:t>
      </w:r>
      <w:r w:rsidRPr="00DD7BD1">
        <w:rPr>
          <w:rFonts w:cs="Calibri"/>
          <w:color w:val="auto"/>
          <w:w w:val="110"/>
          <w:szCs w:val="22"/>
        </w:rPr>
        <w:t>per-trip receipt</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in a</w:t>
      </w:r>
      <w:r w:rsidRPr="00DD7BD1">
        <w:rPr>
          <w:rFonts w:cs="Calibri"/>
          <w:color w:val="auto"/>
          <w:spacing w:val="-4"/>
          <w:w w:val="110"/>
          <w:szCs w:val="22"/>
        </w:rPr>
        <w:t xml:space="preserve"> </w:t>
      </w:r>
      <w:r w:rsidRPr="00DD7BD1">
        <w:rPr>
          <w:rFonts w:cs="Calibri"/>
          <w:color w:val="auto"/>
          <w:w w:val="110"/>
          <w:szCs w:val="22"/>
        </w:rPr>
        <w:t>searchable format, enhancing transparency around earnings.</w:t>
      </w:r>
      <w:r w:rsidRPr="00DD7BD1">
        <w:rPr>
          <w:rFonts w:cs="Calibri"/>
          <w:color w:val="auto"/>
          <w:spacing w:val="-9"/>
          <w:w w:val="110"/>
          <w:szCs w:val="22"/>
        </w:rPr>
        <w:t xml:space="preserve"> </w:t>
      </w:r>
      <w:r w:rsidRPr="00DD7BD1">
        <w:rPr>
          <w:rFonts w:cs="Calibri"/>
          <w:color w:val="auto"/>
          <w:w w:val="110"/>
          <w:szCs w:val="22"/>
        </w:rPr>
        <w:t>As this topic is more industry released and beyond what ETC typically reports, access a recent article on the topic published by Seyfarth</w:t>
      </w:r>
      <w:r w:rsidRPr="00DD7BD1">
        <w:rPr>
          <w:rFonts w:cs="Calibri"/>
          <w:color w:val="auto"/>
          <w:spacing w:val="-1"/>
          <w:w w:val="110"/>
          <w:szCs w:val="22"/>
        </w:rPr>
        <w:t xml:space="preserve"> </w:t>
      </w:r>
      <w:r w:rsidRPr="00DD7BD1">
        <w:rPr>
          <w:rFonts w:cs="Calibri"/>
          <w:color w:val="auto"/>
          <w:w w:val="110"/>
          <w:szCs w:val="22"/>
        </w:rPr>
        <w:t xml:space="preserve">Shaw, LLP </w:t>
      </w:r>
      <w:hyperlink r:id="rId1094">
        <w:r w:rsidRPr="00DD7BD1">
          <w:rPr>
            <w:rFonts w:cs="Calibri"/>
            <w:color w:val="0000FF"/>
            <w:w w:val="110"/>
            <w:szCs w:val="22"/>
            <w:u w:val="single" w:color="0000FF"/>
          </w:rPr>
          <w:t>HERE</w:t>
        </w:r>
      </w:hyperlink>
    </w:p>
    <w:p w14:paraId="7B4DF524" w14:textId="77777777" w:rsidR="003F46D6" w:rsidRPr="00DD7BD1" w:rsidRDefault="003F46D6" w:rsidP="003F46D6">
      <w:pPr>
        <w:pStyle w:val="Heading1"/>
        <w:spacing w:before="0" w:beforeAutospacing="0" w:after="0" w:afterAutospacing="0"/>
        <w:ind w:right="-187"/>
        <w:jc w:val="center"/>
        <w:rPr>
          <w:rFonts w:ascii="Calibri" w:hAnsi="Calibri" w:cs="Calibri"/>
          <w:color w:val="C00000"/>
          <w:spacing w:val="-2"/>
          <w:sz w:val="22"/>
          <w:szCs w:val="22"/>
        </w:rPr>
      </w:pPr>
    </w:p>
    <w:p w14:paraId="78C25EEF" w14:textId="1B645816"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2"/>
          <w:sz w:val="28"/>
          <w:szCs w:val="28"/>
        </w:rPr>
        <w:t>State</w:t>
      </w:r>
      <w:r w:rsidRPr="00DD7BD1">
        <w:rPr>
          <w:rFonts w:ascii="Calibri" w:hAnsi="Calibri" w:cs="Calibri"/>
          <w:spacing w:val="-17"/>
          <w:sz w:val="28"/>
          <w:szCs w:val="28"/>
        </w:rPr>
        <w:t xml:space="preserve"> </w:t>
      </w:r>
      <w:r w:rsidRPr="00DD7BD1">
        <w:rPr>
          <w:rFonts w:ascii="Calibri" w:hAnsi="Calibri" w:cs="Calibri"/>
          <w:spacing w:val="-2"/>
          <w:sz w:val="28"/>
          <w:szCs w:val="28"/>
        </w:rPr>
        <w:t>Expands</w:t>
      </w:r>
      <w:r w:rsidRPr="00DD7BD1">
        <w:rPr>
          <w:rFonts w:ascii="Calibri" w:hAnsi="Calibri" w:cs="Calibri"/>
          <w:spacing w:val="-18"/>
          <w:sz w:val="28"/>
          <w:szCs w:val="28"/>
        </w:rPr>
        <w:t xml:space="preserve"> </w:t>
      </w:r>
      <w:r w:rsidRPr="00DD7BD1">
        <w:rPr>
          <w:rFonts w:ascii="Calibri" w:hAnsi="Calibri" w:cs="Calibri"/>
          <w:spacing w:val="-2"/>
          <w:sz w:val="28"/>
          <w:szCs w:val="28"/>
        </w:rPr>
        <w:t>of</w:t>
      </w:r>
      <w:r w:rsidRPr="00DD7BD1">
        <w:rPr>
          <w:rFonts w:ascii="Calibri" w:hAnsi="Calibri" w:cs="Calibri"/>
          <w:spacing w:val="-17"/>
          <w:sz w:val="28"/>
          <w:szCs w:val="28"/>
        </w:rPr>
        <w:t xml:space="preserve"> </w:t>
      </w:r>
      <w:r w:rsidRPr="00DD7BD1">
        <w:rPr>
          <w:rFonts w:ascii="Calibri" w:hAnsi="Calibri" w:cs="Calibri"/>
          <w:spacing w:val="-2"/>
          <w:sz w:val="28"/>
          <w:szCs w:val="28"/>
        </w:rPr>
        <w:t>Domestic</w:t>
      </w:r>
      <w:r w:rsidRPr="00DD7BD1">
        <w:rPr>
          <w:rFonts w:ascii="Calibri" w:hAnsi="Calibri" w:cs="Calibri"/>
          <w:spacing w:val="-18"/>
          <w:sz w:val="28"/>
          <w:szCs w:val="28"/>
        </w:rPr>
        <w:t xml:space="preserve"> </w:t>
      </w:r>
      <w:r w:rsidRPr="00DD7BD1">
        <w:rPr>
          <w:rFonts w:ascii="Calibri" w:hAnsi="Calibri" w:cs="Calibri"/>
          <w:spacing w:val="-2"/>
          <w:sz w:val="28"/>
          <w:szCs w:val="28"/>
        </w:rPr>
        <w:t>Violence</w:t>
      </w:r>
      <w:r w:rsidRPr="00DD7BD1">
        <w:rPr>
          <w:rFonts w:ascii="Calibri" w:hAnsi="Calibri" w:cs="Calibri"/>
          <w:spacing w:val="-17"/>
          <w:sz w:val="28"/>
          <w:szCs w:val="28"/>
        </w:rPr>
        <w:t xml:space="preserve"> </w:t>
      </w:r>
      <w:r w:rsidRPr="00DD7BD1">
        <w:rPr>
          <w:rFonts w:ascii="Calibri" w:hAnsi="Calibri" w:cs="Calibri"/>
          <w:spacing w:val="-2"/>
          <w:sz w:val="28"/>
          <w:szCs w:val="28"/>
        </w:rPr>
        <w:t>Leave</w:t>
      </w:r>
      <w:r w:rsidRPr="00DD7BD1">
        <w:rPr>
          <w:rFonts w:ascii="Calibri" w:hAnsi="Calibri" w:cs="Calibri"/>
          <w:spacing w:val="-17"/>
          <w:sz w:val="28"/>
          <w:szCs w:val="28"/>
        </w:rPr>
        <w:t xml:space="preserve"> </w:t>
      </w:r>
      <w:r w:rsidRPr="00DD7BD1">
        <w:rPr>
          <w:rFonts w:ascii="Calibri" w:hAnsi="Calibri" w:cs="Calibri"/>
          <w:spacing w:val="-2"/>
          <w:sz w:val="28"/>
          <w:szCs w:val="28"/>
        </w:rPr>
        <w:t>–</w:t>
      </w:r>
      <w:r w:rsidRPr="00DD7BD1">
        <w:rPr>
          <w:rFonts w:ascii="Calibri" w:hAnsi="Calibri" w:cs="Calibri"/>
          <w:spacing w:val="-16"/>
          <w:sz w:val="28"/>
          <w:szCs w:val="28"/>
        </w:rPr>
        <w:t xml:space="preserve"> </w:t>
      </w:r>
      <w:r w:rsidRPr="00DD7BD1">
        <w:rPr>
          <w:rFonts w:ascii="Calibri" w:hAnsi="Calibri" w:cs="Calibri"/>
          <w:color w:val="C00000"/>
          <w:spacing w:val="-2"/>
          <w:sz w:val="28"/>
          <w:szCs w:val="28"/>
        </w:rPr>
        <w:t>Eff</w:t>
      </w:r>
      <w:r w:rsidRPr="00DD7BD1">
        <w:rPr>
          <w:rFonts w:ascii="Calibri" w:hAnsi="Calibri" w:cs="Calibri"/>
          <w:color w:val="C00000"/>
          <w:spacing w:val="-17"/>
          <w:sz w:val="28"/>
          <w:szCs w:val="28"/>
        </w:rPr>
        <w:t xml:space="preserve"> </w:t>
      </w:r>
      <w:r w:rsidRPr="00DD7BD1">
        <w:rPr>
          <w:rFonts w:ascii="Calibri" w:hAnsi="Calibri" w:cs="Calibri"/>
          <w:color w:val="C00000"/>
          <w:spacing w:val="-2"/>
          <w:sz w:val="28"/>
          <w:szCs w:val="28"/>
        </w:rPr>
        <w:t>Jan</w:t>
      </w:r>
      <w:r w:rsidRPr="00DD7BD1">
        <w:rPr>
          <w:rFonts w:ascii="Calibri" w:hAnsi="Calibri" w:cs="Calibri"/>
          <w:color w:val="C00000"/>
          <w:spacing w:val="-16"/>
          <w:sz w:val="28"/>
          <w:szCs w:val="28"/>
        </w:rPr>
        <w:t xml:space="preserve"> </w:t>
      </w:r>
      <w:r w:rsidRPr="00DD7BD1">
        <w:rPr>
          <w:rFonts w:ascii="Calibri" w:hAnsi="Calibri" w:cs="Calibri"/>
          <w:color w:val="C00000"/>
          <w:spacing w:val="-2"/>
          <w:sz w:val="28"/>
          <w:szCs w:val="28"/>
        </w:rPr>
        <w:t>1,</w:t>
      </w:r>
      <w:r w:rsidRPr="00DD7BD1">
        <w:rPr>
          <w:rFonts w:ascii="Calibri" w:hAnsi="Calibri" w:cs="Calibri"/>
          <w:color w:val="C00000"/>
          <w:spacing w:val="-16"/>
          <w:sz w:val="28"/>
          <w:szCs w:val="28"/>
        </w:rPr>
        <w:t xml:space="preserve"> </w:t>
      </w:r>
      <w:r w:rsidRPr="00DD7BD1">
        <w:rPr>
          <w:rFonts w:ascii="Calibri" w:hAnsi="Calibri" w:cs="Calibri"/>
          <w:color w:val="C00000"/>
          <w:spacing w:val="-4"/>
          <w:sz w:val="28"/>
          <w:szCs w:val="28"/>
        </w:rPr>
        <w:t>2026</w:t>
      </w:r>
    </w:p>
    <w:p w14:paraId="53C0F693" w14:textId="425EC106" w:rsidR="003F46D6" w:rsidRPr="00DD7BD1" w:rsidRDefault="003F46D6" w:rsidP="003F46D6">
      <w:pPr>
        <w:pStyle w:val="BodyText"/>
        <w:spacing w:after="0" w:line="240" w:lineRule="auto"/>
        <w:ind w:right="-187"/>
        <w:jc w:val="left"/>
        <w:rPr>
          <w:rFonts w:cs="Calibri"/>
          <w:color w:val="auto"/>
          <w:spacing w:val="-6"/>
          <w:w w:val="110"/>
          <w:szCs w:val="22"/>
        </w:rPr>
      </w:pP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January</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5"/>
          <w:w w:val="110"/>
          <w:szCs w:val="22"/>
        </w:rPr>
        <w:t xml:space="preserve"> </w:t>
      </w:r>
      <w:r w:rsidRPr="00DD7BD1">
        <w:rPr>
          <w:rFonts w:cs="Calibri"/>
          <w:color w:val="auto"/>
          <w:w w:val="110"/>
          <w:szCs w:val="22"/>
        </w:rPr>
        <w:t>Washington’s</w:t>
      </w:r>
      <w:r w:rsidRPr="00DD7BD1">
        <w:rPr>
          <w:rFonts w:cs="Calibri"/>
          <w:color w:val="auto"/>
          <w:spacing w:val="-4"/>
          <w:w w:val="110"/>
          <w:szCs w:val="22"/>
        </w:rPr>
        <w:t xml:space="preserve"> </w:t>
      </w:r>
      <w:r w:rsidRPr="00DD7BD1">
        <w:rPr>
          <w:rFonts w:cs="Calibri"/>
          <w:color w:val="auto"/>
          <w:w w:val="110"/>
          <w:szCs w:val="22"/>
        </w:rPr>
        <w:t>Domestic</w:t>
      </w:r>
      <w:r w:rsidRPr="00DD7BD1">
        <w:rPr>
          <w:rFonts w:cs="Calibri"/>
          <w:color w:val="auto"/>
          <w:spacing w:val="-5"/>
          <w:w w:val="110"/>
          <w:szCs w:val="22"/>
        </w:rPr>
        <w:t xml:space="preserve"> </w:t>
      </w:r>
      <w:r w:rsidRPr="00DD7BD1">
        <w:rPr>
          <w:rFonts w:cs="Calibri"/>
          <w:color w:val="auto"/>
          <w:w w:val="110"/>
          <w:szCs w:val="22"/>
        </w:rPr>
        <w:t>Violence</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4"/>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(DVLA)</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include</w:t>
      </w:r>
      <w:r w:rsidRPr="00DD7BD1">
        <w:rPr>
          <w:rFonts w:cs="Calibri"/>
          <w:color w:val="auto"/>
          <w:spacing w:val="-4"/>
          <w:w w:val="110"/>
          <w:szCs w:val="22"/>
        </w:rPr>
        <w:t xml:space="preserve"> </w:t>
      </w:r>
      <w:r w:rsidRPr="00DD7BD1">
        <w:rPr>
          <w:rFonts w:cs="Calibri"/>
          <w:color w:val="auto"/>
          <w:w w:val="110"/>
          <w:szCs w:val="22"/>
        </w:rPr>
        <w:t xml:space="preserve">protections </w:t>
      </w:r>
      <w:r w:rsidRPr="00DD7BD1">
        <w:rPr>
          <w:rFonts w:cs="Calibri"/>
          <w:color w:val="auto"/>
          <w:spacing w:val="-2"/>
          <w:w w:val="115"/>
          <w:szCs w:val="22"/>
        </w:rPr>
        <w:t>for</w:t>
      </w:r>
      <w:r w:rsidRPr="00DD7BD1">
        <w:rPr>
          <w:rFonts w:cs="Calibri"/>
          <w:color w:val="auto"/>
          <w:spacing w:val="-13"/>
          <w:w w:val="115"/>
          <w:szCs w:val="22"/>
        </w:rPr>
        <w:t xml:space="preserve"> </w:t>
      </w:r>
      <w:r w:rsidRPr="00DD7BD1">
        <w:rPr>
          <w:rFonts w:cs="Calibri"/>
          <w:color w:val="auto"/>
          <w:spacing w:val="-2"/>
          <w:w w:val="115"/>
          <w:szCs w:val="22"/>
        </w:rPr>
        <w:t>victims</w:t>
      </w:r>
      <w:r w:rsidRPr="00DD7BD1">
        <w:rPr>
          <w:rFonts w:cs="Calibri"/>
          <w:color w:val="auto"/>
          <w:spacing w:val="-12"/>
          <w:w w:val="115"/>
          <w:szCs w:val="22"/>
        </w:rPr>
        <w:t xml:space="preserve"> </w:t>
      </w:r>
      <w:r w:rsidRPr="00DD7BD1">
        <w:rPr>
          <w:rFonts w:cs="Calibri"/>
          <w:color w:val="auto"/>
          <w:spacing w:val="-2"/>
          <w:w w:val="115"/>
          <w:szCs w:val="22"/>
        </w:rPr>
        <w:t>of</w:t>
      </w:r>
      <w:r w:rsidRPr="00DD7BD1">
        <w:rPr>
          <w:rFonts w:cs="Calibri"/>
          <w:color w:val="auto"/>
          <w:spacing w:val="-13"/>
          <w:w w:val="115"/>
          <w:szCs w:val="22"/>
        </w:rPr>
        <w:t xml:space="preserve"> </w:t>
      </w:r>
      <w:r w:rsidRPr="00DD7BD1">
        <w:rPr>
          <w:rFonts w:cs="Calibri"/>
          <w:color w:val="auto"/>
          <w:spacing w:val="-2"/>
          <w:w w:val="115"/>
          <w:szCs w:val="22"/>
        </w:rPr>
        <w:t>hate</w:t>
      </w:r>
      <w:r w:rsidRPr="00DD7BD1">
        <w:rPr>
          <w:rFonts w:cs="Calibri"/>
          <w:color w:val="auto"/>
          <w:spacing w:val="-9"/>
          <w:w w:val="115"/>
          <w:szCs w:val="22"/>
        </w:rPr>
        <w:t xml:space="preserve"> </w:t>
      </w:r>
      <w:r w:rsidRPr="00DD7BD1">
        <w:rPr>
          <w:rFonts w:cs="Calibri"/>
          <w:color w:val="auto"/>
          <w:spacing w:val="-2"/>
          <w:w w:val="115"/>
          <w:szCs w:val="22"/>
        </w:rPr>
        <w:t>crimes,</w:t>
      </w:r>
      <w:r w:rsidRPr="00DD7BD1">
        <w:rPr>
          <w:rFonts w:cs="Calibri"/>
          <w:color w:val="auto"/>
          <w:spacing w:val="-10"/>
          <w:w w:val="115"/>
          <w:szCs w:val="22"/>
        </w:rPr>
        <w:t xml:space="preserve"> </w:t>
      </w:r>
      <w:r w:rsidRPr="00DD7BD1">
        <w:rPr>
          <w:rFonts w:cs="Calibri"/>
          <w:color w:val="auto"/>
          <w:spacing w:val="-2"/>
          <w:w w:val="115"/>
          <w:szCs w:val="22"/>
        </w:rPr>
        <w:t>allowing</w:t>
      </w:r>
      <w:r w:rsidRPr="00DD7BD1">
        <w:rPr>
          <w:rFonts w:cs="Calibri"/>
          <w:color w:val="auto"/>
          <w:spacing w:val="-12"/>
          <w:w w:val="115"/>
          <w:szCs w:val="22"/>
        </w:rPr>
        <w:t xml:space="preserve"> </w:t>
      </w:r>
      <w:r w:rsidRPr="00DD7BD1">
        <w:rPr>
          <w:rFonts w:cs="Calibri"/>
          <w:color w:val="auto"/>
          <w:spacing w:val="-2"/>
          <w:w w:val="115"/>
          <w:szCs w:val="22"/>
        </w:rPr>
        <w:t>newly-affected</w:t>
      </w:r>
      <w:r w:rsidRPr="00DD7BD1">
        <w:rPr>
          <w:rFonts w:cs="Calibri"/>
          <w:color w:val="auto"/>
          <w:spacing w:val="-9"/>
          <w:w w:val="115"/>
          <w:szCs w:val="22"/>
        </w:rPr>
        <w:t xml:space="preserve"> </w:t>
      </w:r>
      <w:r w:rsidRPr="00DD7BD1">
        <w:rPr>
          <w:rFonts w:cs="Calibri"/>
          <w:color w:val="auto"/>
          <w:spacing w:val="-2"/>
          <w:w w:val="115"/>
          <w:szCs w:val="22"/>
        </w:rPr>
        <w:t>employees</w:t>
      </w:r>
      <w:r w:rsidRPr="00DD7BD1">
        <w:rPr>
          <w:rFonts w:cs="Calibri"/>
          <w:color w:val="auto"/>
          <w:spacing w:val="-9"/>
          <w:w w:val="115"/>
          <w:szCs w:val="22"/>
        </w:rPr>
        <w:t xml:space="preserve"> </w:t>
      </w:r>
      <w:r w:rsidRPr="00DD7BD1">
        <w:rPr>
          <w:rFonts w:cs="Calibri"/>
          <w:color w:val="auto"/>
          <w:spacing w:val="-2"/>
          <w:w w:val="115"/>
          <w:szCs w:val="22"/>
        </w:rPr>
        <w:t>to</w:t>
      </w:r>
      <w:r w:rsidRPr="00DD7BD1">
        <w:rPr>
          <w:rFonts w:cs="Calibri"/>
          <w:color w:val="auto"/>
          <w:spacing w:val="-9"/>
          <w:w w:val="115"/>
          <w:szCs w:val="22"/>
        </w:rPr>
        <w:t xml:space="preserve"> </w:t>
      </w:r>
      <w:r w:rsidRPr="00DD7BD1">
        <w:rPr>
          <w:rFonts w:cs="Calibri"/>
          <w:color w:val="auto"/>
          <w:spacing w:val="-2"/>
          <w:w w:val="115"/>
          <w:szCs w:val="22"/>
        </w:rPr>
        <w:t>access</w:t>
      </w:r>
      <w:r w:rsidRPr="00DD7BD1">
        <w:rPr>
          <w:rFonts w:cs="Calibri"/>
          <w:color w:val="auto"/>
          <w:spacing w:val="-6"/>
          <w:w w:val="115"/>
          <w:szCs w:val="22"/>
        </w:rPr>
        <w:t xml:space="preserve"> </w:t>
      </w:r>
      <w:r w:rsidRPr="00DD7BD1">
        <w:rPr>
          <w:rFonts w:cs="Calibri"/>
          <w:color w:val="auto"/>
          <w:spacing w:val="-2"/>
          <w:w w:val="115"/>
          <w:szCs w:val="22"/>
        </w:rPr>
        <w:t>unpaid</w:t>
      </w:r>
      <w:r w:rsidRPr="00DD7BD1">
        <w:rPr>
          <w:rFonts w:cs="Calibri"/>
          <w:color w:val="auto"/>
          <w:spacing w:val="-9"/>
          <w:w w:val="115"/>
          <w:szCs w:val="22"/>
        </w:rPr>
        <w:t xml:space="preserve"> </w:t>
      </w:r>
      <w:r w:rsidRPr="00DD7BD1">
        <w:rPr>
          <w:rFonts w:cs="Calibri"/>
          <w:color w:val="auto"/>
          <w:spacing w:val="-2"/>
          <w:w w:val="115"/>
          <w:szCs w:val="22"/>
        </w:rPr>
        <w:t>DVLA</w:t>
      </w:r>
      <w:r w:rsidRPr="00DD7BD1">
        <w:rPr>
          <w:rFonts w:cs="Calibri"/>
          <w:color w:val="auto"/>
          <w:spacing w:val="-10"/>
          <w:w w:val="115"/>
          <w:szCs w:val="22"/>
        </w:rPr>
        <w:t xml:space="preserve"> </w:t>
      </w:r>
      <w:r w:rsidRPr="00DD7BD1">
        <w:rPr>
          <w:rFonts w:cs="Calibri"/>
          <w:color w:val="auto"/>
          <w:spacing w:val="-2"/>
          <w:w w:val="115"/>
          <w:szCs w:val="22"/>
        </w:rPr>
        <w:t>leave</w:t>
      </w:r>
      <w:r w:rsidRPr="00DD7BD1">
        <w:rPr>
          <w:rFonts w:cs="Calibri"/>
          <w:color w:val="auto"/>
          <w:spacing w:val="-9"/>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 xml:space="preserve">safety </w:t>
      </w:r>
      <w:r w:rsidRPr="00DD7BD1">
        <w:rPr>
          <w:rFonts w:cs="Calibri"/>
          <w:color w:val="auto"/>
          <w:w w:val="110"/>
          <w:szCs w:val="22"/>
        </w:rPr>
        <w:t>accommodations</w:t>
      </w:r>
      <w:r w:rsidRPr="00DD7BD1">
        <w:rPr>
          <w:rFonts w:cs="Calibri"/>
          <w:color w:val="auto"/>
          <w:spacing w:val="-5"/>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Ahead</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date</w:t>
      </w:r>
      <w:r w:rsidRPr="00DD7BD1">
        <w:rPr>
          <w:rFonts w:cs="Calibri"/>
          <w:color w:val="auto"/>
          <w:spacing w:val="-5"/>
          <w:w w:val="110"/>
          <w:szCs w:val="22"/>
        </w:rPr>
        <w:t xml:space="preserve"> </w:t>
      </w:r>
      <w:r w:rsidRPr="00DD7BD1">
        <w:rPr>
          <w:rFonts w:cs="Calibri"/>
          <w:color w:val="auto"/>
          <w:w w:val="110"/>
          <w:szCs w:val="22"/>
        </w:rPr>
        <w:t>ETC</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3"/>
          <w:w w:val="110"/>
          <w:szCs w:val="22"/>
        </w:rPr>
        <w:t xml:space="preserve"> </w:t>
      </w:r>
      <w:r w:rsidRPr="00DD7BD1">
        <w:rPr>
          <w:rFonts w:cs="Calibri"/>
          <w:color w:val="auto"/>
          <w:w w:val="110"/>
          <w:szCs w:val="22"/>
        </w:rPr>
        <w:t>release</w:t>
      </w:r>
      <w:r w:rsidRPr="00DD7BD1">
        <w:rPr>
          <w:rFonts w:cs="Calibri"/>
          <w:color w:val="auto"/>
          <w:spacing w:val="-11"/>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updated</w:t>
      </w:r>
      <w:r w:rsidRPr="00DD7BD1">
        <w:rPr>
          <w:rFonts w:cs="Calibri"/>
          <w:color w:val="auto"/>
          <w:spacing w:val="-8"/>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Handbook</w:t>
      </w:r>
      <w:r w:rsidRPr="00DD7BD1">
        <w:rPr>
          <w:rFonts w:cs="Calibri"/>
          <w:color w:val="auto"/>
          <w:spacing w:val="-5"/>
          <w:w w:val="110"/>
          <w:szCs w:val="22"/>
        </w:rPr>
        <w:t xml:space="preserve"> </w:t>
      </w:r>
      <w:r w:rsidRPr="00DD7BD1">
        <w:rPr>
          <w:rFonts w:cs="Calibri"/>
          <w:color w:val="auto"/>
          <w:w w:val="110"/>
          <w:szCs w:val="22"/>
        </w:rPr>
        <w:t>Addendum.</w:t>
      </w:r>
      <w:r w:rsidR="00DC2707" w:rsidRPr="00DD7BD1">
        <w:rPr>
          <w:rFonts w:cs="Calibri"/>
          <w:color w:val="auto"/>
          <w:w w:val="110"/>
          <w:szCs w:val="22"/>
        </w:rPr>
        <w:t xml:space="preserve"> </w:t>
      </w:r>
      <w:r w:rsidR="00DC2707" w:rsidRPr="00DD7BD1">
        <w:rPr>
          <w:rFonts w:cs="Calibri"/>
          <w:color w:val="auto"/>
          <w:spacing w:val="-6"/>
          <w:w w:val="110"/>
          <w:szCs w:val="22"/>
        </w:rPr>
        <w:t>The WA State Handbook Addendum released December 2025 includes language addressing the above enactment.</w:t>
      </w:r>
    </w:p>
    <w:p w14:paraId="2CC05A11" w14:textId="77777777" w:rsidR="003F46D6" w:rsidRPr="00DD7BD1" w:rsidRDefault="003F46D6" w:rsidP="003F46D6">
      <w:pPr>
        <w:pStyle w:val="BodyText"/>
        <w:spacing w:after="0" w:line="240" w:lineRule="auto"/>
        <w:ind w:right="-187"/>
        <w:jc w:val="left"/>
        <w:rPr>
          <w:rFonts w:cs="Calibri"/>
          <w:color w:val="auto"/>
          <w:szCs w:val="22"/>
        </w:rPr>
      </w:pPr>
    </w:p>
    <w:p w14:paraId="6A4C10E5" w14:textId="7AFB03EB"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4"/>
          <w:sz w:val="28"/>
          <w:szCs w:val="28"/>
        </w:rPr>
        <w:t>State</w:t>
      </w:r>
      <w:r w:rsidRPr="00DD7BD1">
        <w:rPr>
          <w:rFonts w:ascii="Calibri" w:hAnsi="Calibri" w:cs="Calibri"/>
          <w:spacing w:val="-15"/>
          <w:sz w:val="28"/>
          <w:szCs w:val="28"/>
        </w:rPr>
        <w:t xml:space="preserve"> </w:t>
      </w:r>
      <w:r w:rsidRPr="00DD7BD1">
        <w:rPr>
          <w:rFonts w:ascii="Calibri" w:hAnsi="Calibri" w:cs="Calibri"/>
          <w:spacing w:val="-4"/>
          <w:sz w:val="28"/>
          <w:szCs w:val="28"/>
        </w:rPr>
        <w:t>Amends</w:t>
      </w:r>
      <w:r w:rsidRPr="00DD7BD1">
        <w:rPr>
          <w:rFonts w:ascii="Calibri" w:hAnsi="Calibri" w:cs="Calibri"/>
          <w:spacing w:val="-14"/>
          <w:sz w:val="28"/>
          <w:szCs w:val="28"/>
        </w:rPr>
        <w:t xml:space="preserve"> </w:t>
      </w:r>
      <w:r w:rsidRPr="00DD7BD1">
        <w:rPr>
          <w:rFonts w:ascii="Calibri" w:hAnsi="Calibri" w:cs="Calibri"/>
          <w:spacing w:val="-4"/>
          <w:sz w:val="28"/>
          <w:szCs w:val="28"/>
        </w:rPr>
        <w:t>Paid</w:t>
      </w:r>
      <w:r w:rsidRPr="00DD7BD1">
        <w:rPr>
          <w:rFonts w:ascii="Calibri" w:hAnsi="Calibri" w:cs="Calibri"/>
          <w:spacing w:val="-13"/>
          <w:sz w:val="28"/>
          <w:szCs w:val="28"/>
        </w:rPr>
        <w:t xml:space="preserve"> </w:t>
      </w:r>
      <w:r w:rsidRPr="00DD7BD1">
        <w:rPr>
          <w:rFonts w:ascii="Calibri" w:hAnsi="Calibri" w:cs="Calibri"/>
          <w:spacing w:val="-4"/>
          <w:sz w:val="28"/>
          <w:szCs w:val="28"/>
        </w:rPr>
        <w:t>Family</w:t>
      </w:r>
      <w:r w:rsidRPr="00DD7BD1">
        <w:rPr>
          <w:rFonts w:ascii="Calibri" w:hAnsi="Calibri" w:cs="Calibri"/>
          <w:spacing w:val="-13"/>
          <w:sz w:val="28"/>
          <w:szCs w:val="28"/>
        </w:rPr>
        <w:t xml:space="preserve"> </w:t>
      </w:r>
      <w:r w:rsidRPr="00DD7BD1">
        <w:rPr>
          <w:rFonts w:ascii="Calibri" w:hAnsi="Calibri" w:cs="Calibri"/>
          <w:spacing w:val="-4"/>
          <w:sz w:val="28"/>
          <w:szCs w:val="28"/>
        </w:rPr>
        <w:t>&amp;</w:t>
      </w:r>
      <w:r w:rsidRPr="00DD7BD1">
        <w:rPr>
          <w:rFonts w:ascii="Calibri" w:hAnsi="Calibri" w:cs="Calibri"/>
          <w:spacing w:val="-13"/>
          <w:sz w:val="28"/>
          <w:szCs w:val="28"/>
        </w:rPr>
        <w:t xml:space="preserve"> </w:t>
      </w:r>
      <w:r w:rsidRPr="00DD7BD1">
        <w:rPr>
          <w:rFonts w:ascii="Calibri" w:hAnsi="Calibri" w:cs="Calibri"/>
          <w:spacing w:val="-4"/>
          <w:sz w:val="28"/>
          <w:szCs w:val="28"/>
        </w:rPr>
        <w:t>Medical</w:t>
      </w:r>
      <w:r w:rsidRPr="00DD7BD1">
        <w:rPr>
          <w:rFonts w:ascii="Calibri" w:hAnsi="Calibri" w:cs="Calibri"/>
          <w:spacing w:val="-13"/>
          <w:sz w:val="28"/>
          <w:szCs w:val="28"/>
        </w:rPr>
        <w:t xml:space="preserve"> </w:t>
      </w:r>
      <w:r w:rsidRPr="00DD7BD1">
        <w:rPr>
          <w:rFonts w:ascii="Calibri" w:hAnsi="Calibri" w:cs="Calibri"/>
          <w:spacing w:val="-4"/>
          <w:sz w:val="28"/>
          <w:szCs w:val="28"/>
        </w:rPr>
        <w:t>Leave</w:t>
      </w:r>
      <w:r w:rsidRPr="00DD7BD1">
        <w:rPr>
          <w:rFonts w:ascii="Calibri" w:hAnsi="Calibri" w:cs="Calibri"/>
          <w:spacing w:val="-14"/>
          <w:sz w:val="28"/>
          <w:szCs w:val="28"/>
        </w:rPr>
        <w:t xml:space="preserve"> </w:t>
      </w:r>
      <w:r w:rsidRPr="00DD7BD1">
        <w:rPr>
          <w:rFonts w:ascii="Calibri" w:hAnsi="Calibri" w:cs="Calibri"/>
          <w:spacing w:val="-4"/>
          <w:sz w:val="28"/>
          <w:szCs w:val="28"/>
        </w:rPr>
        <w:t>Requirements</w:t>
      </w:r>
      <w:r w:rsidRPr="00DD7BD1">
        <w:rPr>
          <w:rFonts w:ascii="Calibri" w:hAnsi="Calibri" w:cs="Calibri"/>
          <w:spacing w:val="-13"/>
          <w:sz w:val="28"/>
          <w:szCs w:val="28"/>
        </w:rPr>
        <w:t xml:space="preserve"> </w:t>
      </w:r>
      <w:r w:rsidRPr="00DD7BD1">
        <w:rPr>
          <w:rFonts w:ascii="Calibri" w:hAnsi="Calibri" w:cs="Calibri"/>
          <w:spacing w:val="-4"/>
          <w:sz w:val="28"/>
          <w:szCs w:val="28"/>
        </w:rPr>
        <w:t>–</w:t>
      </w:r>
      <w:r w:rsidRPr="00DD7BD1">
        <w:rPr>
          <w:rFonts w:ascii="Calibri" w:hAnsi="Calibri" w:cs="Calibri"/>
          <w:spacing w:val="-13"/>
          <w:sz w:val="28"/>
          <w:szCs w:val="28"/>
        </w:rPr>
        <w:t xml:space="preserve"> </w:t>
      </w:r>
      <w:r w:rsidRPr="00DD7BD1">
        <w:rPr>
          <w:rFonts w:ascii="Calibri" w:hAnsi="Calibri" w:cs="Calibri"/>
          <w:color w:val="C00000"/>
          <w:spacing w:val="-4"/>
          <w:sz w:val="28"/>
          <w:szCs w:val="28"/>
        </w:rPr>
        <w:t>Eff</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Jan</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1,</w:t>
      </w:r>
      <w:r w:rsidRPr="00DD7BD1">
        <w:rPr>
          <w:rFonts w:ascii="Calibri" w:hAnsi="Calibri" w:cs="Calibri"/>
          <w:color w:val="C00000"/>
          <w:spacing w:val="-15"/>
          <w:sz w:val="28"/>
          <w:szCs w:val="28"/>
        </w:rPr>
        <w:t xml:space="preserve"> </w:t>
      </w:r>
      <w:r w:rsidRPr="00DD7BD1">
        <w:rPr>
          <w:rFonts w:ascii="Calibri" w:hAnsi="Calibri" w:cs="Calibri"/>
          <w:color w:val="C00000"/>
          <w:spacing w:val="-4"/>
          <w:sz w:val="28"/>
          <w:szCs w:val="28"/>
        </w:rPr>
        <w:t>2026</w:t>
      </w:r>
    </w:p>
    <w:p w14:paraId="03310F6A"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5"/>
          <w:szCs w:val="22"/>
        </w:rPr>
        <w:lastRenderedPageBreak/>
        <w:t>Beginning</w:t>
      </w:r>
      <w:r w:rsidRPr="00DD7BD1">
        <w:rPr>
          <w:rFonts w:cs="Calibri"/>
          <w:color w:val="auto"/>
          <w:spacing w:val="-17"/>
          <w:w w:val="115"/>
          <w:szCs w:val="22"/>
        </w:rPr>
        <w:t xml:space="preserve"> </w:t>
      </w:r>
      <w:r w:rsidRPr="00DD7BD1">
        <w:rPr>
          <w:rFonts w:cs="Calibri"/>
          <w:color w:val="auto"/>
          <w:w w:val="115"/>
          <w:szCs w:val="22"/>
        </w:rPr>
        <w:t>January</w:t>
      </w:r>
      <w:r w:rsidRPr="00DD7BD1">
        <w:rPr>
          <w:rFonts w:cs="Calibri"/>
          <w:color w:val="auto"/>
          <w:spacing w:val="-17"/>
          <w:w w:val="115"/>
          <w:szCs w:val="22"/>
        </w:rPr>
        <w:t xml:space="preserve"> </w:t>
      </w:r>
      <w:r w:rsidRPr="00DD7BD1">
        <w:rPr>
          <w:rFonts w:cs="Calibri"/>
          <w:color w:val="auto"/>
          <w:w w:val="115"/>
          <w:szCs w:val="22"/>
        </w:rPr>
        <w:t>1,</w:t>
      </w:r>
      <w:r w:rsidRPr="00DD7BD1">
        <w:rPr>
          <w:rFonts w:cs="Calibri"/>
          <w:color w:val="auto"/>
          <w:spacing w:val="-18"/>
          <w:w w:val="115"/>
          <w:szCs w:val="22"/>
        </w:rPr>
        <w:t xml:space="preserve"> </w:t>
      </w:r>
      <w:r w:rsidRPr="00DD7BD1">
        <w:rPr>
          <w:rFonts w:cs="Calibri"/>
          <w:color w:val="auto"/>
          <w:w w:val="115"/>
          <w:szCs w:val="22"/>
        </w:rPr>
        <w:t>2026,</w:t>
      </w:r>
      <w:r w:rsidRPr="00DD7BD1">
        <w:rPr>
          <w:rFonts w:cs="Calibri"/>
          <w:color w:val="auto"/>
          <w:spacing w:val="-16"/>
          <w:w w:val="115"/>
          <w:szCs w:val="22"/>
        </w:rPr>
        <w:t xml:space="preserve"> </w:t>
      </w:r>
      <w:r w:rsidRPr="00DD7BD1">
        <w:rPr>
          <w:rFonts w:cs="Calibri"/>
          <w:color w:val="auto"/>
          <w:w w:val="115"/>
          <w:szCs w:val="22"/>
        </w:rPr>
        <w:t>Washington</w:t>
      </w:r>
      <w:r w:rsidRPr="00DD7BD1">
        <w:rPr>
          <w:rFonts w:cs="Calibri"/>
          <w:color w:val="auto"/>
          <w:spacing w:val="-18"/>
          <w:w w:val="115"/>
          <w:szCs w:val="22"/>
        </w:rPr>
        <w:t xml:space="preserve"> </w:t>
      </w:r>
      <w:r w:rsidRPr="00DD7BD1">
        <w:rPr>
          <w:rFonts w:cs="Calibri"/>
          <w:color w:val="auto"/>
          <w:w w:val="115"/>
          <w:szCs w:val="22"/>
        </w:rPr>
        <w:t>State</w:t>
      </w:r>
      <w:r w:rsidRPr="00DD7BD1">
        <w:rPr>
          <w:rFonts w:cs="Calibri"/>
          <w:color w:val="auto"/>
          <w:spacing w:val="-15"/>
          <w:w w:val="115"/>
          <w:szCs w:val="22"/>
        </w:rPr>
        <w:t xml:space="preserve"> </w:t>
      </w:r>
      <w:r w:rsidRPr="00DD7BD1">
        <w:rPr>
          <w:rFonts w:cs="Calibri"/>
          <w:color w:val="auto"/>
          <w:w w:val="115"/>
          <w:szCs w:val="22"/>
        </w:rPr>
        <w:t>will</w:t>
      </w:r>
      <w:r w:rsidRPr="00DD7BD1">
        <w:rPr>
          <w:rFonts w:cs="Calibri"/>
          <w:color w:val="auto"/>
          <w:spacing w:val="-17"/>
          <w:w w:val="115"/>
          <w:szCs w:val="22"/>
        </w:rPr>
        <w:t xml:space="preserve"> </w:t>
      </w:r>
      <w:r w:rsidRPr="00DD7BD1">
        <w:rPr>
          <w:rFonts w:cs="Calibri"/>
          <w:color w:val="auto"/>
          <w:w w:val="115"/>
          <w:szCs w:val="22"/>
        </w:rPr>
        <w:t>implement</w:t>
      </w:r>
      <w:r w:rsidRPr="00DD7BD1">
        <w:rPr>
          <w:rFonts w:cs="Calibri"/>
          <w:color w:val="auto"/>
          <w:spacing w:val="-17"/>
          <w:w w:val="115"/>
          <w:szCs w:val="22"/>
        </w:rPr>
        <w:t xml:space="preserve"> </w:t>
      </w:r>
      <w:r w:rsidRPr="00DD7BD1">
        <w:rPr>
          <w:rFonts w:cs="Calibri"/>
          <w:color w:val="auto"/>
          <w:w w:val="115"/>
          <w:szCs w:val="22"/>
        </w:rPr>
        <w:t>significant</w:t>
      </w:r>
      <w:r w:rsidRPr="00DD7BD1">
        <w:rPr>
          <w:rFonts w:cs="Calibri"/>
          <w:color w:val="auto"/>
          <w:spacing w:val="-18"/>
          <w:w w:val="115"/>
          <w:szCs w:val="22"/>
        </w:rPr>
        <w:t xml:space="preserve"> </w:t>
      </w:r>
      <w:r w:rsidRPr="00DD7BD1">
        <w:rPr>
          <w:rFonts w:cs="Calibri"/>
          <w:color w:val="auto"/>
          <w:w w:val="115"/>
          <w:szCs w:val="22"/>
        </w:rPr>
        <w:t>amendments</w:t>
      </w:r>
      <w:r w:rsidRPr="00DD7BD1">
        <w:rPr>
          <w:rFonts w:cs="Calibri"/>
          <w:color w:val="auto"/>
          <w:spacing w:val="-15"/>
          <w:w w:val="115"/>
          <w:szCs w:val="22"/>
        </w:rPr>
        <w:t xml:space="preserve"> </w:t>
      </w:r>
      <w:r w:rsidRPr="00DD7BD1">
        <w:rPr>
          <w:rFonts w:cs="Calibri"/>
          <w:color w:val="auto"/>
          <w:w w:val="115"/>
          <w:szCs w:val="22"/>
        </w:rPr>
        <w:t>to</w:t>
      </w:r>
      <w:r w:rsidRPr="00DD7BD1">
        <w:rPr>
          <w:rFonts w:cs="Calibri"/>
          <w:color w:val="auto"/>
          <w:spacing w:val="-15"/>
          <w:w w:val="115"/>
          <w:szCs w:val="22"/>
        </w:rPr>
        <w:t xml:space="preserve"> </w:t>
      </w:r>
      <w:r w:rsidRPr="00DD7BD1">
        <w:rPr>
          <w:rFonts w:cs="Calibri"/>
          <w:color w:val="auto"/>
          <w:w w:val="115"/>
          <w:szCs w:val="22"/>
        </w:rPr>
        <w:t>its</w:t>
      </w:r>
      <w:r w:rsidRPr="00DD7BD1">
        <w:rPr>
          <w:rFonts w:cs="Calibri"/>
          <w:color w:val="auto"/>
          <w:spacing w:val="-15"/>
          <w:w w:val="115"/>
          <w:szCs w:val="22"/>
        </w:rPr>
        <w:t xml:space="preserve"> </w:t>
      </w:r>
      <w:r w:rsidRPr="00DD7BD1">
        <w:rPr>
          <w:rFonts w:cs="Calibri"/>
          <w:color w:val="auto"/>
          <w:w w:val="115"/>
          <w:szCs w:val="22"/>
        </w:rPr>
        <w:t>Paid</w:t>
      </w:r>
      <w:r w:rsidRPr="00DD7BD1">
        <w:rPr>
          <w:rFonts w:cs="Calibri"/>
          <w:color w:val="auto"/>
          <w:spacing w:val="-19"/>
          <w:w w:val="115"/>
          <w:szCs w:val="22"/>
        </w:rPr>
        <w:t xml:space="preserve"> </w:t>
      </w:r>
      <w:r w:rsidRPr="00DD7BD1">
        <w:rPr>
          <w:rFonts w:cs="Calibri"/>
          <w:color w:val="auto"/>
          <w:w w:val="115"/>
          <w:szCs w:val="22"/>
        </w:rPr>
        <w:t>Family</w:t>
      </w:r>
      <w:r w:rsidRPr="00DD7BD1">
        <w:rPr>
          <w:rFonts w:cs="Calibri"/>
          <w:color w:val="auto"/>
          <w:spacing w:val="-15"/>
          <w:w w:val="115"/>
          <w:szCs w:val="22"/>
        </w:rPr>
        <w:t xml:space="preserve"> </w:t>
      </w:r>
      <w:r w:rsidRPr="00DD7BD1">
        <w:rPr>
          <w:rFonts w:cs="Calibri"/>
          <w:color w:val="auto"/>
          <w:w w:val="115"/>
          <w:szCs w:val="22"/>
        </w:rPr>
        <w:t xml:space="preserve">and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(PFML)</w:t>
      </w:r>
      <w:r w:rsidRPr="00DD7BD1">
        <w:rPr>
          <w:rFonts w:cs="Calibri"/>
          <w:color w:val="auto"/>
          <w:spacing w:val="-6"/>
          <w:w w:val="110"/>
          <w:szCs w:val="22"/>
        </w:rPr>
        <w:t xml:space="preserve"> </w:t>
      </w:r>
      <w:r w:rsidRPr="00DD7BD1">
        <w:rPr>
          <w:rFonts w:cs="Calibri"/>
          <w:color w:val="auto"/>
          <w:w w:val="110"/>
          <w:szCs w:val="22"/>
        </w:rPr>
        <w:t>program</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7"/>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These</w:t>
      </w:r>
      <w:r w:rsidRPr="00DD7BD1">
        <w:rPr>
          <w:rFonts w:cs="Calibri"/>
          <w:color w:val="auto"/>
          <w:spacing w:val="-5"/>
          <w:w w:val="110"/>
          <w:szCs w:val="22"/>
        </w:rPr>
        <w:t xml:space="preserve"> </w:t>
      </w:r>
      <w:r w:rsidRPr="00DD7BD1">
        <w:rPr>
          <w:rFonts w:cs="Calibri"/>
          <w:color w:val="auto"/>
          <w:w w:val="110"/>
          <w:szCs w:val="22"/>
        </w:rPr>
        <w:t>changes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5"/>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protections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introduce new compliance obligations for employers, particularly those with smaller workforces.</w:t>
      </w:r>
    </w:p>
    <w:p w14:paraId="0C291068" w14:textId="77777777" w:rsidR="003F46D6" w:rsidRPr="00DD7BD1" w:rsidRDefault="003F46D6" w:rsidP="003F46D6">
      <w:pPr>
        <w:pStyle w:val="BodyText"/>
        <w:spacing w:after="0" w:line="240" w:lineRule="auto"/>
        <w:ind w:right="-187"/>
        <w:jc w:val="left"/>
        <w:rPr>
          <w:rFonts w:cs="Calibri"/>
          <w:color w:val="auto"/>
          <w:sz w:val="16"/>
          <w:szCs w:val="16"/>
        </w:rPr>
      </w:pPr>
    </w:p>
    <w:p w14:paraId="1E67106C"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Starting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have</w:t>
      </w:r>
      <w:r w:rsidRPr="00DD7BD1">
        <w:rPr>
          <w:rFonts w:cs="Calibri"/>
          <w:color w:val="auto"/>
          <w:spacing w:val="-7"/>
          <w:w w:val="110"/>
          <w:szCs w:val="22"/>
        </w:rPr>
        <w:t xml:space="preserve"> </w:t>
      </w:r>
      <w:r w:rsidRPr="00DD7BD1">
        <w:rPr>
          <w:rFonts w:cs="Calibri"/>
          <w:color w:val="auto"/>
          <w:w w:val="110"/>
          <w:szCs w:val="22"/>
        </w:rPr>
        <w:t>worked</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8"/>
          <w:w w:val="110"/>
          <w:szCs w:val="22"/>
        </w:rPr>
        <w:t xml:space="preserve"> </w:t>
      </w:r>
      <w:r w:rsidRPr="00DD7BD1">
        <w:rPr>
          <w:rFonts w:cs="Calibri"/>
          <w:color w:val="auto"/>
          <w:w w:val="110"/>
          <w:szCs w:val="22"/>
        </w:rPr>
        <w:t>180</w:t>
      </w:r>
      <w:r w:rsidRPr="00DD7BD1">
        <w:rPr>
          <w:rFonts w:cs="Calibri"/>
          <w:color w:val="auto"/>
          <w:spacing w:val="-10"/>
          <w:w w:val="110"/>
          <w:szCs w:val="22"/>
        </w:rPr>
        <w:t xml:space="preserve"> </w:t>
      </w:r>
      <w:r w:rsidRPr="00DD7BD1">
        <w:rPr>
          <w:rFonts w:cs="Calibri"/>
          <w:color w:val="auto"/>
          <w:w w:val="110"/>
          <w:szCs w:val="22"/>
        </w:rPr>
        <w:t>days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job</w:t>
      </w:r>
      <w:r w:rsidRPr="00DD7BD1">
        <w:rPr>
          <w:rFonts w:cs="Calibri"/>
          <w:color w:val="auto"/>
          <w:spacing w:val="-10"/>
          <w:w w:val="110"/>
          <w:szCs w:val="22"/>
        </w:rPr>
        <w:t xml:space="preserve"> </w:t>
      </w:r>
      <w:r w:rsidRPr="00DD7BD1">
        <w:rPr>
          <w:rFonts w:cs="Calibri"/>
          <w:color w:val="auto"/>
          <w:w w:val="110"/>
          <w:szCs w:val="22"/>
        </w:rPr>
        <w:t>restoration</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8"/>
          <w:w w:val="110"/>
          <w:szCs w:val="22"/>
        </w:rPr>
        <w:t xml:space="preserve"> </w:t>
      </w:r>
      <w:r w:rsidRPr="00DD7BD1">
        <w:rPr>
          <w:rFonts w:cs="Calibri"/>
          <w:color w:val="auto"/>
          <w:w w:val="110"/>
          <w:szCs w:val="22"/>
        </w:rPr>
        <w:t>their employer</w:t>
      </w:r>
      <w:r w:rsidRPr="00DD7BD1">
        <w:rPr>
          <w:rFonts w:cs="Calibri"/>
          <w:color w:val="auto"/>
          <w:spacing w:val="-14"/>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25</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decrease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15</w:t>
      </w:r>
      <w:r w:rsidRPr="00DD7BD1">
        <w:rPr>
          <w:rFonts w:cs="Calibri"/>
          <w:color w:val="auto"/>
          <w:spacing w:val="-13"/>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2027</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8</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 2028.</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previously</w:t>
      </w:r>
      <w:r w:rsidRPr="00DD7BD1">
        <w:rPr>
          <w:rFonts w:cs="Calibri"/>
          <w:color w:val="auto"/>
          <w:spacing w:val="-9"/>
          <w:w w:val="110"/>
          <w:szCs w:val="22"/>
        </w:rPr>
        <w:t xml:space="preserve"> </w:t>
      </w:r>
      <w:r w:rsidRPr="00DD7BD1">
        <w:rPr>
          <w:rFonts w:cs="Calibri"/>
          <w:color w:val="auto"/>
          <w:w w:val="110"/>
          <w:szCs w:val="22"/>
        </w:rPr>
        <w:t>fell</w:t>
      </w:r>
      <w:r w:rsidRPr="00DD7BD1">
        <w:rPr>
          <w:rFonts w:cs="Calibri"/>
          <w:color w:val="auto"/>
          <w:spacing w:val="-7"/>
          <w:w w:val="110"/>
          <w:szCs w:val="22"/>
        </w:rPr>
        <w:t xml:space="preserve"> </w:t>
      </w:r>
      <w:r w:rsidRPr="00DD7BD1">
        <w:rPr>
          <w:rFonts w:cs="Calibri"/>
          <w:color w:val="auto"/>
          <w:w w:val="110"/>
          <w:szCs w:val="22"/>
        </w:rPr>
        <w:t>outside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scope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PFML</w:t>
      </w:r>
      <w:r w:rsidRPr="00DD7BD1">
        <w:rPr>
          <w:rFonts w:cs="Calibri"/>
          <w:color w:val="auto"/>
          <w:spacing w:val="-9"/>
          <w:w w:val="110"/>
          <w:szCs w:val="22"/>
        </w:rPr>
        <w:t xml:space="preserve"> </w:t>
      </w:r>
      <w:r w:rsidRPr="00DD7BD1">
        <w:rPr>
          <w:rFonts w:cs="Calibri"/>
          <w:color w:val="auto"/>
          <w:w w:val="110"/>
          <w:szCs w:val="22"/>
        </w:rPr>
        <w:t>job</w:t>
      </w:r>
      <w:r w:rsidRPr="00DD7BD1">
        <w:rPr>
          <w:rFonts w:cs="Calibri"/>
          <w:color w:val="auto"/>
          <w:spacing w:val="-12"/>
          <w:w w:val="110"/>
          <w:szCs w:val="22"/>
        </w:rPr>
        <w:t xml:space="preserve"> </w:t>
      </w:r>
      <w:r w:rsidRPr="00DD7BD1">
        <w:rPr>
          <w:rFonts w:cs="Calibri"/>
          <w:color w:val="auto"/>
          <w:w w:val="110"/>
          <w:szCs w:val="22"/>
        </w:rPr>
        <w:t>protection</w:t>
      </w:r>
      <w:r w:rsidRPr="00DD7BD1">
        <w:rPr>
          <w:rFonts w:cs="Calibri"/>
          <w:color w:val="auto"/>
          <w:spacing w:val="-9"/>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need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prepare for these new obligations.</w:t>
      </w:r>
    </w:p>
    <w:p w14:paraId="72EDB0E6"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0"/>
          <w:szCs w:val="22"/>
        </w:rPr>
        <w:t>Another</w:t>
      </w:r>
      <w:r w:rsidRPr="00DD7BD1">
        <w:rPr>
          <w:rFonts w:cs="Calibri"/>
          <w:color w:val="auto"/>
          <w:spacing w:val="-15"/>
          <w:w w:val="110"/>
          <w:szCs w:val="22"/>
        </w:rPr>
        <w:t xml:space="preserve"> </w:t>
      </w:r>
      <w:r w:rsidRPr="00DD7BD1">
        <w:rPr>
          <w:rFonts w:cs="Calibri"/>
          <w:color w:val="auto"/>
          <w:w w:val="110"/>
          <w:szCs w:val="22"/>
        </w:rPr>
        <w:t>key</w:t>
      </w:r>
      <w:r w:rsidRPr="00DD7BD1">
        <w:rPr>
          <w:rFonts w:cs="Calibri"/>
          <w:color w:val="auto"/>
          <w:spacing w:val="-12"/>
          <w:w w:val="110"/>
          <w:szCs w:val="22"/>
        </w:rPr>
        <w:t xml:space="preserve"> </w:t>
      </w:r>
      <w:r w:rsidRPr="00DD7BD1">
        <w:rPr>
          <w:rFonts w:cs="Calibri"/>
          <w:color w:val="auto"/>
          <w:w w:val="110"/>
          <w:szCs w:val="22"/>
        </w:rPr>
        <w:t>change</w:t>
      </w:r>
      <w:r w:rsidRPr="00DD7BD1">
        <w:rPr>
          <w:rFonts w:cs="Calibri"/>
          <w:color w:val="auto"/>
          <w:spacing w:val="-12"/>
          <w:w w:val="110"/>
          <w:szCs w:val="22"/>
        </w:rPr>
        <w:t xml:space="preserve"> </w:t>
      </w:r>
      <w:r w:rsidRPr="00DD7BD1">
        <w:rPr>
          <w:rFonts w:cs="Calibri"/>
          <w:color w:val="auto"/>
          <w:w w:val="110"/>
          <w:szCs w:val="22"/>
        </w:rPr>
        <w:t>involves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continuation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health</w:t>
      </w:r>
      <w:r w:rsidRPr="00DD7BD1">
        <w:rPr>
          <w:rFonts w:cs="Calibri"/>
          <w:color w:val="auto"/>
          <w:spacing w:val="-13"/>
          <w:w w:val="110"/>
          <w:szCs w:val="22"/>
        </w:rPr>
        <w:t xml:space="preserve"> </w:t>
      </w:r>
      <w:r w:rsidRPr="00DD7BD1">
        <w:rPr>
          <w:rFonts w:cs="Calibri"/>
          <w:color w:val="auto"/>
          <w:w w:val="110"/>
          <w:szCs w:val="22"/>
        </w:rPr>
        <w:t>insurance</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2"/>
          <w:w w:val="110"/>
          <w:szCs w:val="22"/>
        </w:rPr>
        <w:t xml:space="preserve"> </w:t>
      </w:r>
      <w:r w:rsidRPr="00DD7BD1">
        <w:rPr>
          <w:rFonts w:cs="Calibri"/>
          <w:color w:val="auto"/>
          <w:w w:val="110"/>
          <w:szCs w:val="22"/>
        </w:rPr>
        <w:t>required</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maintain existing</w:t>
      </w:r>
      <w:r w:rsidRPr="00DD7BD1">
        <w:rPr>
          <w:rFonts w:cs="Calibri"/>
          <w:color w:val="auto"/>
          <w:spacing w:val="-2"/>
          <w:w w:val="110"/>
          <w:szCs w:val="22"/>
        </w:rPr>
        <w:t xml:space="preserve"> </w:t>
      </w:r>
      <w:r w:rsidRPr="00DD7BD1">
        <w:rPr>
          <w:rFonts w:cs="Calibri"/>
          <w:color w:val="auto"/>
          <w:w w:val="110"/>
          <w:szCs w:val="22"/>
        </w:rPr>
        <w:t>health</w:t>
      </w:r>
      <w:r w:rsidRPr="00DD7BD1">
        <w:rPr>
          <w:rFonts w:cs="Calibri"/>
          <w:color w:val="auto"/>
          <w:spacing w:val="-3"/>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on</w:t>
      </w:r>
      <w:r w:rsidRPr="00DD7BD1">
        <w:rPr>
          <w:rFonts w:cs="Calibri"/>
          <w:color w:val="auto"/>
          <w:spacing w:val="-3"/>
          <w:w w:val="110"/>
          <w:szCs w:val="22"/>
        </w:rPr>
        <w:t xml:space="preserve"> </w:t>
      </w:r>
      <w:r w:rsidRPr="00DD7BD1">
        <w:rPr>
          <w:rFonts w:cs="Calibri"/>
          <w:color w:val="auto"/>
          <w:w w:val="110"/>
          <w:szCs w:val="22"/>
        </w:rPr>
        <w:t>PFML leave, provided the</w:t>
      </w:r>
      <w:r w:rsidRPr="00DD7BD1">
        <w:rPr>
          <w:rFonts w:cs="Calibri"/>
          <w:color w:val="auto"/>
          <w:spacing w:val="-3"/>
          <w:w w:val="110"/>
          <w:szCs w:val="22"/>
        </w:rPr>
        <w:t xml:space="preserve"> </w:t>
      </w:r>
      <w:r w:rsidRPr="00DD7BD1">
        <w:rPr>
          <w:rFonts w:cs="Calibri"/>
          <w:color w:val="auto"/>
          <w:w w:val="110"/>
          <w:szCs w:val="22"/>
        </w:rPr>
        <w:t>employee</w:t>
      </w:r>
      <w:r w:rsidRPr="00DD7BD1">
        <w:rPr>
          <w:rFonts w:cs="Calibri"/>
          <w:color w:val="auto"/>
          <w:spacing w:val="-2"/>
          <w:w w:val="110"/>
          <w:szCs w:val="22"/>
        </w:rPr>
        <w:t xml:space="preserve"> </w:t>
      </w:r>
      <w:r w:rsidRPr="00DD7BD1">
        <w:rPr>
          <w:rFonts w:cs="Calibri"/>
          <w:color w:val="auto"/>
          <w:w w:val="110"/>
          <w:szCs w:val="22"/>
        </w:rPr>
        <w:t>qualifies</w:t>
      </w:r>
      <w:r w:rsidRPr="00DD7BD1">
        <w:rPr>
          <w:rFonts w:cs="Calibri"/>
          <w:color w:val="auto"/>
          <w:spacing w:val="-1"/>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job</w:t>
      </w:r>
      <w:r w:rsidRPr="00DD7BD1">
        <w:rPr>
          <w:rFonts w:cs="Calibri"/>
          <w:color w:val="auto"/>
          <w:spacing w:val="-2"/>
          <w:w w:val="110"/>
          <w:szCs w:val="22"/>
        </w:rPr>
        <w:t xml:space="preserve"> </w:t>
      </w:r>
      <w:r w:rsidRPr="00DD7BD1">
        <w:rPr>
          <w:rFonts w:cs="Calibri"/>
          <w:color w:val="auto"/>
          <w:w w:val="110"/>
          <w:szCs w:val="22"/>
        </w:rPr>
        <w:t>protection.</w:t>
      </w:r>
      <w:r w:rsidRPr="00DD7BD1">
        <w:rPr>
          <w:rFonts w:cs="Calibri"/>
          <w:color w:val="auto"/>
          <w:spacing w:val="-3"/>
          <w:w w:val="110"/>
          <w:szCs w:val="22"/>
        </w:rPr>
        <w:t xml:space="preserve"> </w:t>
      </w:r>
      <w:r w:rsidRPr="00DD7BD1">
        <w:rPr>
          <w:rFonts w:cs="Calibri"/>
          <w:color w:val="auto"/>
          <w:w w:val="110"/>
          <w:szCs w:val="22"/>
        </w:rPr>
        <w:t>This aligns PFML more closely with federal FMLA standards and ensures continuity of benefits during leave.</w:t>
      </w:r>
    </w:p>
    <w:p w14:paraId="23A868EC" w14:textId="77777777" w:rsidR="003F46D6" w:rsidRPr="00DD7BD1" w:rsidRDefault="003F46D6" w:rsidP="003F46D6">
      <w:pPr>
        <w:pStyle w:val="BodyText"/>
        <w:spacing w:after="0" w:line="240" w:lineRule="auto"/>
        <w:ind w:right="-187"/>
        <w:jc w:val="left"/>
        <w:rPr>
          <w:rFonts w:cs="Calibri"/>
          <w:color w:val="auto"/>
          <w:sz w:val="16"/>
          <w:szCs w:val="16"/>
        </w:rPr>
      </w:pPr>
    </w:p>
    <w:p w14:paraId="0ECDDD42"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minimum duration</w:t>
      </w:r>
      <w:r w:rsidRPr="00DD7BD1">
        <w:rPr>
          <w:rFonts w:cs="Calibri"/>
          <w:color w:val="auto"/>
          <w:spacing w:val="-3"/>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PFML claims will</w:t>
      </w:r>
      <w:r w:rsidRPr="00DD7BD1">
        <w:rPr>
          <w:rFonts w:cs="Calibri"/>
          <w:color w:val="auto"/>
          <w:spacing w:val="-2"/>
          <w:w w:val="110"/>
          <w:szCs w:val="22"/>
        </w:rPr>
        <w:t xml:space="preserve"> </w:t>
      </w:r>
      <w:r w:rsidRPr="00DD7BD1">
        <w:rPr>
          <w:rFonts w:cs="Calibri"/>
          <w:color w:val="auto"/>
          <w:w w:val="110"/>
          <w:szCs w:val="22"/>
        </w:rPr>
        <w:t>also</w:t>
      </w:r>
      <w:r w:rsidRPr="00DD7BD1">
        <w:rPr>
          <w:rFonts w:cs="Calibri"/>
          <w:color w:val="auto"/>
          <w:spacing w:val="-2"/>
          <w:w w:val="110"/>
          <w:szCs w:val="22"/>
        </w:rPr>
        <w:t xml:space="preserve"> </w:t>
      </w:r>
      <w:r w:rsidRPr="00DD7BD1">
        <w:rPr>
          <w:rFonts w:cs="Calibri"/>
          <w:color w:val="auto"/>
          <w:w w:val="110"/>
          <w:szCs w:val="22"/>
        </w:rPr>
        <w:t>be reduced.</w:t>
      </w:r>
      <w:r w:rsidRPr="00DD7BD1">
        <w:rPr>
          <w:rFonts w:cs="Calibri"/>
          <w:color w:val="auto"/>
          <w:spacing w:val="-1"/>
          <w:w w:val="110"/>
          <w:szCs w:val="22"/>
        </w:rPr>
        <w:t xml:space="preserve"> </w:t>
      </w:r>
      <w:r w:rsidRPr="00DD7BD1">
        <w:rPr>
          <w:rFonts w:cs="Calibri"/>
          <w:color w:val="auto"/>
          <w:w w:val="110"/>
          <w:szCs w:val="22"/>
        </w:rPr>
        <w:t>Currently,</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must</w:t>
      </w:r>
      <w:r w:rsidRPr="00DD7BD1">
        <w:rPr>
          <w:rFonts w:cs="Calibri"/>
          <w:color w:val="auto"/>
          <w:spacing w:val="-1"/>
          <w:w w:val="110"/>
          <w:szCs w:val="22"/>
        </w:rPr>
        <w:t xml:space="preserve"> </w:t>
      </w:r>
      <w:r w:rsidRPr="00DD7BD1">
        <w:rPr>
          <w:rFonts w:cs="Calibri"/>
          <w:color w:val="auto"/>
          <w:w w:val="110"/>
          <w:szCs w:val="22"/>
        </w:rPr>
        <w:t>take at</w:t>
      </w:r>
      <w:r w:rsidRPr="00DD7BD1">
        <w:rPr>
          <w:rFonts w:cs="Calibri"/>
          <w:color w:val="auto"/>
          <w:spacing w:val="-5"/>
          <w:w w:val="110"/>
          <w:szCs w:val="22"/>
        </w:rPr>
        <w:t xml:space="preserve"> </w:t>
      </w:r>
      <w:r w:rsidRPr="00DD7BD1">
        <w:rPr>
          <w:rFonts w:cs="Calibri"/>
          <w:color w:val="auto"/>
          <w:w w:val="110"/>
          <w:szCs w:val="22"/>
        </w:rPr>
        <w:t>least</w:t>
      </w:r>
      <w:r w:rsidRPr="00DD7BD1">
        <w:rPr>
          <w:rFonts w:cs="Calibri"/>
          <w:color w:val="auto"/>
          <w:spacing w:val="-1"/>
          <w:w w:val="110"/>
          <w:szCs w:val="22"/>
        </w:rPr>
        <w:t xml:space="preserve"> </w:t>
      </w:r>
      <w:r w:rsidRPr="00DD7BD1">
        <w:rPr>
          <w:rFonts w:cs="Calibri"/>
          <w:color w:val="auto"/>
          <w:w w:val="110"/>
          <w:szCs w:val="22"/>
        </w:rPr>
        <w:t>eight consecutive</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claim.</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minimum</w:t>
      </w:r>
      <w:r w:rsidRPr="00DD7BD1">
        <w:rPr>
          <w:rFonts w:cs="Calibri"/>
          <w:color w:val="auto"/>
          <w:spacing w:val="-11"/>
          <w:w w:val="110"/>
          <w:szCs w:val="22"/>
        </w:rPr>
        <w:t xml:space="preserve"> </w:t>
      </w:r>
      <w:r w:rsidRPr="00DD7BD1">
        <w:rPr>
          <w:rFonts w:cs="Calibri"/>
          <w:color w:val="auto"/>
          <w:w w:val="110"/>
          <w:szCs w:val="22"/>
        </w:rPr>
        <w:t>claim</w:t>
      </w:r>
      <w:r w:rsidRPr="00DD7BD1">
        <w:rPr>
          <w:rFonts w:cs="Calibri"/>
          <w:color w:val="auto"/>
          <w:spacing w:val="-9"/>
          <w:w w:val="110"/>
          <w:szCs w:val="22"/>
        </w:rPr>
        <w:t xml:space="preserve"> </w:t>
      </w:r>
      <w:r w:rsidRPr="00DD7BD1">
        <w:rPr>
          <w:rFonts w:cs="Calibri"/>
          <w:color w:val="auto"/>
          <w:w w:val="110"/>
          <w:szCs w:val="22"/>
        </w:rPr>
        <w:t>duration</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drop</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four</w:t>
      </w:r>
      <w:r w:rsidRPr="00DD7BD1">
        <w:rPr>
          <w:rFonts w:cs="Calibri"/>
          <w:color w:val="auto"/>
          <w:spacing w:val="-12"/>
          <w:w w:val="110"/>
          <w:szCs w:val="22"/>
        </w:rPr>
        <w:t xml:space="preserve"> </w:t>
      </w:r>
      <w:r w:rsidRPr="00DD7BD1">
        <w:rPr>
          <w:rFonts w:cs="Calibri"/>
          <w:color w:val="auto"/>
          <w:w w:val="110"/>
          <w:szCs w:val="22"/>
        </w:rPr>
        <w:t>hours, allowing for more flexible use of leave.</w:t>
      </w:r>
    </w:p>
    <w:p w14:paraId="0AADF74F" w14:textId="77777777" w:rsidR="003F46D6" w:rsidRPr="00DD7BD1" w:rsidRDefault="003F46D6" w:rsidP="003F46D6">
      <w:pPr>
        <w:pStyle w:val="BodyText"/>
        <w:spacing w:after="0" w:line="240" w:lineRule="auto"/>
        <w:ind w:right="-187"/>
        <w:jc w:val="left"/>
        <w:rPr>
          <w:rFonts w:cs="Calibri"/>
          <w:color w:val="auto"/>
          <w:spacing w:val="-2"/>
          <w:w w:val="110"/>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0"/>
          <w:w w:val="110"/>
          <w:szCs w:val="22"/>
        </w:rPr>
        <w:t xml:space="preserve"> </w:t>
      </w:r>
      <w:r w:rsidRPr="00DD7BD1">
        <w:rPr>
          <w:rFonts w:cs="Calibri"/>
          <w:color w:val="auto"/>
          <w:w w:val="110"/>
          <w:szCs w:val="22"/>
        </w:rPr>
        <w:t>also</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aware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1"/>
          <w:w w:val="110"/>
          <w:szCs w:val="22"/>
        </w:rPr>
        <w:t xml:space="preserve"> </w:t>
      </w:r>
      <w:r w:rsidRPr="00DD7BD1">
        <w:rPr>
          <w:rFonts w:cs="Calibri"/>
          <w:color w:val="auto"/>
          <w:w w:val="110"/>
          <w:szCs w:val="22"/>
        </w:rPr>
        <w:t>notification</w:t>
      </w:r>
      <w:r w:rsidRPr="00DD7BD1">
        <w:rPr>
          <w:rFonts w:cs="Calibri"/>
          <w:color w:val="auto"/>
          <w:spacing w:val="-10"/>
          <w:w w:val="110"/>
          <w:szCs w:val="22"/>
        </w:rPr>
        <w:t xml:space="preserve"> </w:t>
      </w:r>
      <w:r w:rsidRPr="00DD7BD1">
        <w:rPr>
          <w:rFonts w:cs="Calibri"/>
          <w:color w:val="auto"/>
          <w:w w:val="110"/>
          <w:szCs w:val="22"/>
        </w:rPr>
        <w:t>requirements</w:t>
      </w:r>
      <w:r w:rsidRPr="00DD7BD1">
        <w:rPr>
          <w:rFonts w:cs="Calibri"/>
          <w:color w:val="auto"/>
          <w:spacing w:val="-10"/>
          <w:w w:val="110"/>
          <w:szCs w:val="22"/>
        </w:rPr>
        <w:t xml:space="preserve"> </w:t>
      </w:r>
      <w:r w:rsidRPr="00DD7BD1">
        <w:rPr>
          <w:rFonts w:cs="Calibri"/>
          <w:color w:val="auto"/>
          <w:w w:val="110"/>
          <w:szCs w:val="22"/>
        </w:rPr>
        <w:t>related</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combining</w:t>
      </w:r>
      <w:r w:rsidRPr="00DD7BD1">
        <w:rPr>
          <w:rFonts w:cs="Calibri"/>
          <w:color w:val="auto"/>
          <w:spacing w:val="-10"/>
          <w:w w:val="110"/>
          <w:szCs w:val="22"/>
        </w:rPr>
        <w:t xml:space="preserve"> </w:t>
      </w:r>
      <w:r w:rsidRPr="00DD7BD1">
        <w:rPr>
          <w:rFonts w:cs="Calibri"/>
          <w:color w:val="auto"/>
          <w:w w:val="110"/>
          <w:szCs w:val="22"/>
        </w:rPr>
        <w:t>PFML</w:t>
      </w:r>
      <w:r w:rsidRPr="00DD7BD1">
        <w:rPr>
          <w:rFonts w:cs="Calibri"/>
          <w:color w:val="auto"/>
          <w:spacing w:val="-10"/>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4"/>
          <w:w w:val="110"/>
          <w:szCs w:val="22"/>
        </w:rPr>
        <w:t xml:space="preserve"> </w:t>
      </w:r>
      <w:r w:rsidRPr="00DD7BD1">
        <w:rPr>
          <w:rFonts w:cs="Calibri"/>
          <w:color w:val="auto"/>
          <w:w w:val="110"/>
          <w:szCs w:val="22"/>
        </w:rPr>
        <w:t xml:space="preserve">FMLA </w:t>
      </w:r>
      <w:r w:rsidRPr="00DD7BD1">
        <w:rPr>
          <w:rFonts w:cs="Calibri"/>
          <w:color w:val="auto"/>
          <w:spacing w:val="-2"/>
          <w:w w:val="110"/>
          <w:szCs w:val="22"/>
        </w:rPr>
        <w:t>leave.</w:t>
      </w:r>
    </w:p>
    <w:p w14:paraId="4EF54C5E" w14:textId="77777777" w:rsidR="003F46D6" w:rsidRPr="00DD7BD1" w:rsidRDefault="003F46D6" w:rsidP="003F46D6">
      <w:pPr>
        <w:pStyle w:val="BodyText"/>
        <w:spacing w:after="0" w:line="240" w:lineRule="auto"/>
        <w:ind w:right="-187"/>
        <w:jc w:val="left"/>
        <w:rPr>
          <w:rFonts w:cs="Calibri"/>
          <w:color w:val="auto"/>
          <w:sz w:val="16"/>
          <w:szCs w:val="16"/>
        </w:rPr>
      </w:pPr>
    </w:p>
    <w:p w14:paraId="3C23EF23" w14:textId="0AD24210" w:rsidR="003F46D6" w:rsidRPr="00DD7BD1" w:rsidRDefault="003F46D6" w:rsidP="0070115B">
      <w:pPr>
        <w:spacing w:after="0" w:line="240" w:lineRule="auto"/>
        <w:rPr>
          <w:rFonts w:ascii="Calibri" w:hAnsi="Calibri" w:cs="Calibri"/>
          <w:w w:val="110"/>
        </w:rPr>
      </w:pPr>
      <w:r w:rsidRPr="00DD7BD1">
        <w:rPr>
          <w:rFonts w:ascii="Calibri" w:hAnsi="Calibri" w:cs="Calibri"/>
          <w:w w:val="110"/>
        </w:rPr>
        <w:t>ETC</w:t>
      </w:r>
      <w:r w:rsidRPr="00DD7BD1">
        <w:rPr>
          <w:rFonts w:ascii="Calibri" w:hAnsi="Calibri" w:cs="Calibri"/>
          <w:spacing w:val="-15"/>
          <w:w w:val="110"/>
        </w:rPr>
        <w:t xml:space="preserve"> </w:t>
      </w:r>
      <w:r w:rsidRPr="00DD7BD1">
        <w:rPr>
          <w:rFonts w:ascii="Calibri" w:hAnsi="Calibri" w:cs="Calibri"/>
          <w:w w:val="110"/>
        </w:rPr>
        <w:t>will</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Notice</w:t>
      </w:r>
      <w:r w:rsidRPr="00DD7BD1">
        <w:rPr>
          <w:rFonts w:ascii="Calibri" w:hAnsi="Calibri" w:cs="Calibri"/>
          <w:spacing w:val="-14"/>
          <w:w w:val="110"/>
        </w:rPr>
        <w:t xml:space="preserve"> </w:t>
      </w:r>
      <w:r w:rsidRPr="00DD7BD1">
        <w:rPr>
          <w:rFonts w:ascii="Calibri" w:hAnsi="Calibri" w:cs="Calibri"/>
          <w:w w:val="110"/>
        </w:rPr>
        <w:t>upon</w:t>
      </w:r>
      <w:r w:rsidRPr="00DD7BD1">
        <w:rPr>
          <w:rFonts w:ascii="Calibri" w:hAnsi="Calibri" w:cs="Calibri"/>
          <w:spacing w:val="-14"/>
          <w:w w:val="110"/>
        </w:rPr>
        <w:t xml:space="preserve"> </w:t>
      </w:r>
      <w:r w:rsidRPr="00DD7BD1">
        <w:rPr>
          <w:rFonts w:ascii="Calibri" w:hAnsi="Calibri" w:cs="Calibri"/>
          <w:w w:val="110"/>
        </w:rPr>
        <w:t>release</w:t>
      </w:r>
      <w:r w:rsidRPr="00DD7BD1">
        <w:rPr>
          <w:rFonts w:ascii="Calibri" w:hAnsi="Calibri" w:cs="Calibri"/>
          <w:spacing w:val="-17"/>
          <w:w w:val="110"/>
        </w:rPr>
        <w:t xml:space="preserve"> </w:t>
      </w:r>
      <w:r w:rsidRPr="00DD7BD1">
        <w:rPr>
          <w:rFonts w:ascii="Calibri" w:hAnsi="Calibri" w:cs="Calibri"/>
          <w:w w:val="110"/>
        </w:rPr>
        <w:t>as</w:t>
      </w:r>
      <w:r w:rsidRPr="00DD7BD1">
        <w:rPr>
          <w:rFonts w:ascii="Calibri" w:hAnsi="Calibri" w:cs="Calibri"/>
          <w:spacing w:val="-14"/>
          <w:w w:val="110"/>
        </w:rPr>
        <w:t xml:space="preserve"> </w:t>
      </w:r>
      <w:r w:rsidRPr="00DD7BD1">
        <w:rPr>
          <w:rFonts w:ascii="Calibri" w:hAnsi="Calibri" w:cs="Calibri"/>
          <w:w w:val="110"/>
        </w:rPr>
        <w:t>well</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6"/>
          <w:w w:val="110"/>
        </w:rPr>
        <w:t xml:space="preserve"> </w:t>
      </w:r>
      <w:r w:rsidRPr="00DD7BD1">
        <w:rPr>
          <w:rFonts w:ascii="Calibri" w:hAnsi="Calibri" w:cs="Calibri"/>
          <w:w w:val="110"/>
        </w:rPr>
        <w:t>an</w:t>
      </w:r>
      <w:r w:rsidRPr="00DD7BD1">
        <w:rPr>
          <w:rFonts w:ascii="Calibri" w:hAnsi="Calibri" w:cs="Calibri"/>
          <w:spacing w:val="-16"/>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4"/>
          <w:w w:val="110"/>
        </w:rPr>
        <w:t xml:space="preserve"> </w:t>
      </w:r>
      <w:r w:rsidRPr="00DD7BD1">
        <w:rPr>
          <w:rFonts w:ascii="Calibri" w:hAnsi="Calibri" w:cs="Calibri"/>
          <w:w w:val="110"/>
        </w:rPr>
        <w:t>Handbook</w:t>
      </w:r>
      <w:r w:rsidRPr="00DD7BD1">
        <w:rPr>
          <w:rFonts w:ascii="Calibri" w:hAnsi="Calibri" w:cs="Calibri"/>
          <w:spacing w:val="-14"/>
          <w:w w:val="110"/>
        </w:rPr>
        <w:t xml:space="preserve"> </w:t>
      </w:r>
      <w:r w:rsidRPr="00DD7BD1">
        <w:rPr>
          <w:rFonts w:ascii="Calibri" w:hAnsi="Calibri" w:cs="Calibri"/>
          <w:w w:val="110"/>
        </w:rPr>
        <w:t>Addendum</w:t>
      </w:r>
      <w:r w:rsidRPr="00DD7BD1">
        <w:rPr>
          <w:rFonts w:ascii="Calibri" w:hAnsi="Calibri" w:cs="Calibri"/>
          <w:spacing w:val="-14"/>
          <w:w w:val="110"/>
        </w:rPr>
        <w:t xml:space="preserve"> </w:t>
      </w:r>
      <w:r w:rsidRPr="00DD7BD1">
        <w:rPr>
          <w:rFonts w:ascii="Calibri" w:hAnsi="Calibri" w:cs="Calibri"/>
          <w:w w:val="110"/>
        </w:rPr>
        <w:t>reflective</w:t>
      </w:r>
      <w:r w:rsidRPr="00DD7BD1">
        <w:rPr>
          <w:rFonts w:ascii="Calibri" w:hAnsi="Calibri" w:cs="Calibri"/>
          <w:spacing w:val="-16"/>
          <w:w w:val="110"/>
        </w:rPr>
        <w:t xml:space="preserve"> </w:t>
      </w:r>
      <w:r w:rsidRPr="00DD7BD1">
        <w:rPr>
          <w:rFonts w:ascii="Calibri" w:hAnsi="Calibri" w:cs="Calibri"/>
          <w:w w:val="110"/>
        </w:rPr>
        <w:t>of necessary Policy changes.</w:t>
      </w:r>
    </w:p>
    <w:p w14:paraId="27B4B18E" w14:textId="77777777" w:rsidR="0070115B" w:rsidRPr="00DD7BD1" w:rsidRDefault="0070115B" w:rsidP="0070115B">
      <w:pPr>
        <w:spacing w:after="0" w:line="240" w:lineRule="auto"/>
        <w:rPr>
          <w:rFonts w:ascii="Calibri" w:hAnsi="Calibri" w:cs="Calibri"/>
          <w:w w:val="110"/>
        </w:rPr>
      </w:pPr>
    </w:p>
    <w:p w14:paraId="147B6980" w14:textId="3FF47C7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Enacts Mini-WARN Act </w:t>
      </w:r>
    </w:p>
    <w:p w14:paraId="5D8AFE95"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Under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DD7BD1" w:rsidRDefault="00F917CB" w:rsidP="00F917CB">
      <w:pPr>
        <w:spacing w:after="0" w:line="240" w:lineRule="auto"/>
        <w:rPr>
          <w:rFonts w:ascii="Calibri" w:hAnsi="Calibri" w:cs="Calibri"/>
          <w:sz w:val="16"/>
          <w:szCs w:val="16"/>
          <w:shd w:val="clear" w:color="auto" w:fill="FFFFFF"/>
        </w:rPr>
      </w:pPr>
    </w:p>
    <w:p w14:paraId="43DB4569"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DD7BD1" w:rsidRDefault="00F917CB" w:rsidP="00F917CB">
      <w:pPr>
        <w:spacing w:after="0" w:line="240" w:lineRule="auto"/>
        <w:rPr>
          <w:rFonts w:ascii="Calibri" w:hAnsi="Calibri" w:cs="Calibri"/>
          <w:sz w:val="16"/>
          <w:szCs w:val="16"/>
          <w:shd w:val="clear" w:color="auto" w:fill="FFFFFF"/>
        </w:rPr>
      </w:pPr>
    </w:p>
    <w:p w14:paraId="54855D79"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Differences with Mini-WARN Act:</w:t>
      </w:r>
    </w:p>
    <w:p w14:paraId="1B5FBCEE"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 Washington mini-WARN Act is similar in many ways to the federal WARN Act, but there are some important key differences:</w:t>
      </w:r>
    </w:p>
    <w:p w14:paraId="42DFC55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Covered Employers</w:t>
      </w:r>
      <w:r w:rsidRPr="00DD7BD1">
        <w:rPr>
          <w:rFonts w:ascii="Calibri" w:hAnsi="Calibri" w:cs="Calibri"/>
          <w:shd w:val="clear" w:color="auto" w:fill="FFFFFF"/>
        </w:rPr>
        <w:t xml:space="preserve">: The federal WARN Act applies to private sector companies with either 100 full-time employees or </w:t>
      </w:r>
      <w:proofErr w:type="gramStart"/>
      <w:r w:rsidRPr="00DD7BD1">
        <w:rPr>
          <w:rFonts w:ascii="Calibri" w:hAnsi="Calibri" w:cs="Calibri"/>
          <w:shd w:val="clear" w:color="auto" w:fill="FFFFFF"/>
        </w:rPr>
        <w:t>100</w:t>
      </w:r>
      <w:proofErr w:type="gramEnd"/>
      <w:r w:rsidRPr="00DD7BD1">
        <w:rPr>
          <w:rFonts w:ascii="Calibri" w:hAnsi="Calibri" w:cs="Calibri"/>
          <w:shd w:val="clear" w:color="auto" w:fill="FFFFFF"/>
        </w:rPr>
        <w:t xml:space="preserve">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DD7BD1" w:rsidRDefault="00F917CB">
      <w:pPr>
        <w:numPr>
          <w:ilvl w:val="1"/>
          <w:numId w:val="239"/>
        </w:numPr>
        <w:spacing w:after="0" w:line="240" w:lineRule="auto"/>
        <w:rPr>
          <w:rFonts w:ascii="Calibri" w:hAnsi="Calibri" w:cs="Calibri"/>
          <w:shd w:val="clear" w:color="auto" w:fill="FFFFFF"/>
        </w:rPr>
      </w:pPr>
      <w:r w:rsidRPr="00DD7BD1">
        <w:rPr>
          <w:rFonts w:ascii="Calibri" w:hAnsi="Calibri" w:cs="Calibri"/>
          <w:shd w:val="clear" w:color="auto" w:fill="FFFFFF"/>
        </w:rPr>
        <w:t>Under both statues, “full-time employees” are those who work at least 20 hours a week </w:t>
      </w:r>
      <w:r w:rsidRPr="00DD7BD1">
        <w:rPr>
          <w:rFonts w:ascii="Calibri" w:hAnsi="Calibri" w:cs="Calibri"/>
          <w:b/>
          <w:bCs/>
          <w:shd w:val="clear" w:color="auto" w:fill="FFFFFF"/>
        </w:rPr>
        <w:t>and</w:t>
      </w:r>
      <w:r w:rsidRPr="00DD7BD1">
        <w:rPr>
          <w:rFonts w:ascii="Calibri" w:hAnsi="Calibri" w:cs="Calibri"/>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Mass Layoffs</w:t>
      </w:r>
      <w:r w:rsidRPr="00DD7BD1">
        <w:rPr>
          <w:rFonts w:ascii="Calibri" w:hAnsi="Calibri" w:cs="Calibri"/>
          <w:shd w:val="clear" w:color="auto" w:fill="FFFFFF"/>
        </w:rPr>
        <w:t>: Both statutes apply to “mass layoffs” but the definitions of “mass layoff” are significantly different. Under the federal WARN Act, a mass layoff occurs when (a) 500+ full-time employees lose their jobs, </w:t>
      </w:r>
      <w:r w:rsidRPr="00DD7BD1">
        <w:rPr>
          <w:rFonts w:ascii="Calibri" w:hAnsi="Calibri" w:cs="Calibri"/>
          <w:b/>
          <w:bCs/>
          <w:shd w:val="clear" w:color="auto" w:fill="FFFFFF"/>
        </w:rPr>
        <w:t>or</w:t>
      </w:r>
      <w:r w:rsidRPr="00DD7BD1">
        <w:rPr>
          <w:rFonts w:ascii="Calibri" w:hAnsi="Calibri" w:cs="Calibri"/>
          <w:shd w:val="clear" w:color="auto" w:fill="FFFFFF"/>
        </w:rPr>
        <w:t> (b) if 50-499 full-time employees lose their jobs </w:t>
      </w:r>
      <w:r w:rsidRPr="00DD7BD1">
        <w:rPr>
          <w:rFonts w:ascii="Calibri" w:hAnsi="Calibri" w:cs="Calibri"/>
          <w:b/>
          <w:bCs/>
          <w:shd w:val="clear" w:color="auto" w:fill="FFFFFF"/>
        </w:rPr>
        <w:t>and</w:t>
      </w:r>
      <w:r w:rsidRPr="00DD7BD1">
        <w:rPr>
          <w:rFonts w:ascii="Calibri" w:hAnsi="Calibri" w:cs="Calibri"/>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Plant/Business Closure</w:t>
      </w:r>
      <w:r w:rsidRPr="00DD7BD1">
        <w:rPr>
          <w:rFonts w:ascii="Calibri" w:hAnsi="Calibri" w:cs="Calibri"/>
          <w:shd w:val="clear" w:color="auto" w:fill="FFFFFF"/>
        </w:rPr>
        <w:t>: Under both federal and state acts, a plant/business closure occurs when 50+ full-time employees at a single site or operating unit are laid off.</w:t>
      </w:r>
    </w:p>
    <w:p w14:paraId="664184B0"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Short-term Layoffs</w:t>
      </w:r>
      <w:r w:rsidRPr="00DD7BD1">
        <w:rPr>
          <w:rFonts w:ascii="Calibri" w:hAnsi="Calibri" w:cs="Calibri"/>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lastRenderedPageBreak/>
        <w:t>Notices</w:t>
      </w:r>
      <w:r w:rsidRPr="00DD7BD1">
        <w:rPr>
          <w:rFonts w:ascii="Calibri" w:hAnsi="Calibri" w:cs="Calibri"/>
          <w:i/>
          <w:iCs/>
          <w:shd w:val="clear" w:color="auto" w:fill="FFFFFF"/>
        </w:rPr>
        <w:t>:</w:t>
      </w:r>
      <w:r w:rsidRPr="00DD7BD1">
        <w:rPr>
          <w:rFonts w:ascii="Calibri" w:hAnsi="Calibri" w:cs="Calibri"/>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Employees on Paid Family Medical Leave (PFML) leave</w:t>
      </w:r>
      <w:r w:rsidRPr="00DD7BD1">
        <w:rPr>
          <w:rFonts w:ascii="Calibri" w:hAnsi="Calibri" w:cs="Calibri"/>
          <w:shd w:val="clear" w:color="auto" w:fill="FFFFFF"/>
        </w:rPr>
        <w:t>: A specific Washington provision is that if a mass layoff is involved, employees currently on Washington PFML cannot be included in the layoff.</w:t>
      </w:r>
    </w:p>
    <w:p w14:paraId="14236807" w14:textId="77777777" w:rsidR="00F917CB" w:rsidRPr="00DD7BD1" w:rsidRDefault="00F917CB" w:rsidP="00F917CB">
      <w:pPr>
        <w:spacing w:after="0" w:line="240" w:lineRule="auto"/>
        <w:rPr>
          <w:rFonts w:ascii="Calibri" w:hAnsi="Calibri" w:cs="Calibri"/>
          <w:shd w:val="clear" w:color="auto" w:fill="FFFFFF"/>
        </w:rPr>
      </w:pPr>
    </w:p>
    <w:p w14:paraId="2D5A8E50"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Pr="00DD7BD1" w:rsidRDefault="00F917CB" w:rsidP="00F917CB">
      <w:pPr>
        <w:spacing w:after="0" w:line="240" w:lineRule="auto"/>
        <w:rPr>
          <w:rFonts w:ascii="Calibri" w:hAnsi="Calibri" w:cs="Calibri"/>
          <w:shd w:val="clear" w:color="auto" w:fill="FFFFFF"/>
        </w:rPr>
      </w:pPr>
    </w:p>
    <w:p w14:paraId="0C2AC89E"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r w:rsidRPr="00DD7BD1">
        <w:rPr>
          <w:rFonts w:ascii="Calibri" w:hAnsi="Calibri" w:cs="Calibri"/>
          <w:b/>
          <w:bCs/>
          <w:shd w:val="clear" w:color="auto" w:fill="FFFFFF"/>
        </w:rPr>
        <w:t xml:space="preserve"> </w:t>
      </w:r>
    </w:p>
    <w:p w14:paraId="605F1CBB"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DD7BD1" w:rsidRDefault="00F917CB" w:rsidP="005C31E9">
      <w:pPr>
        <w:spacing w:after="0" w:line="240" w:lineRule="auto"/>
        <w:jc w:val="center"/>
        <w:rPr>
          <w:rFonts w:ascii="Calibri" w:hAnsi="Calibri" w:cs="Calibri"/>
          <w:b/>
          <w:bCs/>
          <w:sz w:val="16"/>
          <w:szCs w:val="16"/>
          <w:shd w:val="clear" w:color="auto" w:fill="FFFFFF"/>
          <w:lang w:val="en"/>
        </w:rPr>
      </w:pPr>
    </w:p>
    <w:p w14:paraId="217A02D1" w14:textId="0A1F9E04"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Protection from Coercion Based on Immigration Status – </w:t>
      </w:r>
      <w:r w:rsidRPr="00DD7BD1">
        <w:rPr>
          <w:rFonts w:ascii="Calibri" w:hAnsi="Calibri" w:cs="Calibri"/>
          <w:b/>
          <w:bCs/>
          <w:color w:val="C00000"/>
          <w:sz w:val="28"/>
          <w:szCs w:val="28"/>
          <w:shd w:val="clear" w:color="auto" w:fill="FFFFFF"/>
          <w:lang w:val="en"/>
        </w:rPr>
        <w:t>Eff July 1, 2025</w:t>
      </w:r>
    </w:p>
    <w:p w14:paraId="5CE426AD" w14:textId="23DC4C6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12, 2025, Washington </w:t>
      </w:r>
      <w:hyperlink r:id="rId1095"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Minimum Wage and Labor Standards Act (Act) to protect employees from coercion in the workplace based on their immigration status. This amendment takes effect on July 1, 2025. In Washington, employers are prohibited from retaliating against employees for exercising their rights under the state’s employment laws.</w:t>
      </w:r>
    </w:p>
    <w:p w14:paraId="627BE2EC" w14:textId="77777777" w:rsidR="005C31E9" w:rsidRPr="00DD7BD1" w:rsidRDefault="005C31E9" w:rsidP="005C31E9">
      <w:pPr>
        <w:spacing w:after="0" w:line="240" w:lineRule="auto"/>
        <w:rPr>
          <w:rFonts w:ascii="Calibri" w:hAnsi="Calibri" w:cs="Calibri"/>
          <w:shd w:val="clear" w:color="auto" w:fill="FFFFFF"/>
        </w:rPr>
      </w:pPr>
    </w:p>
    <w:p w14:paraId="23475116" w14:textId="0416B4E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DD7BD1">
        <w:rPr>
          <w:rFonts w:ascii="Calibri" w:hAnsi="Calibri" w:cs="Calibri"/>
          <w:b/>
          <w:bCs/>
          <w:shd w:val="clear" w:color="auto" w:fill="FFFFFF"/>
        </w:rPr>
        <w:t>“coercion”</w:t>
      </w:r>
      <w:r w:rsidRPr="00DD7BD1">
        <w:rPr>
          <w:rFonts w:ascii="Calibri" w:hAnsi="Calibri" w:cs="Calibri"/>
          <w:shd w:val="clear" w:color="auto" w:fill="FFFFFF"/>
        </w:rPr>
        <w:t xml:space="preserve"> means a threat to compel or induce a person to engage in or abstain from conduct they have a legal right to pursue or avoid. The amendment defines </w:t>
      </w:r>
      <w:r w:rsidRPr="00DD7BD1">
        <w:rPr>
          <w:rFonts w:ascii="Calibri" w:hAnsi="Calibri" w:cs="Calibri"/>
          <w:b/>
          <w:bCs/>
          <w:shd w:val="clear" w:color="auto" w:fill="FFFFFF"/>
        </w:rPr>
        <w:t>“threat”</w:t>
      </w:r>
      <w:r w:rsidRPr="00DD7BD1">
        <w:rPr>
          <w:rFonts w:ascii="Calibri" w:hAnsi="Calibri" w:cs="Calibri"/>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1096" w:history="1">
        <w:r w:rsidRPr="00DD7BD1">
          <w:rPr>
            <w:rStyle w:val="Hyperlink"/>
            <w:rFonts w:ascii="Calibri" w:hAnsi="Calibri" w:cs="Calibri"/>
            <w:shd w:val="clear" w:color="auto" w:fill="FFFFFF"/>
          </w:rPr>
          <w:t>49.12</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(Industrial Welfare Act), </w:t>
      </w:r>
      <w:hyperlink r:id="rId1097" w:history="1">
        <w:r w:rsidRPr="00DD7BD1">
          <w:rPr>
            <w:rStyle w:val="Hyperlink"/>
            <w:rFonts w:ascii="Calibri" w:hAnsi="Calibri" w:cs="Calibri"/>
            <w:shd w:val="clear" w:color="auto" w:fill="FFFFFF"/>
          </w:rPr>
          <w:t>49.30</w:t>
        </w:r>
      </w:hyperlink>
      <w:r w:rsidRPr="00DD7BD1">
        <w:rPr>
          <w:rFonts w:ascii="Calibri" w:hAnsi="Calibri" w:cs="Calibri"/>
          <w:shd w:val="clear" w:color="auto" w:fill="FFFFFF"/>
        </w:rPr>
        <w:t xml:space="preserve"> (Agricultural Labor Law), </w:t>
      </w:r>
      <w:hyperlink r:id="rId1098" w:history="1">
        <w:r w:rsidRPr="00DD7BD1">
          <w:rPr>
            <w:rStyle w:val="Hyperlink"/>
            <w:rFonts w:ascii="Calibri" w:hAnsi="Calibri" w:cs="Calibri"/>
            <w:shd w:val="clear" w:color="auto" w:fill="FFFFFF"/>
          </w:rPr>
          <w:t>49.48</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(Wage Payment Law) or any rules issued by the Washington Department of Labor and Industry (L&amp;I)</w:t>
      </w:r>
    </w:p>
    <w:p w14:paraId="339409FA" w14:textId="77777777" w:rsidR="005C31E9" w:rsidRPr="00DD7BD1" w:rsidRDefault="005C31E9" w:rsidP="005C31E9">
      <w:pPr>
        <w:spacing w:after="0" w:line="240" w:lineRule="auto"/>
        <w:rPr>
          <w:rFonts w:ascii="Calibri" w:hAnsi="Calibri" w:cs="Calibri"/>
          <w:shd w:val="clear" w:color="auto" w:fill="FFFFFF"/>
        </w:rPr>
      </w:pPr>
    </w:p>
    <w:p w14:paraId="5BC6D6F2" w14:textId="77777777"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Amended PFML to Limit Stacking &amp; Expansion of Job Protection – </w:t>
      </w:r>
      <w:r w:rsidRPr="00DD7BD1">
        <w:rPr>
          <w:rFonts w:ascii="Calibri" w:hAnsi="Calibri" w:cs="Calibri"/>
          <w:b/>
          <w:bCs/>
          <w:color w:val="C00000"/>
          <w:sz w:val="28"/>
          <w:szCs w:val="28"/>
          <w:shd w:val="clear" w:color="auto" w:fill="FFFFFF"/>
          <w:lang w:val="en"/>
        </w:rPr>
        <w:t>Eff Jan 1, 2026</w:t>
      </w:r>
    </w:p>
    <w:p w14:paraId="7630D69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take effect Jan. 1, 2026.</w:t>
      </w:r>
    </w:p>
    <w:p w14:paraId="35730A07" w14:textId="77777777" w:rsidR="005C31E9" w:rsidRPr="00DD7BD1" w:rsidRDefault="005C31E9" w:rsidP="005C31E9">
      <w:pPr>
        <w:spacing w:after="0" w:line="240" w:lineRule="auto"/>
        <w:rPr>
          <w:rFonts w:ascii="Calibri" w:hAnsi="Calibri" w:cs="Calibri"/>
          <w:b/>
          <w:bCs/>
          <w:color w:val="C00000"/>
          <w:sz w:val="16"/>
          <w:szCs w:val="16"/>
          <w:shd w:val="clear" w:color="auto" w:fill="FFFFFF"/>
          <w:lang w:val="en"/>
        </w:rPr>
      </w:pPr>
    </w:p>
    <w:p w14:paraId="19549041"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Expansion of Job Restoration</w:t>
      </w:r>
    </w:p>
    <w:p w14:paraId="5C2EBBB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Currently, the job restoration provisions in the unamended PFML law apply only to employees who:</w:t>
      </w:r>
    </w:p>
    <w:p w14:paraId="07E36A58"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 for an employer with at least 50 employees;</w:t>
      </w:r>
    </w:p>
    <w:p w14:paraId="3A735ACE"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Have been employed by the employer for at least 12 months; and</w:t>
      </w:r>
    </w:p>
    <w:p w14:paraId="766F6A72"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Worked for the employer at least 1,250 hours during the 12 months immediately preceding the leave.</w:t>
      </w:r>
    </w:p>
    <w:p w14:paraId="2B53A0E9" w14:textId="77777777" w:rsidR="005C31E9" w:rsidRPr="00DD7BD1" w:rsidRDefault="005C31E9" w:rsidP="005C31E9">
      <w:pPr>
        <w:spacing w:after="0" w:line="240" w:lineRule="auto"/>
        <w:rPr>
          <w:rFonts w:ascii="Calibri" w:hAnsi="Calibri" w:cs="Calibri"/>
          <w:shd w:val="clear" w:color="auto" w:fill="FFFFFF"/>
        </w:rPr>
      </w:pPr>
    </w:p>
    <w:p w14:paraId="4250CA1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DD7BD1">
        <w:rPr>
          <w:rFonts w:ascii="Calibri" w:hAnsi="Calibri" w:cs="Calibri"/>
          <w:b/>
          <w:bCs/>
          <w:shd w:val="clear" w:color="auto" w:fill="FFFFFF"/>
        </w:rPr>
        <w:t>180 days</w:t>
      </w:r>
      <w:r w:rsidRPr="00DD7BD1">
        <w:rPr>
          <w:rFonts w:ascii="Calibri" w:hAnsi="Calibri" w:cs="Calibri"/>
          <w:shd w:val="clear" w:color="auto" w:fill="FFFFFF"/>
        </w:rPr>
        <w:t xml:space="preserve"> before taking the leave. </w:t>
      </w:r>
    </w:p>
    <w:p w14:paraId="3066683E" w14:textId="77777777" w:rsidR="005C31E9" w:rsidRPr="00DD7BD1" w:rsidRDefault="005C31E9" w:rsidP="005C31E9">
      <w:pPr>
        <w:spacing w:after="0" w:line="240" w:lineRule="auto"/>
        <w:rPr>
          <w:rFonts w:ascii="Calibri" w:hAnsi="Calibri" w:cs="Calibri"/>
          <w:sz w:val="16"/>
          <w:szCs w:val="16"/>
          <w:shd w:val="clear" w:color="auto" w:fill="FFFFFF"/>
        </w:rPr>
      </w:pPr>
    </w:p>
    <w:p w14:paraId="63B9E4B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addition, the job restoration requirement will apply to employers </w:t>
      </w:r>
      <w:r w:rsidRPr="00DD7BD1">
        <w:rPr>
          <w:rFonts w:ascii="Calibri" w:hAnsi="Calibri" w:cs="Calibri"/>
          <w:b/>
          <w:bCs/>
          <w:shd w:val="clear" w:color="auto" w:fill="FFFFFF"/>
        </w:rPr>
        <w:t>with fewer than 50 employees</w:t>
      </w:r>
      <w:r w:rsidRPr="00DD7BD1">
        <w:rPr>
          <w:rFonts w:ascii="Calibri" w:hAnsi="Calibri" w:cs="Calibri"/>
          <w:shd w:val="clear" w:color="auto" w:fill="FFFFFF"/>
        </w:rPr>
        <w:t>, following the phased-in schedule below:</w:t>
      </w:r>
    </w:p>
    <w:p w14:paraId="6D884AA5"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Twenty-five or more employees: beginning Jan. 1, 2026;</w:t>
      </w:r>
    </w:p>
    <w:p w14:paraId="20A49A0C"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Fifteen or more employees: beginning Jan. 1, 2027; and</w:t>
      </w:r>
    </w:p>
    <w:p w14:paraId="65B68CCF"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Eight or more employees: beginning Jan. 1, 2028.</w:t>
      </w:r>
    </w:p>
    <w:p w14:paraId="2744C1DC" w14:textId="77777777" w:rsidR="005C31E9" w:rsidRPr="00DD7BD1" w:rsidRDefault="005C31E9" w:rsidP="005C31E9">
      <w:pPr>
        <w:spacing w:after="0" w:line="240" w:lineRule="auto"/>
        <w:rPr>
          <w:rFonts w:ascii="Calibri" w:hAnsi="Calibri" w:cs="Calibri"/>
          <w:shd w:val="clear" w:color="auto" w:fill="FFFFFF"/>
        </w:rPr>
      </w:pPr>
    </w:p>
    <w:p w14:paraId="13CDD48A"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DD7BD1" w:rsidRDefault="005C31E9" w:rsidP="005C31E9">
      <w:pPr>
        <w:spacing w:after="0" w:line="240" w:lineRule="auto"/>
        <w:rPr>
          <w:rFonts w:ascii="Calibri" w:hAnsi="Calibri" w:cs="Calibri"/>
          <w:sz w:val="16"/>
          <w:szCs w:val="16"/>
          <w:shd w:val="clear" w:color="auto" w:fill="FFFFFF"/>
        </w:rPr>
      </w:pPr>
    </w:p>
    <w:p w14:paraId="1A03354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DD7BD1" w:rsidRDefault="005C31E9" w:rsidP="005C31E9">
      <w:pPr>
        <w:spacing w:after="0" w:line="240" w:lineRule="auto"/>
        <w:rPr>
          <w:rFonts w:ascii="Calibri" w:hAnsi="Calibri" w:cs="Calibri"/>
          <w:b/>
          <w:bCs/>
          <w:shd w:val="clear" w:color="auto" w:fill="FFFFFF"/>
          <w:lang w:val="en"/>
        </w:rPr>
      </w:pPr>
    </w:p>
    <w:p w14:paraId="187E3DC0"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Restriction on Stacking PFML and FMLA Leave</w:t>
      </w:r>
    </w:p>
    <w:p w14:paraId="3E13BA4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37416AF7" w14:textId="77777777" w:rsidR="00E174C1" w:rsidRPr="00DD7BD1" w:rsidRDefault="00E174C1" w:rsidP="005C31E9">
      <w:pPr>
        <w:spacing w:after="0" w:line="240" w:lineRule="auto"/>
        <w:rPr>
          <w:rFonts w:ascii="Calibri" w:hAnsi="Calibri" w:cs="Calibri"/>
          <w:shd w:val="clear" w:color="auto" w:fill="FFFFFF"/>
        </w:rPr>
      </w:pPr>
    </w:p>
    <w:p w14:paraId="15DE133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Within five business days of the employee requesting or using FMLA leave—whichever is earlier; and</w:t>
      </w:r>
    </w:p>
    <w:p w14:paraId="588F237F"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Every month for the rest of the employee’s FMLA year. </w:t>
      </w:r>
    </w:p>
    <w:p w14:paraId="0651A1AC" w14:textId="77777777" w:rsidR="005C31E9" w:rsidRPr="00DD7BD1" w:rsidRDefault="005C31E9" w:rsidP="005C31E9">
      <w:pPr>
        <w:spacing w:after="0" w:line="240" w:lineRule="auto"/>
        <w:rPr>
          <w:rFonts w:ascii="Calibri" w:hAnsi="Calibri" w:cs="Calibri"/>
          <w:b/>
          <w:bCs/>
          <w:sz w:val="16"/>
          <w:szCs w:val="16"/>
          <w:shd w:val="clear" w:color="auto" w:fill="FFFFFF"/>
        </w:rPr>
      </w:pPr>
    </w:p>
    <w:p w14:paraId="04B3F17F"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Continuation of Health Care Coverage</w:t>
      </w:r>
    </w:p>
    <w:p w14:paraId="0644367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DD7BD1" w:rsidRDefault="005C31E9" w:rsidP="005C31E9">
      <w:pPr>
        <w:spacing w:after="0" w:line="240" w:lineRule="auto"/>
        <w:rPr>
          <w:rFonts w:ascii="Calibri" w:hAnsi="Calibri" w:cs="Calibri"/>
          <w:sz w:val="16"/>
          <w:szCs w:val="16"/>
          <w:shd w:val="clear" w:color="auto" w:fill="FFFFFF"/>
        </w:rPr>
      </w:pPr>
    </w:p>
    <w:p w14:paraId="2AA05F9B" w14:textId="77777777" w:rsidR="005C31E9" w:rsidRPr="00DD7BD1" w:rsidRDefault="005C31E9" w:rsidP="005C31E9">
      <w:pPr>
        <w:spacing w:after="0" w:line="240" w:lineRule="auto"/>
        <w:rPr>
          <w:rFonts w:ascii="Calibri" w:hAnsi="Calibri" w:cs="Calibri"/>
          <w:b/>
          <w:shd w:val="clear" w:color="auto" w:fill="FFFFFF"/>
        </w:rPr>
      </w:pPr>
      <w:r w:rsidRPr="00DD7BD1">
        <w:rPr>
          <w:rFonts w:ascii="Calibri" w:hAnsi="Calibri" w:cs="Calibri"/>
          <w:b/>
          <w:shd w:val="clear" w:color="auto" w:fill="FFFFFF"/>
        </w:rPr>
        <w:t>Notice of PFML Rights</w:t>
      </w:r>
    </w:p>
    <w:p w14:paraId="65807D99"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DD7BD1" w:rsidRDefault="005C31E9" w:rsidP="005C31E9">
      <w:pPr>
        <w:spacing w:after="0" w:line="240" w:lineRule="auto"/>
        <w:rPr>
          <w:rFonts w:ascii="Calibri" w:hAnsi="Calibri" w:cs="Calibri"/>
          <w:sz w:val="16"/>
          <w:szCs w:val="16"/>
          <w:shd w:val="clear" w:color="auto" w:fill="FFFFFF"/>
        </w:rPr>
      </w:pPr>
    </w:p>
    <w:p w14:paraId="13546B36" w14:textId="09B85DF5" w:rsidR="005C31E9" w:rsidRPr="00DD7BD1" w:rsidRDefault="005C31E9" w:rsidP="007F754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More to </w:t>
      </w:r>
      <w:proofErr w:type="gramStart"/>
      <w:r w:rsidRPr="00DD7BD1">
        <w:rPr>
          <w:rFonts w:ascii="Calibri" w:hAnsi="Calibri" w:cs="Calibri"/>
          <w:shd w:val="clear" w:color="auto" w:fill="FFFFFF"/>
        </w:rPr>
        <w:t>comes</w:t>
      </w:r>
      <w:proofErr w:type="gramEnd"/>
      <w:r w:rsidRPr="00DD7BD1">
        <w:rPr>
          <w:rFonts w:ascii="Calibri" w:hAnsi="Calibri" w:cs="Calibri"/>
          <w:shd w:val="clear" w:color="auto" w:fill="FFFFFF"/>
        </w:rPr>
        <w:t xml:space="preserve"> as official guidance is released by the state ahead of the </w:t>
      </w:r>
      <w:proofErr w:type="gramStart"/>
      <w:r w:rsidRPr="00DD7BD1">
        <w:rPr>
          <w:rFonts w:ascii="Calibri" w:hAnsi="Calibri" w:cs="Calibri"/>
          <w:shd w:val="clear" w:color="auto" w:fill="FFFFFF"/>
        </w:rPr>
        <w:t>2026 effective date</w:t>
      </w:r>
      <w:proofErr w:type="gramEnd"/>
      <w:r w:rsidRPr="00DD7BD1">
        <w:rPr>
          <w:rFonts w:ascii="Calibri" w:hAnsi="Calibri" w:cs="Calibri"/>
          <w:shd w:val="clear" w:color="auto" w:fill="FFFFFF"/>
        </w:rPr>
        <w:t>.</w:t>
      </w:r>
    </w:p>
    <w:p w14:paraId="7501D2CA" w14:textId="77777777" w:rsidR="005C31E9" w:rsidRPr="00DD7BD1" w:rsidRDefault="005C31E9" w:rsidP="007F7544">
      <w:pPr>
        <w:spacing w:after="0" w:line="240" w:lineRule="auto"/>
        <w:rPr>
          <w:rFonts w:ascii="Calibri" w:hAnsi="Calibri" w:cs="Calibri"/>
          <w:shd w:val="clear" w:color="auto" w:fill="FFFFFF"/>
        </w:rPr>
      </w:pPr>
    </w:p>
    <w:p w14:paraId="6FDAD523" w14:textId="6353724A" w:rsidR="005C31E9" w:rsidRPr="00DD7BD1" w:rsidRDefault="005C31E9" w:rsidP="007F75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Passes Leave, Job Protections for Hate Crimes – </w:t>
      </w:r>
      <w:r w:rsidRPr="00DD7BD1">
        <w:rPr>
          <w:rFonts w:ascii="Calibri" w:hAnsi="Calibri" w:cs="Calibri"/>
          <w:b/>
          <w:bCs/>
          <w:color w:val="C00000"/>
          <w:sz w:val="28"/>
          <w:szCs w:val="28"/>
          <w:shd w:val="clear" w:color="auto" w:fill="FFFFFF"/>
          <w:lang w:val="en"/>
        </w:rPr>
        <w:t>Eff Jan 1, 2026</w:t>
      </w:r>
    </w:p>
    <w:p w14:paraId="739DE61D" w14:textId="1424D030"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Washington has enacted </w:t>
      </w:r>
      <w:hyperlink r:id="rId1099" w:history="1">
        <w:r w:rsidRPr="00DD7BD1">
          <w:rPr>
            <w:rStyle w:val="Hyperlink"/>
            <w:rFonts w:ascii="Calibri" w:hAnsi="Calibri" w:cs="Calibri"/>
            <w:shd w:val="clear" w:color="auto" w:fill="FFFFFF"/>
          </w:rPr>
          <w:t>Senate Bill (SB) 5101</w:t>
        </w:r>
      </w:hyperlink>
      <w:r w:rsidRPr="00DD7BD1">
        <w:rPr>
          <w:rFonts w:ascii="Calibri" w:hAnsi="Calibri" w:cs="Calibri"/>
          <w:shd w:val="clear" w:color="auto" w:fill="FFFFFF"/>
        </w:rPr>
        <w:t xml:space="preserve">, requiring employers to provide leave from work, safety accommodations and job protections for employees who are the victim of a hate crime or whose family member is a victim, effective Jan. 1, 2026. </w:t>
      </w:r>
    </w:p>
    <w:p w14:paraId="14121380" w14:textId="77777777" w:rsidR="007F7544" w:rsidRPr="00DD7BD1" w:rsidRDefault="007F7544" w:rsidP="007F7544">
      <w:pPr>
        <w:spacing w:after="0" w:line="240" w:lineRule="auto"/>
        <w:rPr>
          <w:rFonts w:ascii="Calibri" w:hAnsi="Calibri" w:cs="Calibri"/>
          <w:b/>
          <w:sz w:val="16"/>
          <w:szCs w:val="16"/>
          <w:shd w:val="clear" w:color="auto" w:fill="FFFFFF"/>
        </w:rPr>
      </w:pPr>
    </w:p>
    <w:p w14:paraId="0B91CBFE" w14:textId="72612695" w:rsidR="005C31E9" w:rsidRPr="00DD7BD1" w:rsidRDefault="005C31E9" w:rsidP="007F7544">
      <w:pPr>
        <w:spacing w:after="0" w:line="240" w:lineRule="auto"/>
        <w:rPr>
          <w:rFonts w:ascii="Calibri" w:hAnsi="Calibri" w:cs="Calibri"/>
          <w:b/>
          <w:shd w:val="clear" w:color="auto" w:fill="FFFFFF"/>
        </w:rPr>
      </w:pPr>
      <w:r w:rsidRPr="00DD7BD1">
        <w:rPr>
          <w:rFonts w:ascii="Calibri" w:hAnsi="Calibri" w:cs="Calibri"/>
          <w:b/>
          <w:shd w:val="clear" w:color="auto" w:fill="FFFFFF"/>
        </w:rPr>
        <w:t>Expansion of Law Protecting Victims of Domestic Violence</w:t>
      </w:r>
    </w:p>
    <w:p w14:paraId="3293550B" w14:textId="28A1A06E"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1100" w:history="1">
        <w:r w:rsidRPr="00DD7BD1">
          <w:rPr>
            <w:rStyle w:val="Hyperlink"/>
            <w:rFonts w:ascii="Calibri" w:hAnsi="Calibri" w:cs="Calibri"/>
            <w:shd w:val="clear" w:color="auto" w:fill="FFFFFF"/>
          </w:rPr>
          <w:t>RCW 9A.36.080</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and includes offenses committed through online or internet-based communication.</w:t>
      </w:r>
    </w:p>
    <w:p w14:paraId="013892B7" w14:textId="77777777" w:rsidR="007F7544" w:rsidRPr="00DD7BD1" w:rsidRDefault="007F7544" w:rsidP="007F7544">
      <w:pPr>
        <w:pStyle w:val="SubHeader"/>
        <w:spacing w:line="240" w:lineRule="auto"/>
        <w:rPr>
          <w:rFonts w:cs="Calibri"/>
          <w:color w:val="auto"/>
          <w:sz w:val="16"/>
          <w:szCs w:val="16"/>
        </w:rPr>
      </w:pPr>
    </w:p>
    <w:p w14:paraId="593260D5" w14:textId="19EBAC2A" w:rsidR="005C31E9" w:rsidRPr="00DD7BD1" w:rsidRDefault="005C31E9" w:rsidP="007F7544">
      <w:pPr>
        <w:pStyle w:val="SubHeader"/>
        <w:spacing w:line="240" w:lineRule="auto"/>
        <w:rPr>
          <w:rFonts w:cs="Calibri"/>
          <w:color w:val="auto"/>
          <w:sz w:val="22"/>
          <w:szCs w:val="22"/>
        </w:rPr>
      </w:pPr>
      <w:r w:rsidRPr="00DD7BD1">
        <w:rPr>
          <w:rFonts w:cs="Calibri"/>
          <w:color w:val="auto"/>
          <w:sz w:val="22"/>
          <w:szCs w:val="22"/>
        </w:rPr>
        <w:t xml:space="preserve">Reasonable Leave and Accommodations  </w:t>
      </w:r>
    </w:p>
    <w:p w14:paraId="7CB9C369"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t>Under the law, employees may take reasonable leave from work, intermittent leave or leave on a reduced leave schedule, with or without pay, to:</w:t>
      </w:r>
    </w:p>
    <w:p w14:paraId="7D8A92E5"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legal or law enforcement assistance or remedies;</w:t>
      </w:r>
    </w:p>
    <w:p w14:paraId="48324FD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treatment by a health care provider for their or a family member’s physical or mental injuries;</w:t>
      </w:r>
    </w:p>
    <w:p w14:paraId="4D2E575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social services;</w:t>
      </w:r>
      <w:r w:rsidRPr="00DD7BD1">
        <w:rPr>
          <w:rFonts w:cs="Calibri"/>
          <w:noProof/>
          <w:color w:val="auto"/>
          <w:szCs w:val="22"/>
        </w:rPr>
        <w:t xml:space="preserve"> </w:t>
      </w:r>
    </w:p>
    <w:p w14:paraId="05DA0CE3"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counseling; and</w:t>
      </w:r>
    </w:p>
    <w:p w14:paraId="192D173D"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Participate in safety planning, relocate or take other actions to increase the safety of the employee or employee’s family members.</w:t>
      </w:r>
    </w:p>
    <w:p w14:paraId="71E15088"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lastRenderedPageBreak/>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DD7BD1" w:rsidRDefault="005C31E9" w:rsidP="007F7544">
      <w:pPr>
        <w:pStyle w:val="BodyText"/>
        <w:spacing w:after="0" w:line="240" w:lineRule="auto"/>
        <w:rPr>
          <w:rFonts w:cs="Calibri"/>
          <w:b/>
          <w:bCs/>
          <w:color w:val="auto"/>
          <w:sz w:val="16"/>
          <w:szCs w:val="16"/>
        </w:rPr>
      </w:pPr>
    </w:p>
    <w:p w14:paraId="5863B04D" w14:textId="77777777" w:rsidR="005C31E9" w:rsidRPr="00DD7BD1" w:rsidRDefault="005C31E9" w:rsidP="007F7544">
      <w:pPr>
        <w:pStyle w:val="BodyText"/>
        <w:spacing w:after="0" w:line="240" w:lineRule="auto"/>
        <w:rPr>
          <w:rFonts w:cs="Calibri"/>
          <w:b/>
          <w:bCs/>
          <w:color w:val="auto"/>
          <w:szCs w:val="22"/>
        </w:rPr>
      </w:pPr>
      <w:proofErr w:type="gramStart"/>
      <w:r w:rsidRPr="00DD7BD1">
        <w:rPr>
          <w:rFonts w:cs="Calibri"/>
          <w:b/>
          <w:bCs/>
          <w:color w:val="auto"/>
          <w:szCs w:val="22"/>
        </w:rPr>
        <w:t>Non discrimination</w:t>
      </w:r>
      <w:proofErr w:type="gramEnd"/>
    </w:p>
    <w:p w14:paraId="148F753A" w14:textId="5E90E206" w:rsidR="005C31E9" w:rsidRPr="00DD7BD1" w:rsidRDefault="005C31E9" w:rsidP="007F7544">
      <w:pPr>
        <w:pStyle w:val="BodyText"/>
        <w:spacing w:after="0" w:line="240" w:lineRule="auto"/>
        <w:rPr>
          <w:rFonts w:cs="Calibri"/>
          <w:color w:val="auto"/>
          <w:szCs w:val="22"/>
        </w:rPr>
      </w:pPr>
      <w:r w:rsidRPr="00DD7BD1">
        <w:rPr>
          <w:rFonts w:cs="Calibri"/>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DD7BD1" w:rsidRDefault="005C31E9" w:rsidP="007F7544">
      <w:pPr>
        <w:pStyle w:val="BodyText"/>
        <w:spacing w:after="0" w:line="240" w:lineRule="auto"/>
        <w:rPr>
          <w:rFonts w:cs="Calibri"/>
          <w:color w:val="auto"/>
          <w:szCs w:val="22"/>
        </w:rPr>
      </w:pPr>
    </w:p>
    <w:p w14:paraId="319119C8" w14:textId="656CA8AA" w:rsidR="005C31E9" w:rsidRPr="00DD7BD1" w:rsidRDefault="005C31E9" w:rsidP="007F7544">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Limits of Driver’s License Requirements </w:t>
      </w:r>
      <w:r w:rsidRPr="00DD7BD1">
        <w:rPr>
          <w:rFonts w:ascii="Calibri" w:hAnsi="Calibri" w:cs="Calibri"/>
          <w:b/>
          <w:bCs/>
          <w:color w:val="C00000"/>
          <w:sz w:val="28"/>
          <w:szCs w:val="28"/>
          <w:shd w:val="clear" w:color="auto" w:fill="FFFFFF"/>
          <w:lang w:val="en"/>
        </w:rPr>
        <w:t>– Eff July 1, 2025</w:t>
      </w:r>
    </w:p>
    <w:p w14:paraId="02A6CE11" w14:textId="2E177777"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 xml:space="preserve">Employers can’t require a driver’s license as a condition of employment or state that applicants must have a driver’s license in a job posting. There’s an exception </w:t>
      </w:r>
      <w:proofErr w:type="gramStart"/>
      <w:r w:rsidRPr="00DD7BD1">
        <w:rPr>
          <w:rFonts w:ascii="Calibri" w:hAnsi="Calibri" w:cs="Calibri"/>
          <w:shd w:val="clear" w:color="auto" w:fill="FFFFFF"/>
        </w:rPr>
        <w:t>if</w:t>
      </w:r>
      <w:proofErr w:type="gramEnd"/>
      <w:r w:rsidRPr="00DD7BD1">
        <w:rPr>
          <w:rFonts w:ascii="Calibri" w:hAnsi="Calibri" w:cs="Calibri"/>
          <w:shd w:val="clear" w:color="auto" w:fill="FFFFFF"/>
        </w:rPr>
        <w:t xml:space="preserve"> driving is an essential function of the job (like for a delivery driver) or is related to a legitimate business purpose for the position.</w:t>
      </w:r>
    </w:p>
    <w:p w14:paraId="543C1F77" w14:textId="0F07EF17" w:rsidR="005C31E9" w:rsidRPr="00DD7BD1" w:rsidRDefault="005C31E9" w:rsidP="005C31E9">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Mini-WARN Act – </w:t>
      </w:r>
      <w:r w:rsidRPr="00DD7BD1">
        <w:rPr>
          <w:rFonts w:ascii="Calibri" w:hAnsi="Calibri" w:cs="Calibri"/>
          <w:b/>
          <w:bCs/>
          <w:color w:val="C00000"/>
          <w:sz w:val="28"/>
          <w:szCs w:val="28"/>
          <w:shd w:val="clear" w:color="auto" w:fill="FFFFFF"/>
          <w:lang w:val="en"/>
        </w:rPr>
        <w:t>Eff July 1, 2025</w:t>
      </w:r>
    </w:p>
    <w:p w14:paraId="2D9F1EAD" w14:textId="7F5D9B61"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Employers with 50 or more full-time employees </w:t>
      </w:r>
      <w:r w:rsidRPr="00DD7BD1">
        <w:rPr>
          <w:rFonts w:ascii="Calibri" w:hAnsi="Calibri" w:cs="Calibri"/>
          <w:i/>
          <w:iCs/>
          <w:u w:val="single"/>
          <w:shd w:val="clear" w:color="auto" w:fill="FFFFFF"/>
        </w:rPr>
        <w:t>in the state</w:t>
      </w:r>
      <w:r w:rsidRPr="00DD7BD1">
        <w:rPr>
          <w:rFonts w:ascii="Calibri" w:hAnsi="Calibri" w:cs="Calibri"/>
          <w:i/>
          <w:iCs/>
          <w:shd w:val="clear" w:color="auto" w:fill="FFFFFF"/>
        </w:rPr>
        <w:t> </w:t>
      </w:r>
      <w:r w:rsidRPr="00DD7BD1">
        <w:rPr>
          <w:rFonts w:ascii="Calibri" w:hAnsi="Calibri" w:cs="Calibri"/>
          <w:shd w:val="clear" w:color="auto" w:fill="FFFFFF"/>
        </w:rPr>
        <w:t>will need to provide 60 days’ written notice to each employee in the event of a mass layoff or business closure that causes loss of employment for 50 or more full-time employees. More information is available on the platform.</w:t>
      </w:r>
    </w:p>
    <w:p w14:paraId="4C68A2B9" w14:textId="3E6C0139" w:rsidR="005C31E9" w:rsidRPr="00DD7BD1" w:rsidRDefault="005C31E9" w:rsidP="005C31E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Local Minim Wage Changes – </w:t>
      </w:r>
      <w:r w:rsidRPr="00DD7BD1">
        <w:rPr>
          <w:rFonts w:ascii="Calibri" w:hAnsi="Calibri" w:cs="Calibri"/>
          <w:b/>
          <w:bCs/>
          <w:color w:val="C00000"/>
          <w:sz w:val="28"/>
          <w:szCs w:val="28"/>
          <w:shd w:val="clear" w:color="auto" w:fill="FFFFFF"/>
          <w:lang w:val="en"/>
        </w:rPr>
        <w:t>Eff July 1, 2025</w:t>
      </w:r>
    </w:p>
    <w:p w14:paraId="65375ECF"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Burien</w:t>
      </w:r>
      <w:r w:rsidRPr="00DD7BD1">
        <w:rPr>
          <w:rFonts w:ascii="Calibri" w:hAnsi="Calibri" w:cs="Calibri"/>
          <w:shd w:val="clear" w:color="auto" w:fill="FFFFFF"/>
        </w:rPr>
        <w:t xml:space="preserve"> $20.16 for Level 2 employers—those with 21–499 full-time equivalent (FTE) employees in King County.</w:t>
      </w:r>
    </w:p>
    <w:p w14:paraId="183D0F9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Renton</w:t>
      </w:r>
      <w:r w:rsidRPr="00DD7BD1">
        <w:rPr>
          <w:rFonts w:ascii="Calibri" w:hAnsi="Calibri" w:cs="Calibri"/>
          <w:shd w:val="clear" w:color="auto" w:fill="FFFFFF"/>
        </w:rPr>
        <w:t xml:space="preserve"> $19.90 for mid-size employers—those with 15–500 employees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 generated within the city limits of Renton.</w:t>
      </w:r>
    </w:p>
    <w:p w14:paraId="798C701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Tukwila</w:t>
      </w:r>
      <w:r w:rsidRPr="00DD7BD1">
        <w:rPr>
          <w:rFonts w:ascii="Calibri" w:hAnsi="Calibri" w:cs="Calibri"/>
          <w:shd w:val="clear" w:color="auto" w:fill="FFFFFF"/>
        </w:rPr>
        <w:t xml:space="preserve"> $21.10 for mid-size employers—those with 15–500 employees or annual gross revenue of over $2 million generated within the city limits of Tukwila.</w:t>
      </w:r>
    </w:p>
    <w:p w14:paraId="1BB4365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Everett</w:t>
      </w:r>
      <w:r w:rsidRPr="00DD7BD1">
        <w:rPr>
          <w:rFonts w:ascii="Calibri" w:hAnsi="Calibri" w:cs="Calibri"/>
          <w:shd w:val="clear" w:color="auto" w:fill="FFFFFF"/>
        </w:rPr>
        <w:t xml:space="preserve"> The City of Everett now has its own minimum wage ordinance. The hourly rates will be as follows:</w:t>
      </w:r>
    </w:p>
    <w:p w14:paraId="6B945188"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$20.24 for large employers</w:t>
      </w:r>
    </w:p>
    <w:p w14:paraId="3408D0A2"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$18.24 for other covered employers</w:t>
      </w:r>
    </w:p>
    <w:p w14:paraId="5138A50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Large employers</w:t>
      </w:r>
      <w:r w:rsidRPr="00DD7BD1">
        <w:rPr>
          <w:rFonts w:ascii="Calibri" w:hAnsi="Calibri" w:cs="Calibri"/>
          <w:shd w:val="clear" w:color="auto" w:fill="FFFFFF"/>
        </w:rPr>
        <w:t> are those with more than 500 employees (located anywhere) and certain franchisees.</w:t>
      </w:r>
    </w:p>
    <w:p w14:paraId="051EDC2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Other covered employers</w:t>
      </w:r>
      <w:r w:rsidRPr="00DD7BD1">
        <w:rPr>
          <w:rFonts w:ascii="Calibri" w:hAnsi="Calibri" w:cs="Calibri"/>
          <w:shd w:val="clear" w:color="auto" w:fill="FFFFFF"/>
        </w:rPr>
        <w:t> are those with 15–500 employees (located anywhere)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w:t>
      </w:r>
    </w:p>
    <w:p w14:paraId="0BF06DE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fewer than 15 employees and annual gross revenue of $2 million or less, the state rate applies.</w:t>
      </w:r>
    </w:p>
    <w:p w14:paraId="21B5176E"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Future Increases</w:t>
      </w:r>
    </w:p>
    <w:p w14:paraId="3B5088A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br/>
        <w:t>Starting on January 1, 2026, and annually each January 1 after that, the minimum wage for large employers will increase by the annual rate of inflation.</w:t>
      </w:r>
    </w:p>
    <w:p w14:paraId="1B96BF77" w14:textId="77777777" w:rsidR="005C31E9" w:rsidRPr="00DD7BD1" w:rsidRDefault="005C31E9" w:rsidP="005C31E9">
      <w:pPr>
        <w:spacing w:after="0" w:line="240" w:lineRule="auto"/>
        <w:rPr>
          <w:rFonts w:ascii="Calibri" w:hAnsi="Calibri" w:cs="Calibri"/>
          <w:sz w:val="16"/>
          <w:szCs w:val="16"/>
          <w:shd w:val="clear" w:color="auto" w:fill="FFFFFF"/>
        </w:rPr>
      </w:pPr>
    </w:p>
    <w:p w14:paraId="72D760F7" w14:textId="2E17339C"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DD7BD1" w:rsidRDefault="005C31E9" w:rsidP="005C31E9">
      <w:pPr>
        <w:spacing w:after="0" w:line="240" w:lineRule="auto"/>
        <w:rPr>
          <w:rFonts w:ascii="Calibri" w:hAnsi="Calibri" w:cs="Calibri"/>
          <w:shd w:val="clear" w:color="auto" w:fill="FFFFFF"/>
        </w:rPr>
      </w:pPr>
    </w:p>
    <w:p w14:paraId="7C82E6B6" w14:textId="514F8613" w:rsidR="00264A05" w:rsidRPr="00DD7BD1" w:rsidRDefault="00264A05" w:rsidP="00194DFB">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Employee Access to Personnel Records – </w:t>
      </w:r>
      <w:r w:rsidRPr="00DD7BD1">
        <w:rPr>
          <w:rFonts w:ascii="Calibri" w:hAnsi="Calibri" w:cs="Calibri"/>
          <w:b/>
          <w:bCs/>
          <w:color w:val="C00000"/>
          <w:sz w:val="28"/>
          <w:szCs w:val="28"/>
          <w:shd w:val="clear" w:color="auto" w:fill="FFFFFF"/>
          <w:lang w:val="en"/>
        </w:rPr>
        <w:t>Eff July 27, 2025</w:t>
      </w:r>
    </w:p>
    <w:p w14:paraId="705A8613" w14:textId="60D9EE21"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13, 2025, Governor Bob Ferguson </w:t>
      </w:r>
      <w:proofErr w:type="gramStart"/>
      <w:r w:rsidRPr="00DD7BD1">
        <w:rPr>
          <w:rFonts w:ascii="Calibri" w:hAnsi="Calibri" w:cs="Calibri"/>
          <w:shd w:val="clear" w:color="auto" w:fill="FFFFFF"/>
        </w:rPr>
        <w:t>signed into law</w:t>
      </w:r>
      <w:proofErr w:type="gramEnd"/>
      <w:r w:rsidRPr="00DD7BD1">
        <w:rPr>
          <w:rFonts w:ascii="Calibri" w:hAnsi="Calibri" w:cs="Calibri"/>
          <w:shd w:val="clear" w:color="auto" w:fill="FFFFFF"/>
        </w:rPr>
        <w:t xml:space="preserve"> Substitute House Bill (SHB) 1308 to amend Washington’s Industrial Welfare Act. The new statute significantly pares down this list to include a more tailored, specific definition of applicable records.</w:t>
      </w:r>
    </w:p>
    <w:p w14:paraId="5BD667B5"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Amendments to RCW 49.12.240: Definition of a “Personnel File”</w:t>
      </w:r>
    </w:p>
    <w:p w14:paraId="4B557EAB"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Revised Code of Washington chapter 49.12.240 will now define a “personnel file” to include the following records:</w:t>
      </w:r>
    </w:p>
    <w:p w14:paraId="29E93FE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job application records;</w:t>
      </w:r>
    </w:p>
    <w:p w14:paraId="7444B2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performance evaluations;</w:t>
      </w:r>
    </w:p>
    <w:p w14:paraId="0A73F92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All nonactive or closed disciplinary records;</w:t>
      </w:r>
    </w:p>
    <w:p w14:paraId="1E295B34"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leave and reasonable accommodation records;</w:t>
      </w:r>
    </w:p>
    <w:p w14:paraId="339CA9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payroll records; and</w:t>
      </w:r>
    </w:p>
    <w:p w14:paraId="1C1290D8"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employment agreements.</w:t>
      </w:r>
    </w:p>
    <w:p w14:paraId="0F4B671E" w14:textId="77777777" w:rsidR="00264A05" w:rsidRPr="00DD7BD1" w:rsidRDefault="00264A05" w:rsidP="00194DFB">
      <w:pPr>
        <w:spacing w:after="0" w:line="240" w:lineRule="auto"/>
        <w:ind w:left="720"/>
        <w:rPr>
          <w:rFonts w:ascii="Calibri" w:hAnsi="Calibri" w:cs="Calibri"/>
          <w:shd w:val="clear" w:color="auto" w:fill="FFFFFF"/>
        </w:rPr>
      </w:pPr>
    </w:p>
    <w:p w14:paraId="5ABFA9A9"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b/>
          <w:bCs/>
          <w:shd w:val="clear" w:color="auto" w:fill="FFFFFF"/>
        </w:rPr>
        <w:t>Amendments to RCW 49.12.250(1): Requests for Personnel Files and Termination Information</w:t>
      </w:r>
    </w:p>
    <w:p w14:paraId="7D32D350" w14:textId="03DC727D"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SHB 1308 will now require private employers to </w:t>
      </w:r>
      <w:proofErr w:type="gramStart"/>
      <w:r w:rsidRPr="00DD7BD1">
        <w:rPr>
          <w:rFonts w:ascii="Calibri" w:hAnsi="Calibri" w:cs="Calibri"/>
          <w:shd w:val="clear" w:color="auto" w:fill="FFFFFF"/>
        </w:rPr>
        <w:t>actually provide</w:t>
      </w:r>
      <w:proofErr w:type="gramEnd"/>
      <w:r w:rsidRPr="00DD7BD1">
        <w:rPr>
          <w:rFonts w:ascii="Calibri" w:hAnsi="Calibri" w:cs="Calibri"/>
          <w:shd w:val="clear" w:color="auto" w:fill="FFFFFF"/>
        </w:rPr>
        <w:t xml:space="preserve"> a </w:t>
      </w:r>
      <w:r w:rsidRPr="00DD7BD1">
        <w:rPr>
          <w:rFonts w:ascii="Calibri" w:hAnsi="Calibri" w:cs="Calibri"/>
          <w:i/>
          <w:iCs/>
          <w:shd w:val="clear" w:color="auto" w:fill="FFFFFF"/>
        </w:rPr>
        <w:t>copy</w:t>
      </w:r>
      <w:r w:rsidRPr="00DD7BD1">
        <w:rPr>
          <w:rFonts w:ascii="Calibri" w:hAnsi="Calibri" w:cs="Calibri"/>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Private Right of Action</w:t>
      </w:r>
    </w:p>
    <w:p w14:paraId="2BBECF9B" w14:textId="522F2CEC" w:rsidR="00194DFB"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DD7BD1" w:rsidRDefault="00194DFB" w:rsidP="00194DFB">
      <w:pPr>
        <w:spacing w:after="0" w:line="240" w:lineRule="auto"/>
        <w:rPr>
          <w:rFonts w:ascii="Calibri" w:hAnsi="Calibri" w:cs="Calibri"/>
          <w:shd w:val="clear" w:color="auto" w:fill="FFFFFF"/>
        </w:rPr>
      </w:pPr>
    </w:p>
    <w:p w14:paraId="7240F429" w14:textId="6B18A6AB" w:rsidR="00264A05" w:rsidRPr="00DD7BD1" w:rsidRDefault="00264A05" w:rsidP="00264A05">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Paid Sick Leave to Cover Immigration Proceedings </w:t>
      </w:r>
      <w:r w:rsidRPr="00DD7BD1">
        <w:rPr>
          <w:rFonts w:ascii="Calibri" w:hAnsi="Calibri" w:cs="Calibri"/>
          <w:b/>
          <w:bCs/>
          <w:color w:val="C00000"/>
          <w:sz w:val="28"/>
          <w:szCs w:val="28"/>
          <w:shd w:val="clear" w:color="auto" w:fill="FFFFFF"/>
          <w:lang w:val="en"/>
        </w:rPr>
        <w:t>– Eff July 27, 2025</w:t>
      </w:r>
    </w:p>
    <w:p w14:paraId="40E3B491"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DD7BD1" w:rsidRDefault="00264A05" w:rsidP="00264A05">
      <w:pPr>
        <w:pStyle w:val="BodyText"/>
        <w:spacing w:after="0" w:line="240" w:lineRule="auto"/>
        <w:rPr>
          <w:rFonts w:cs="Calibri"/>
          <w:color w:val="auto"/>
          <w:szCs w:val="22"/>
        </w:rPr>
      </w:pPr>
    </w:p>
    <w:p w14:paraId="737170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The paid sick leave amendments, contained in </w:t>
      </w:r>
      <w:hyperlink r:id="rId1101" w:history="1">
        <w:r w:rsidRPr="00DD7BD1">
          <w:rPr>
            <w:rStyle w:val="Hyperlink"/>
            <w:rFonts w:cs="Calibri"/>
            <w:szCs w:val="22"/>
          </w:rPr>
          <w:t>Engrossed Substitute House Bill (ESHB) 1875</w:t>
        </w:r>
      </w:hyperlink>
      <w:r w:rsidRPr="00DD7BD1">
        <w:rPr>
          <w:rFonts w:cs="Calibri"/>
          <w:szCs w:val="22"/>
        </w:rPr>
        <w:t xml:space="preserve">, </w:t>
      </w:r>
      <w:r w:rsidRPr="00DD7BD1">
        <w:rPr>
          <w:rFonts w:cs="Calibri"/>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Under the amendments, employers that require verification of paid sick leave must accept documentation from the following</w:t>
      </w:r>
    </w:p>
    <w:p w14:paraId="32FA5848"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An advocate for immigrants or refugees; </w:t>
      </w:r>
    </w:p>
    <w:p w14:paraId="49199806"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 attorney;</w:t>
      </w:r>
    </w:p>
    <w:p w14:paraId="75E9FE29"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 member of the clergy; or </w:t>
      </w:r>
    </w:p>
    <w:p w14:paraId="2CC85EE3"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Another professional who is assisting the employee or the employee’s family member in the proceeding.</w:t>
      </w:r>
    </w:p>
    <w:p w14:paraId="1DECE4D6" w14:textId="77777777" w:rsidR="00264A05" w:rsidRPr="00DD7BD1" w:rsidRDefault="00264A05" w:rsidP="00264A05">
      <w:pPr>
        <w:pStyle w:val="BodyText"/>
        <w:spacing w:after="0" w:line="240" w:lineRule="auto"/>
        <w:rPr>
          <w:rFonts w:cs="Calibri"/>
          <w:color w:val="auto"/>
          <w:sz w:val="16"/>
          <w:szCs w:val="16"/>
        </w:rPr>
      </w:pPr>
    </w:p>
    <w:p w14:paraId="2413AC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  ETC will publish </w:t>
      </w:r>
      <w:proofErr w:type="gramStart"/>
      <w:r w:rsidRPr="00DD7BD1">
        <w:rPr>
          <w:rFonts w:cs="Calibri"/>
          <w:color w:val="auto"/>
          <w:szCs w:val="22"/>
        </w:rPr>
        <w:t>a</w:t>
      </w:r>
      <w:proofErr w:type="gramEnd"/>
      <w:r w:rsidRPr="00DD7BD1">
        <w:rPr>
          <w:rFonts w:cs="Calibri"/>
          <w:color w:val="auto"/>
          <w:szCs w:val="22"/>
        </w:rPr>
        <w:t xml:space="preserve"> updated State Handbook Addendum ahead of the effective date.</w:t>
      </w:r>
    </w:p>
    <w:p w14:paraId="4FE185A7" w14:textId="77777777" w:rsidR="00264A05" w:rsidRPr="00DD7BD1" w:rsidRDefault="00264A05" w:rsidP="00264A05">
      <w:pPr>
        <w:pStyle w:val="BodyText"/>
        <w:spacing w:after="0" w:line="240" w:lineRule="auto"/>
        <w:rPr>
          <w:rFonts w:cs="Calibri"/>
          <w:color w:val="auto"/>
          <w:szCs w:val="22"/>
        </w:rPr>
      </w:pPr>
    </w:p>
    <w:p w14:paraId="7B791154" w14:textId="77777777" w:rsidR="00264A05" w:rsidRPr="00DD7BD1" w:rsidRDefault="00264A05" w:rsidP="00264A05">
      <w:pPr>
        <w:pStyle w:val="BodyText"/>
        <w:spacing w:after="0" w:line="240" w:lineRule="auto"/>
        <w:jc w:val="center"/>
        <w:rPr>
          <w:rFonts w:eastAsiaTheme="minorHAnsi" w:cs="Calibri"/>
          <w:b/>
          <w:bCs/>
          <w:color w:val="C00000"/>
          <w:sz w:val="28"/>
          <w:szCs w:val="28"/>
          <w:u w:val="single"/>
          <w:shd w:val="clear" w:color="auto" w:fill="FFFFFF"/>
          <w:lang w:val="en"/>
        </w:rPr>
      </w:pPr>
      <w:r w:rsidRPr="00DD7BD1">
        <w:rPr>
          <w:rFonts w:eastAsiaTheme="minorHAnsi" w:cs="Calibri"/>
          <w:b/>
          <w:bCs/>
          <w:color w:val="auto"/>
          <w:sz w:val="28"/>
          <w:szCs w:val="28"/>
          <w:shd w:val="clear" w:color="auto" w:fill="FFFFFF"/>
          <w:lang w:val="en"/>
        </w:rPr>
        <w:t xml:space="preserve">State Expands Criminal History Law </w:t>
      </w:r>
      <w:r w:rsidRPr="00DD7BD1">
        <w:rPr>
          <w:rFonts w:eastAsiaTheme="minorHAnsi" w:cs="Calibri"/>
          <w:b/>
          <w:bCs/>
          <w:color w:val="C00000"/>
          <w:sz w:val="28"/>
          <w:szCs w:val="28"/>
          <w:shd w:val="clear" w:color="auto" w:fill="FFFFFF"/>
          <w:lang w:val="en"/>
        </w:rPr>
        <w:t>– Eff July 1, 202</w:t>
      </w:r>
      <w:r w:rsidRPr="00DD7BD1">
        <w:rPr>
          <w:rFonts w:eastAsiaTheme="minorHAnsi" w:cs="Calibri"/>
          <w:b/>
          <w:bCs/>
          <w:color w:val="C00000"/>
          <w:sz w:val="28"/>
          <w:szCs w:val="28"/>
          <w:u w:val="single"/>
          <w:shd w:val="clear" w:color="auto" w:fill="FFFFFF"/>
          <w:lang w:val="en"/>
        </w:rPr>
        <w:t>6</w:t>
      </w:r>
      <w:r w:rsidRPr="00DD7BD1">
        <w:rPr>
          <w:rFonts w:eastAsiaTheme="minorHAnsi" w:cs="Calibri"/>
          <w:b/>
          <w:bCs/>
          <w:color w:val="C00000"/>
          <w:sz w:val="28"/>
          <w:szCs w:val="28"/>
          <w:shd w:val="clear" w:color="auto" w:fill="FFFFFF"/>
          <w:lang w:val="en"/>
        </w:rPr>
        <w:t xml:space="preserve"> &amp; July 1, 202</w:t>
      </w:r>
      <w:r w:rsidRPr="00DD7BD1">
        <w:rPr>
          <w:rFonts w:eastAsiaTheme="minorHAnsi" w:cs="Calibri"/>
          <w:b/>
          <w:bCs/>
          <w:color w:val="C00000"/>
          <w:sz w:val="28"/>
          <w:szCs w:val="28"/>
          <w:u w:val="single"/>
          <w:shd w:val="clear" w:color="auto" w:fill="FFFFFF"/>
          <w:lang w:val="en"/>
        </w:rPr>
        <w:t>7</w:t>
      </w:r>
    </w:p>
    <w:p w14:paraId="6E9ACF67"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Washington</w:t>
      </w:r>
      <w:r w:rsidRPr="00DD7BD1">
        <w:rPr>
          <w:rFonts w:cs="Calibri"/>
          <w:color w:val="C00000"/>
          <w:szCs w:val="22"/>
          <w:shd w:val="clear" w:color="auto" w:fill="FFFFFF"/>
        </w:rPr>
        <w:t xml:space="preserve"> </w:t>
      </w:r>
      <w:hyperlink r:id="rId1102" w:history="1">
        <w:r w:rsidRPr="00DD7BD1">
          <w:rPr>
            <w:rStyle w:val="Hyperlink"/>
            <w:rFonts w:cs="Calibri"/>
            <w:szCs w:val="22"/>
            <w:shd w:val="clear" w:color="auto" w:fill="FFFFFF"/>
          </w:rPr>
          <w:t>amended</w:t>
        </w:r>
      </w:hyperlink>
      <w:r w:rsidRPr="00DD7BD1">
        <w:rPr>
          <w:rFonts w:cs="Calibri"/>
          <w:color w:val="C00000"/>
          <w:szCs w:val="22"/>
          <w:shd w:val="clear" w:color="auto" w:fill="FFFFFF"/>
        </w:rPr>
        <w:t xml:space="preserve"> </w:t>
      </w:r>
      <w:r w:rsidRPr="00DD7BD1">
        <w:rPr>
          <w:rFonts w:cs="Calibri"/>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amendment takes effect:</w:t>
      </w:r>
    </w:p>
    <w:p w14:paraId="410A773B"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 xml:space="preserve">July 1, 2026, for employers with 15 or more employees </w:t>
      </w:r>
    </w:p>
    <w:p w14:paraId="498CF796"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July 1, 2027, for employers with fewer than 15 employees</w:t>
      </w:r>
    </w:p>
    <w:p w14:paraId="40031793" w14:textId="77777777" w:rsidR="00264A05" w:rsidRPr="00DD7BD1" w:rsidRDefault="00264A05" w:rsidP="00264A05">
      <w:pPr>
        <w:pStyle w:val="BodyText"/>
        <w:spacing w:after="0" w:line="240" w:lineRule="auto"/>
        <w:rPr>
          <w:rFonts w:cs="Calibri"/>
          <w:color w:val="auto"/>
          <w:szCs w:val="22"/>
          <w:shd w:val="clear" w:color="auto" w:fill="FFFFFF"/>
        </w:rPr>
      </w:pPr>
    </w:p>
    <w:p w14:paraId="51AC3353" w14:textId="77777777" w:rsidR="00264A05" w:rsidRPr="00DD7BD1" w:rsidRDefault="00264A05" w:rsidP="00264A05">
      <w:pPr>
        <w:pStyle w:val="BodyText"/>
        <w:spacing w:after="0" w:line="240" w:lineRule="auto"/>
        <w:rPr>
          <w:rFonts w:cs="Calibri"/>
          <w:b/>
          <w:bCs/>
          <w:color w:val="auto"/>
          <w:szCs w:val="22"/>
          <w:shd w:val="clear" w:color="auto" w:fill="FFFFFF"/>
        </w:rPr>
      </w:pPr>
      <w:r w:rsidRPr="00DD7BD1">
        <w:rPr>
          <w:rFonts w:cs="Calibri"/>
          <w:b/>
          <w:bCs/>
          <w:color w:val="auto"/>
          <w:szCs w:val="22"/>
          <w:shd w:val="clear" w:color="auto" w:fill="FFFFFF"/>
        </w:rPr>
        <w:t xml:space="preserve">Overview: Amended Regulation </w:t>
      </w:r>
    </w:p>
    <w:p w14:paraId="5639D7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Inquiring about an applicant’s criminal record before extending a conditional job offer;</w:t>
      </w:r>
    </w:p>
    <w:p w14:paraId="043B90B0"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lastRenderedPageBreak/>
        <w:t>Taking an adverse employment action against an individual who makes a good-faith report of a violation or suspected violation of the law.</w:t>
      </w:r>
    </w:p>
    <w:p w14:paraId="1427F7FF" w14:textId="77777777" w:rsidR="00264A05" w:rsidRPr="00DD7BD1" w:rsidRDefault="00264A05" w:rsidP="00264A05">
      <w:pPr>
        <w:pStyle w:val="BodyText"/>
        <w:spacing w:after="0" w:line="240" w:lineRule="auto"/>
        <w:rPr>
          <w:rFonts w:cs="Calibri"/>
          <w:color w:val="auto"/>
          <w:szCs w:val="22"/>
          <w:shd w:val="clear" w:color="auto" w:fill="FFFFFF"/>
        </w:rPr>
      </w:pPr>
    </w:p>
    <w:p w14:paraId="5C61BE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a pre-adverse employment action notice</w:t>
      </w:r>
      <w:r w:rsidRPr="00DD7BD1">
        <w:rPr>
          <w:rFonts w:cs="Calibri"/>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 xml:space="preserve">Hold the position open for two business days </w:t>
      </w:r>
      <w:r w:rsidRPr="00DD7BD1">
        <w:rPr>
          <w:rFonts w:cs="Calibri"/>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the individual with a written decision</w:t>
      </w:r>
      <w:r w:rsidRPr="00DD7BD1">
        <w:rPr>
          <w:rFonts w:cs="Calibri"/>
          <w:color w:val="auto"/>
          <w:szCs w:val="22"/>
          <w:shd w:val="clear" w:color="auto" w:fill="FFFFFF"/>
        </w:rPr>
        <w:t>, including the rationale for the decision, if the employer chooses to take an adverse employment action.</w:t>
      </w:r>
    </w:p>
    <w:p w14:paraId="0D38CFD6" w14:textId="77777777" w:rsidR="00264A05" w:rsidRPr="00DD7BD1" w:rsidRDefault="00264A05" w:rsidP="00264A05">
      <w:pPr>
        <w:pStyle w:val="BodyText"/>
        <w:spacing w:after="0" w:line="240" w:lineRule="auto"/>
        <w:rPr>
          <w:rFonts w:cs="Calibri"/>
          <w:color w:val="auto"/>
          <w:szCs w:val="22"/>
          <w:shd w:val="clear" w:color="auto" w:fill="FFFFFF"/>
        </w:rPr>
      </w:pPr>
    </w:p>
    <w:p w14:paraId="5789F90B"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b/>
          <w:bCs/>
          <w:color w:val="auto"/>
          <w:szCs w:val="22"/>
          <w:highlight w:val="lightGray"/>
          <w:shd w:val="clear" w:color="auto" w:fill="FFFFFF"/>
        </w:rPr>
        <w:t>Employer Takeaway:</w:t>
      </w:r>
      <w:r w:rsidRPr="00DD7BD1">
        <w:rPr>
          <w:rFonts w:cs="Calibri"/>
          <w:color w:val="auto"/>
          <w:szCs w:val="22"/>
        </w:rPr>
        <w:t xml:space="preserve"> </w:t>
      </w:r>
      <w:r w:rsidRPr="00DD7BD1">
        <w:rPr>
          <w:rFonts w:cs="Calibri"/>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Equal Pay &amp; Opportunities Act &amp; Amendments – </w:t>
      </w:r>
    </w:p>
    <w:p w14:paraId="6EB2A8B2"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Salay Ranges on Job Postings - </w:t>
      </w:r>
      <w:r w:rsidRPr="00DD7BD1">
        <w:rPr>
          <w:rFonts w:ascii="Calibri" w:hAnsi="Calibri" w:cs="Calibri"/>
          <w:b/>
          <w:bCs/>
          <w:color w:val="C00000"/>
          <w:sz w:val="28"/>
          <w:szCs w:val="28"/>
          <w:shd w:val="clear" w:color="auto" w:fill="FFFFFF"/>
          <w:lang w:val="en"/>
        </w:rPr>
        <w:t>Eff July 1, 2025</w:t>
      </w:r>
    </w:p>
    <w:p w14:paraId="56FEAC2C" w14:textId="77777777" w:rsidR="00264A05" w:rsidRPr="00DD7BD1" w:rsidRDefault="00264A05" w:rsidP="00264A0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Washington Equal Pay and Opportunities Act (EPOA) prohibits pay inequity and discrimination in career advancement opportunities for employees and applicants when based on their protected class and not only their gender. A </w:t>
      </w:r>
      <w:r w:rsidRPr="00DD7BD1">
        <w:rPr>
          <w:rStyle w:val="Strong"/>
          <w:rFonts w:ascii="Calibri" w:eastAsiaTheme="majorEastAsia" w:hAnsi="Calibri" w:cs="Calibri"/>
          <w:i/>
          <w:iCs/>
          <w:sz w:val="22"/>
          <w:szCs w:val="22"/>
        </w:rPr>
        <w:t>protected class</w:t>
      </w:r>
      <w:r w:rsidRPr="00DD7BD1">
        <w:rPr>
          <w:rFonts w:ascii="Calibri" w:hAnsi="Calibri" w:cs="Calibri"/>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DD7BD1" w:rsidRDefault="00264A05" w:rsidP="00264A05">
      <w:pPr>
        <w:pStyle w:val="NormalWeb"/>
        <w:shd w:val="clear" w:color="auto" w:fill="FFFFFF"/>
        <w:spacing w:before="0" w:beforeAutospacing="0" w:after="0" w:afterAutospacing="0"/>
        <w:rPr>
          <w:rFonts w:ascii="Calibri" w:hAnsi="Calibri" w:cs="Calibri"/>
          <w:sz w:val="16"/>
          <w:szCs w:val="16"/>
        </w:rPr>
      </w:pPr>
    </w:p>
    <w:p w14:paraId="7F1559BB" w14:textId="77777777" w:rsidR="00264A05" w:rsidRPr="00DD7BD1" w:rsidRDefault="00264A05" w:rsidP="00264A05">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sz w:val="22"/>
          <w:szCs w:val="22"/>
        </w:rPr>
        <w:t>The EPOA also:</w:t>
      </w:r>
    </w:p>
    <w:p w14:paraId="7120464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Protects employees’ right to talk about their pay and have open wage discussions.</w:t>
      </w:r>
    </w:p>
    <w:p w14:paraId="7E361A57"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applicants from being required to disclose their wage or salary history.</w:t>
      </w:r>
    </w:p>
    <w:p w14:paraId="7C9D6D1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enforcement of wage or salary history criteria that must be met for job consideration.</w:t>
      </w:r>
    </w:p>
    <w:p w14:paraId="3E701F4B"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retaliation.</w:t>
      </w:r>
    </w:p>
    <w:p w14:paraId="6E6D62C6" w14:textId="77777777" w:rsidR="00264A05" w:rsidRPr="00DD7BD1" w:rsidRDefault="00264A05">
      <w:pPr>
        <w:numPr>
          <w:ilvl w:val="0"/>
          <w:numId w:val="188"/>
        </w:numPr>
        <w:shd w:val="clear" w:color="auto" w:fill="FFFFFF"/>
        <w:spacing w:after="0" w:line="240" w:lineRule="auto"/>
        <w:rPr>
          <w:rFonts w:ascii="Calibri" w:hAnsi="Calibri" w:cs="Calibri"/>
          <w:b/>
          <w:bCs/>
          <w:u w:val="single"/>
        </w:rPr>
      </w:pPr>
      <w:r w:rsidRPr="00DD7BD1">
        <w:rPr>
          <w:rFonts w:ascii="Calibri" w:hAnsi="Calibri" w:cs="Calibri"/>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DD7BD1" w:rsidRDefault="00264A05" w:rsidP="00264A05">
      <w:pPr>
        <w:pStyle w:val="NormalWeb"/>
        <w:shd w:val="clear" w:color="auto" w:fill="FFFFFF"/>
        <w:spacing w:before="0" w:beforeAutospacing="0" w:after="0" w:afterAutospacing="0"/>
        <w:ind w:left="360"/>
        <w:rPr>
          <w:rFonts w:ascii="Calibri" w:hAnsi="Calibri" w:cs="Calibri"/>
          <w:color w:val="282828"/>
          <w:sz w:val="22"/>
          <w:szCs w:val="22"/>
        </w:rPr>
      </w:pPr>
      <w:r w:rsidRPr="00DD7BD1">
        <w:rPr>
          <w:rFonts w:ascii="Calibri" w:hAnsi="Calibri" w:cs="Calibri"/>
          <w:color w:val="282828"/>
          <w:sz w:val="22"/>
          <w:szCs w:val="22"/>
        </w:rPr>
        <w:t>(</w:t>
      </w:r>
      <w:hyperlink r:id="rId1103" w:tgtFrame="_blank" w:history="1">
        <w:r w:rsidRPr="00DD7BD1">
          <w:rPr>
            <w:rStyle w:val="Hyperlink"/>
            <w:rFonts w:ascii="Calibri" w:eastAsiaTheme="majorEastAsia" w:hAnsi="Calibri" w:cs="Calibri"/>
            <w:color w:val="3052DA"/>
            <w:sz w:val="22"/>
            <w:szCs w:val="22"/>
          </w:rPr>
          <w:t>WA H 1905</w:t>
        </w:r>
      </w:hyperlink>
      <w:r w:rsidRPr="00DD7BD1">
        <w:rPr>
          <w:rFonts w:ascii="Calibri" w:hAnsi="Calibri" w:cs="Calibri"/>
          <w:color w:val="282828"/>
          <w:sz w:val="22"/>
          <w:szCs w:val="22"/>
        </w:rPr>
        <w:t> </w:t>
      </w:r>
      <w:r w:rsidRPr="00DD7BD1">
        <w:rPr>
          <w:rFonts w:ascii="Calibri" w:hAnsi="Calibri" w:cs="Calibri"/>
          <w:sz w:val="22"/>
          <w:szCs w:val="22"/>
        </w:rPr>
        <w:t>was signed by the governor on March 28, 2024) </w:t>
      </w:r>
    </w:p>
    <w:p w14:paraId="6184819D" w14:textId="77777777" w:rsidR="00264A05" w:rsidRPr="00DD7BD1" w:rsidRDefault="00264A05" w:rsidP="00264A05">
      <w:pPr>
        <w:rPr>
          <w:rFonts w:ascii="Calibri" w:hAnsi="Calibri" w:cs="Calibri"/>
          <w:sz w:val="16"/>
          <w:szCs w:val="16"/>
          <w:shd w:val="clear" w:color="auto" w:fill="FFFFFF"/>
        </w:rPr>
      </w:pPr>
    </w:p>
    <w:p w14:paraId="020AFF1E" w14:textId="3D3227B8" w:rsidR="00264A05" w:rsidRPr="00DD7BD1" w:rsidRDefault="00264A05" w:rsidP="00264A05">
      <w:pPr>
        <w:rPr>
          <w:rFonts w:ascii="Calibri" w:hAnsi="Calibri" w:cs="Calibri"/>
          <w:shd w:val="clear" w:color="auto" w:fill="FFFFFF"/>
        </w:rPr>
      </w:pPr>
      <w:r w:rsidRPr="00DD7BD1">
        <w:rPr>
          <w:rFonts w:ascii="Calibri" w:hAnsi="Calibri" w:cs="Calibri"/>
          <w:shd w:val="clear" w:color="auto" w:fill="FFFFFF"/>
        </w:rPr>
        <w:t>On April 22, 2025, the Washington State Senate passed </w:t>
      </w:r>
      <w:hyperlink r:id="rId1104" w:history="1">
        <w:r w:rsidRPr="00DD7BD1">
          <w:rPr>
            <w:rStyle w:val="Hyperlink"/>
            <w:rFonts w:ascii="Calibri" w:hAnsi="Calibri" w:cs="Calibri"/>
            <w:shd w:val="clear" w:color="auto" w:fill="FFFFFF"/>
          </w:rPr>
          <w:t>Substitute Senate Bill 5408</w:t>
        </w:r>
      </w:hyperlink>
      <w:r w:rsidRPr="00DD7BD1">
        <w:rPr>
          <w:rFonts w:ascii="Calibri" w:hAnsi="Calibri" w:cs="Calibri"/>
          <w:shd w:val="clear" w:color="auto" w:fill="FFFFFF"/>
        </w:rPr>
        <w:t>, as </w:t>
      </w:r>
      <w:hyperlink r:id="rId1105" w:history="1">
        <w:r w:rsidRPr="00DD7BD1">
          <w:rPr>
            <w:rStyle w:val="Hyperlink"/>
            <w:rFonts w:ascii="Calibri" w:hAnsi="Calibri" w:cs="Calibri"/>
            <w:shd w:val="clear" w:color="auto" w:fill="FFFFFF"/>
          </w:rPr>
          <w:t>amended by the House</w:t>
        </w:r>
      </w:hyperlink>
      <w:r w:rsidRPr="00DD7BD1">
        <w:rPr>
          <w:rFonts w:ascii="Calibri" w:hAnsi="Calibri" w:cs="Calibri"/>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DD7BD1" w:rsidRDefault="00264A05" w:rsidP="00264A05">
      <w:pPr>
        <w:rPr>
          <w:rFonts w:ascii="Calibri" w:hAnsi="Calibri" w:cs="Calibri"/>
          <w:shd w:val="clear" w:color="auto" w:fill="FFFFFF"/>
        </w:rPr>
      </w:pPr>
      <w:hyperlink r:id="rId1106" w:history="1">
        <w:r w:rsidRPr="00DD7BD1">
          <w:rPr>
            <w:rStyle w:val="Hyperlink"/>
            <w:rFonts w:ascii="Calibri" w:hAnsi="Calibri" w:cs="Calibri"/>
            <w:shd w:val="clear" w:color="auto" w:fill="FFFFFF"/>
          </w:rPr>
          <w:t>Amended SSB 5408</w:t>
        </w:r>
      </w:hyperlink>
      <w:r w:rsidRPr="00DD7BD1">
        <w:rPr>
          <w:rFonts w:ascii="Calibri" w:hAnsi="Calibri" w:cs="Calibri"/>
          <w:shd w:val="clear" w:color="auto" w:fill="FFFFFF"/>
        </w:rPr>
        <w:t> makes significant changes to the law as it relates to procedures and potential damages, but it maintains the pay transparency in job posting requirements.</w:t>
      </w:r>
    </w:p>
    <w:p w14:paraId="533D2A8D"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SSB 55408, which amends the Equal Pay and Opportunities Act, Washington employers may </w:t>
      </w:r>
      <w:r w:rsidRPr="00DD7BD1">
        <w:rPr>
          <w:rFonts w:ascii="Calibri" w:hAnsi="Calibri" w:cs="Calibri"/>
          <w:b/>
          <w:bCs/>
          <w:u w:val="single"/>
          <w:shd w:val="clear" w:color="auto" w:fill="FFFFFF"/>
        </w:rPr>
        <w:t>now list a fixed pay amount instead of a wage range if only one amount is offered</w:t>
      </w:r>
      <w:r w:rsidRPr="00DD7BD1">
        <w:rPr>
          <w:rFonts w:ascii="Calibri" w:hAnsi="Calibri" w:cs="Calibri"/>
          <w:b/>
          <w:bCs/>
          <w:shd w:val="clear" w:color="auto" w:fill="FFFFFF"/>
        </w:rPr>
        <w:t>,</w:t>
      </w:r>
      <w:r w:rsidRPr="00DD7BD1">
        <w:rPr>
          <w:rFonts w:ascii="Calibri" w:hAnsi="Calibri" w:cs="Calibri"/>
          <w:shd w:val="clear" w:color="auto" w:fill="FFFFFF"/>
        </w:rPr>
        <w:t xml:space="preserve"> including for internal transfers; postings that are replicated without employer consent are not considered official job postings.</w:t>
      </w:r>
    </w:p>
    <w:p w14:paraId="6C963844"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DD7BD1" w:rsidRDefault="00264A05" w:rsidP="000B6BCC">
      <w:pPr>
        <w:spacing w:after="0" w:line="240" w:lineRule="auto"/>
        <w:jc w:val="center"/>
        <w:rPr>
          <w:rFonts w:ascii="Calibri" w:hAnsi="Calibri" w:cs="Calibri"/>
          <w:b/>
          <w:bCs/>
          <w:shd w:val="clear" w:color="auto" w:fill="FFFFFF"/>
          <w:lang w:val="en"/>
        </w:rPr>
      </w:pPr>
    </w:p>
    <w:p w14:paraId="5CD2119A" w14:textId="2474A594"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lastRenderedPageBreak/>
        <w:t xml:space="preserve">State </w:t>
      </w:r>
      <w:r w:rsidRPr="00DD7BD1">
        <w:rPr>
          <w:rFonts w:ascii="Calibri" w:hAnsi="Calibri" w:cs="Calibri"/>
          <w:b/>
          <w:bCs/>
          <w:sz w:val="28"/>
          <w:szCs w:val="28"/>
          <w:shd w:val="clear" w:color="auto" w:fill="FFFFFF"/>
        </w:rPr>
        <w:t xml:space="preserve">Announces PFML Premium Rate for 2025 – </w:t>
      </w:r>
      <w:r w:rsidRPr="00DD7BD1">
        <w:rPr>
          <w:rFonts w:ascii="Calibri" w:hAnsi="Calibri" w:cs="Calibri"/>
          <w:b/>
          <w:bCs/>
          <w:color w:val="C00000"/>
          <w:sz w:val="28"/>
          <w:szCs w:val="28"/>
          <w:shd w:val="clear" w:color="auto" w:fill="FFFFFF"/>
        </w:rPr>
        <w:t>Jan 1, 2025</w:t>
      </w:r>
    </w:p>
    <w:p w14:paraId="01FA395C" w14:textId="77777777" w:rsidR="000B6BCC" w:rsidRPr="00DD7BD1" w:rsidRDefault="000B6BCC" w:rsidP="000B6BCC">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Washington state has announced an increase to its paid family and medical leave (PFML)  </w:t>
      </w:r>
      <w:hyperlink r:id="rId1107" w:history="1">
        <w:r w:rsidRPr="00DD7BD1">
          <w:rPr>
            <w:rStyle w:val="Hyperlink"/>
            <w:rFonts w:ascii="Calibri" w:hAnsi="Calibri" w:cs="Calibri"/>
            <w:shd w:val="clear" w:color="auto" w:fill="FFFFFF"/>
          </w:rPr>
          <w:t>premium rate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2025. The rate is adjusted annually based on premiums contributed and benefits paid during the previous year. The Washington Employment Security Department </w:t>
      </w:r>
      <w:hyperlink r:id="rId1108" w:history="1">
        <w:r w:rsidRPr="00DD7BD1">
          <w:rPr>
            <w:rStyle w:val="Hyperlink"/>
            <w:rFonts w:ascii="Calibri" w:hAnsi="Calibri" w:cs="Calibri"/>
            <w:shd w:val="clear" w:color="auto" w:fill="FFFFFF"/>
          </w:rPr>
          <w:t>attributed</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the rate </w:t>
      </w:r>
      <w:proofErr w:type="gramStart"/>
      <w:r w:rsidRPr="00DD7BD1">
        <w:rPr>
          <w:rFonts w:ascii="Calibri" w:hAnsi="Calibri" w:cs="Calibri"/>
          <w:shd w:val="clear" w:color="auto" w:fill="FFFFFF"/>
        </w:rPr>
        <w:t>increase</w:t>
      </w:r>
      <w:proofErr w:type="gramEnd"/>
      <w:r w:rsidRPr="00DD7BD1">
        <w:rPr>
          <w:rFonts w:ascii="Calibri" w:hAnsi="Calibri" w:cs="Calibri"/>
          <w:shd w:val="clear" w:color="auto" w:fill="FFFFFF"/>
        </w:rPr>
        <w:t xml:space="preserve"> to rising post-COVID-19-pandemic employment, leading to more employees becoming eligible for (and claiming) benefits, among other factors.</w:t>
      </w:r>
    </w:p>
    <w:p w14:paraId="77772DEC" w14:textId="77777777" w:rsidR="000B6BCC" w:rsidRPr="00DD7BD1" w:rsidRDefault="000B6BCC" w:rsidP="000B6BCC">
      <w:pPr>
        <w:pStyle w:val="SubHeader"/>
        <w:rPr>
          <w:rFonts w:cs="Calibri"/>
          <w:bCs/>
          <w:noProof/>
          <w:sz w:val="22"/>
          <w:szCs w:val="22"/>
        </w:rPr>
      </w:pPr>
    </w:p>
    <w:p w14:paraId="3229BD16" w14:textId="77777777" w:rsidR="000B6BCC" w:rsidRPr="00DD7BD1" w:rsidRDefault="000B6BCC" w:rsidP="000B6BCC">
      <w:pPr>
        <w:pStyle w:val="SubHeader"/>
        <w:rPr>
          <w:rFonts w:cs="Calibri"/>
          <w:bCs/>
          <w:sz w:val="22"/>
          <w:szCs w:val="22"/>
        </w:rPr>
      </w:pPr>
      <w:r w:rsidRPr="00DD7BD1">
        <w:rPr>
          <w:rFonts w:cs="Calibri"/>
          <w:bCs/>
          <w:noProof/>
          <w:sz w:val="22"/>
          <w:szCs w:val="22"/>
        </w:rPr>
        <w:t>Employer Withholding</w:t>
      </w:r>
      <w:r w:rsidRPr="00DD7BD1">
        <w:rPr>
          <w:rFonts w:cs="Calibri"/>
          <w:bCs/>
          <w:sz w:val="22"/>
          <w:szCs w:val="22"/>
        </w:rPr>
        <w:t xml:space="preserve"> </w:t>
      </w:r>
    </w:p>
    <w:p w14:paraId="0647B343" w14:textId="77777777" w:rsidR="000B6BCC" w:rsidRPr="00DD7BD1" w:rsidRDefault="000B6BCC" w:rsidP="000B6BCC">
      <w:pPr>
        <w:pStyle w:val="BodyText"/>
        <w:rPr>
          <w:rFonts w:cs="Calibri"/>
          <w:szCs w:val="22"/>
        </w:rPr>
      </w:pPr>
      <w:r w:rsidRPr="00DD7BD1">
        <w:rPr>
          <w:rFonts w:cs="Calibri"/>
          <w:color w:val="auto"/>
          <w:szCs w:val="22"/>
        </w:rPr>
        <w:t xml:space="preserve">All employers must withhold employees’ premiums from their paychecks and pay the employer’s share, if any. The payments are made quarterly, with the filing of employer reports, through </w:t>
      </w:r>
      <w:hyperlink r:id="rId1109" w:history="1">
        <w:proofErr w:type="spellStart"/>
        <w:r w:rsidRPr="00DD7BD1">
          <w:rPr>
            <w:rStyle w:val="Hyperlink"/>
            <w:rFonts w:cs="Calibri"/>
            <w:szCs w:val="22"/>
          </w:rPr>
          <w:t>SecureAccess</w:t>
        </w:r>
        <w:proofErr w:type="spellEnd"/>
        <w:r w:rsidRPr="00DD7BD1">
          <w:rPr>
            <w:rStyle w:val="Hyperlink"/>
            <w:rFonts w:cs="Calibri"/>
            <w:szCs w:val="22"/>
          </w:rPr>
          <w:t xml:space="preserve"> Washington</w:t>
        </w:r>
      </w:hyperlink>
      <w:r w:rsidRPr="00DD7BD1">
        <w:rPr>
          <w:rFonts w:cs="Calibri"/>
          <w:szCs w:val="22"/>
        </w:rPr>
        <w:t xml:space="preserve">. </w:t>
      </w:r>
      <w:r w:rsidRPr="00DD7BD1">
        <w:rPr>
          <w:rFonts w:cs="Calibri"/>
          <w:color w:val="auto"/>
          <w:szCs w:val="22"/>
        </w:rPr>
        <w:t>First-quarter premiums using the new rate are due by the end of April 2025. Employers may not retroactively withhold premiums from employees.</w:t>
      </w:r>
    </w:p>
    <w:p w14:paraId="07B4C2A5" w14:textId="77777777" w:rsidR="000B6BCC" w:rsidRPr="00DD7BD1" w:rsidRDefault="000B6BCC" w:rsidP="000B6BCC">
      <w:pPr>
        <w:pStyle w:val="SubHeader"/>
        <w:rPr>
          <w:rFonts w:cs="Calibri"/>
          <w:bCs/>
          <w:sz w:val="22"/>
          <w:szCs w:val="22"/>
        </w:rPr>
      </w:pPr>
      <w:r w:rsidRPr="00DD7BD1">
        <w:rPr>
          <w:rFonts w:cs="Calibri"/>
          <w:bCs/>
          <w:sz w:val="22"/>
          <w:szCs w:val="22"/>
        </w:rPr>
        <w:t>2025 Premium Rate</w:t>
      </w:r>
    </w:p>
    <w:p w14:paraId="3C9BFB59" w14:textId="77777777" w:rsidR="000B6BCC" w:rsidRPr="00DD7BD1" w:rsidRDefault="000B6BCC" w:rsidP="000B6BCC">
      <w:pPr>
        <w:pStyle w:val="BodyText"/>
        <w:rPr>
          <w:rFonts w:cs="Calibri"/>
          <w:color w:val="auto"/>
          <w:szCs w:val="22"/>
        </w:rPr>
      </w:pPr>
      <w:r w:rsidRPr="00DD7BD1">
        <w:rPr>
          <w:rFonts w:cs="Calibri"/>
          <w:color w:val="auto"/>
          <w:szCs w:val="22"/>
        </w:rPr>
        <w:t>Starting Jan. 1, 2025, the PFML premium rate will be</w:t>
      </w:r>
      <w:r w:rsidRPr="00DD7BD1">
        <w:rPr>
          <w:rStyle w:val="Strong"/>
          <w:rFonts w:cs="Calibri"/>
          <w:b w:val="0"/>
          <w:color w:val="auto"/>
          <w:szCs w:val="22"/>
        </w:rPr>
        <w:t xml:space="preserve"> 0.92%</w:t>
      </w:r>
      <w:r w:rsidRPr="00DD7BD1">
        <w:rPr>
          <w:rFonts w:cs="Calibri"/>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DD7BD1" w:rsidRDefault="000B6BCC" w:rsidP="000B6BCC">
      <w:pPr>
        <w:pStyle w:val="BodyText"/>
        <w:rPr>
          <w:rFonts w:cs="Calibri"/>
          <w:color w:val="auto"/>
          <w:szCs w:val="22"/>
        </w:rPr>
      </w:pPr>
      <w:r w:rsidRPr="00DD7BD1">
        <w:rPr>
          <w:rFonts w:cs="Calibri"/>
          <w:color w:val="auto"/>
          <w:szCs w:val="22"/>
        </w:rPr>
        <w:t xml:space="preserve">Of the total 0.92% contribution in 2025, employers with 50 or more employees will pay 28.48%, and employee withholding will cover the remaining 71.52%, a similar ratio as in 2024. Employers may pay some or </w:t>
      </w:r>
      <w:proofErr w:type="gramStart"/>
      <w:r w:rsidRPr="00DD7BD1">
        <w:rPr>
          <w:rFonts w:cs="Calibri"/>
          <w:color w:val="auto"/>
          <w:szCs w:val="22"/>
        </w:rPr>
        <w:t>all of</w:t>
      </w:r>
      <w:proofErr w:type="gramEnd"/>
      <w:r w:rsidRPr="00DD7BD1">
        <w:rPr>
          <w:rFonts w:cs="Calibri"/>
          <w:color w:val="auto"/>
          <w:szCs w:val="22"/>
        </w:rPr>
        <w:t xml:space="preserve">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Pr="00DD7BD1" w:rsidRDefault="000B6BCC" w:rsidP="000B6BCC">
      <w:pPr>
        <w:pStyle w:val="SubHeader"/>
        <w:rPr>
          <w:rFonts w:cs="Calibri"/>
          <w:b w:val="0"/>
          <w:sz w:val="22"/>
          <w:szCs w:val="22"/>
        </w:rPr>
      </w:pPr>
      <w:r w:rsidRPr="00DD7BD1">
        <w:rPr>
          <w:rFonts w:cs="Calibri"/>
          <w:bCs/>
          <w:color w:val="auto"/>
          <w:sz w:val="22"/>
          <w:szCs w:val="22"/>
        </w:rPr>
        <w:t xml:space="preserve">Employer Resources </w:t>
      </w:r>
      <w:r w:rsidRPr="00DD7BD1">
        <w:rPr>
          <w:rFonts w:cs="Calibri"/>
          <w:b w:val="0"/>
          <w:color w:val="auto"/>
          <w:sz w:val="22"/>
          <w:szCs w:val="22"/>
        </w:rPr>
        <w:t xml:space="preserve">An employer toolkit, mandatory poster and paycheck insert are available on the state PFML </w:t>
      </w:r>
      <w:hyperlink r:id="rId1110" w:history="1">
        <w:r w:rsidRPr="00DD7BD1">
          <w:rPr>
            <w:rStyle w:val="Hyperlink"/>
            <w:rFonts w:cs="Calibri"/>
            <w:b w:val="0"/>
            <w:sz w:val="22"/>
            <w:szCs w:val="22"/>
          </w:rPr>
          <w:t>website</w:t>
        </w:r>
      </w:hyperlink>
      <w:r w:rsidRPr="00DD7BD1">
        <w:rPr>
          <w:rFonts w:cs="Calibri"/>
          <w:b w:val="0"/>
          <w:sz w:val="22"/>
          <w:szCs w:val="22"/>
        </w:rPr>
        <w:t xml:space="preserve">. </w:t>
      </w:r>
    </w:p>
    <w:p w14:paraId="71F8473E" w14:textId="77777777" w:rsidR="000B6BCC" w:rsidRPr="00DD7BD1" w:rsidRDefault="000B6BCC" w:rsidP="004B7569">
      <w:pPr>
        <w:spacing w:after="0" w:line="240" w:lineRule="auto"/>
        <w:jc w:val="center"/>
        <w:rPr>
          <w:rFonts w:ascii="Calibri" w:hAnsi="Calibri" w:cs="Calibri"/>
          <w:b/>
          <w:bCs/>
          <w:shd w:val="clear" w:color="auto" w:fill="FFFFFF"/>
          <w:lang w:val="en"/>
        </w:rPr>
      </w:pPr>
    </w:p>
    <w:p w14:paraId="4B8F5C61" w14:textId="38034EF1"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Local Changes &amp; Regulatory Enactments – July 1</w:t>
      </w:r>
    </w:p>
    <w:p w14:paraId="55D7CB7B"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LOCAL MINIMUM WAGE INCREASES</w:t>
      </w:r>
      <w:r w:rsidRPr="00DD7BD1">
        <w:rPr>
          <w:rFonts w:ascii="Calibri" w:eastAsia="Times New Roman" w:hAnsi="Calibri" w:cs="Calibri"/>
        </w:rPr>
        <w:br/>
        <w:t>The following minimum wage increases are effective July 1, 2024.</w:t>
      </w:r>
    </w:p>
    <w:p w14:paraId="52A60A25"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Tukwila</w:t>
      </w:r>
    </w:p>
    <w:p w14:paraId="46E00CD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1C58DD4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$19.29 per hour</w:t>
      </w:r>
    </w:p>
    <w:p w14:paraId="182D0851"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12A4CF04"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w:t>
      </w:r>
    </w:p>
    <w:p w14:paraId="57A679C9"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289AE9BD"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$18.29 per hour</w:t>
      </w:r>
    </w:p>
    <w:p w14:paraId="5A05C9B5"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2B17FAA0"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For both cities, </w:t>
      </w:r>
      <w:r w:rsidRPr="00DD7BD1">
        <w:rPr>
          <w:rFonts w:ascii="Calibri" w:eastAsia="Times New Roman" w:hAnsi="Calibri" w:cs="Calibri"/>
          <w:i/>
          <w:iCs/>
        </w:rPr>
        <w:t>Large Employers </w:t>
      </w:r>
      <w:r w:rsidRPr="00DD7BD1">
        <w:rPr>
          <w:rFonts w:ascii="Calibri" w:eastAsia="Times New Roman" w:hAnsi="Calibri" w:cs="Calibri"/>
        </w:rPr>
        <w:t>are defined as those with more than 500 employees worldwide, and all franchisees associated with a franchise that employs more than 500 employees combined. </w:t>
      </w:r>
      <w:r w:rsidRPr="00DD7BD1">
        <w:rPr>
          <w:rFonts w:ascii="Calibri" w:eastAsia="Times New Roman" w:hAnsi="Calibri" w:cs="Calibri"/>
          <w:i/>
          <w:iCs/>
        </w:rPr>
        <w:t>Mid-Size Employers </w:t>
      </w:r>
      <w:r w:rsidRPr="00DD7BD1">
        <w:rPr>
          <w:rFonts w:ascii="Calibri" w:eastAsia="Times New Roman" w:hAnsi="Calibri" w:cs="Calibri"/>
        </w:rPr>
        <w:t>are those with 15–500 employees or that have annual gross revenue of over $2 million generated within city limits.</w:t>
      </w:r>
    </w:p>
    <w:p w14:paraId="51F685BE"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71E07903" w14:textId="6ADB47A3"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 Extra Hour Offerings</w:t>
      </w:r>
      <w:r w:rsidRPr="00DD7BD1">
        <w:rPr>
          <w:rFonts w:ascii="Calibri" w:eastAsia="Times New Roman" w:hAnsi="Calibri" w:cs="Calibri"/>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DD7BD1" w:rsidRDefault="004B7569" w:rsidP="004B7569">
      <w:pPr>
        <w:shd w:val="clear" w:color="auto" w:fill="FFFFFF"/>
        <w:spacing w:after="0" w:line="240" w:lineRule="auto"/>
        <w:rPr>
          <w:rFonts w:ascii="Calibri" w:eastAsia="Times New Roman" w:hAnsi="Calibri" w:cs="Calibri"/>
          <w:sz w:val="20"/>
          <w:szCs w:val="20"/>
        </w:rPr>
      </w:pPr>
    </w:p>
    <w:p w14:paraId="310A564A" w14:textId="684D2064" w:rsidR="00746F77" w:rsidRPr="00DD7BD1" w:rsidRDefault="00746F77" w:rsidP="00746F7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Employee Free Choice Act</w:t>
      </w:r>
    </w:p>
    <w:p w14:paraId="749D2E45" w14:textId="77777777" w:rsidR="00746F77" w:rsidRPr="00DD7BD1" w:rsidRDefault="00746F77" w:rsidP="00746F77">
      <w:pPr>
        <w:spacing w:after="0" w:line="240" w:lineRule="auto"/>
        <w:rPr>
          <w:rFonts w:ascii="Calibri" w:hAnsi="Calibri" w:cs="Calibri"/>
        </w:rPr>
      </w:pPr>
      <w:r w:rsidRPr="00DD7BD1">
        <w:rPr>
          <w:rFonts w:ascii="Calibri" w:hAnsi="Calibri" w:cs="Calibri"/>
        </w:rPr>
        <w:t xml:space="preserve">On March 28, 2024, Washington state enacted the </w:t>
      </w:r>
      <w:hyperlink r:id="rId1111" w:history="1">
        <w:r w:rsidRPr="00DD7BD1">
          <w:rPr>
            <w:rStyle w:val="Hyperlink"/>
            <w:rFonts w:ascii="Calibri" w:hAnsi="Calibri" w:cs="Calibri"/>
          </w:rPr>
          <w:t>Employee Free Choice Act</w:t>
        </w:r>
      </w:hyperlink>
      <w:r w:rsidRPr="00DD7BD1">
        <w:rPr>
          <w:rFonts w:ascii="Calibri" w:hAnsi="Calibri" w:cs="Calibri"/>
        </w:rPr>
        <w:t xml:space="preserve"> to protect workers from retaliation for refusing to attend meetings or listen to their employer’s speech on religious or political matters, including speech regarding labor unions. The law takes effect on </w:t>
      </w:r>
      <w:r w:rsidRPr="00DD7BD1">
        <w:rPr>
          <w:rFonts w:ascii="Calibri" w:hAnsi="Calibri" w:cs="Calibri"/>
          <w:b/>
          <w:bCs/>
          <w:color w:val="C00000"/>
        </w:rPr>
        <w:t>June 6, 2024</w:t>
      </w:r>
      <w:r w:rsidRPr="00DD7BD1">
        <w:rPr>
          <w:rFonts w:ascii="Calibri" w:hAnsi="Calibri" w:cs="Calibri"/>
        </w:rPr>
        <w:t>.</w:t>
      </w:r>
    </w:p>
    <w:p w14:paraId="4D0501A8" w14:textId="77777777" w:rsidR="00746F77" w:rsidRPr="00DD7BD1" w:rsidRDefault="00746F77" w:rsidP="00746F77">
      <w:pPr>
        <w:spacing w:after="0" w:line="240" w:lineRule="auto"/>
        <w:rPr>
          <w:rFonts w:ascii="Calibri" w:hAnsi="Calibri" w:cs="Calibri"/>
          <w:sz w:val="16"/>
          <w:szCs w:val="16"/>
        </w:rPr>
      </w:pPr>
    </w:p>
    <w:p w14:paraId="541D55C8" w14:textId="77777777" w:rsidR="00746F77" w:rsidRPr="00DD7BD1" w:rsidRDefault="00746F77" w:rsidP="00746F77">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w:t>
      </w:r>
      <w:r w:rsidRPr="00DD7BD1">
        <w:rPr>
          <w:rFonts w:ascii="Calibri" w:eastAsia="Times New Roman" w:hAnsi="Calibri" w:cs="Calibri"/>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DD7BD1" w:rsidRDefault="00746F77" w:rsidP="00746F77">
      <w:pPr>
        <w:spacing w:after="0" w:line="240" w:lineRule="auto"/>
        <w:rPr>
          <w:rFonts w:ascii="Calibri" w:hAnsi="Calibri" w:cs="Calibri"/>
          <w:sz w:val="16"/>
          <w:szCs w:val="16"/>
        </w:rPr>
      </w:pPr>
    </w:p>
    <w:p w14:paraId="764ED684" w14:textId="77777777" w:rsidR="00746F77" w:rsidRPr="00DD7BD1" w:rsidRDefault="00746F77" w:rsidP="00746F77">
      <w:pPr>
        <w:spacing w:after="0" w:line="240" w:lineRule="auto"/>
        <w:rPr>
          <w:rFonts w:ascii="Calibri" w:hAnsi="Calibri" w:cs="Calibri"/>
          <w:b/>
          <w:bCs/>
          <w:highlight w:val="lightGray"/>
        </w:rPr>
      </w:pPr>
      <w:r w:rsidRPr="00DD7BD1">
        <w:rPr>
          <w:rFonts w:ascii="Calibri" w:hAnsi="Calibri" w:cs="Calibri"/>
          <w:b/>
          <w:bCs/>
          <w:highlight w:val="lightGray"/>
        </w:rPr>
        <w:t>Learn More:</w:t>
      </w:r>
    </w:p>
    <w:p w14:paraId="498880D6" w14:textId="77777777" w:rsidR="00746F77" w:rsidRPr="00DD7BD1" w:rsidRDefault="00746F77" w:rsidP="00746F77">
      <w:pPr>
        <w:pStyle w:val="BodyText"/>
        <w:spacing w:after="0" w:line="240" w:lineRule="auto"/>
        <w:rPr>
          <w:rFonts w:cs="Calibri"/>
          <w:color w:val="auto"/>
        </w:rPr>
      </w:pPr>
      <w:r w:rsidRPr="00DD7BD1">
        <w:rPr>
          <w:rFonts w:cs="Calibri"/>
          <w:b/>
          <w:bCs/>
          <w:i/>
          <w:iCs/>
          <w:color w:val="auto"/>
        </w:rPr>
        <w:t>“Political matters</w:t>
      </w:r>
      <w:r w:rsidRPr="00DD7BD1">
        <w:rPr>
          <w:rFonts w:cs="Calibri"/>
          <w:color w:val="auto"/>
        </w:rPr>
        <w:t>” means matters regarding elections, political parties, proposals to change legislation or regulations, and the decision to join or support a labor organization.</w:t>
      </w:r>
    </w:p>
    <w:p w14:paraId="14C36763" w14:textId="77777777" w:rsidR="00746F77" w:rsidRPr="00DD7BD1" w:rsidRDefault="00746F77" w:rsidP="00746F77">
      <w:pPr>
        <w:pStyle w:val="BodyText"/>
        <w:spacing w:after="0" w:line="240" w:lineRule="auto"/>
        <w:rPr>
          <w:rFonts w:cs="Calibri"/>
          <w:color w:val="auto"/>
        </w:rPr>
      </w:pPr>
      <w:r w:rsidRPr="00DD7BD1">
        <w:rPr>
          <w:rFonts w:cs="Calibri"/>
          <w:color w:val="auto"/>
        </w:rPr>
        <w:t>“</w:t>
      </w:r>
      <w:r w:rsidRPr="00DD7BD1">
        <w:rPr>
          <w:rFonts w:cs="Calibri"/>
          <w:b/>
          <w:bCs/>
          <w:i/>
          <w:iCs/>
          <w:color w:val="auto"/>
        </w:rPr>
        <w:t>Religious matters</w:t>
      </w:r>
      <w:r w:rsidRPr="00DD7BD1">
        <w:rPr>
          <w:rFonts w:cs="Calibri"/>
          <w:color w:val="auto"/>
        </w:rPr>
        <w:t>” means matters regarding religious affiliation and practice, and the decision to join or support a religious organization.</w:t>
      </w:r>
    </w:p>
    <w:p w14:paraId="27620C0B" w14:textId="77777777" w:rsidR="00746F77" w:rsidRPr="00DD7BD1" w:rsidRDefault="00746F77" w:rsidP="00746F77">
      <w:pPr>
        <w:pStyle w:val="BodyText"/>
        <w:spacing w:after="0" w:line="240" w:lineRule="auto"/>
        <w:rPr>
          <w:rFonts w:cs="Calibri"/>
          <w:b/>
          <w:bCs/>
          <w:i/>
          <w:iCs/>
          <w:color w:val="auto"/>
          <w:sz w:val="16"/>
          <w:szCs w:val="16"/>
        </w:rPr>
      </w:pPr>
    </w:p>
    <w:p w14:paraId="7774DBFB" w14:textId="77777777" w:rsidR="00746F77" w:rsidRPr="00DD7BD1" w:rsidRDefault="00746F77" w:rsidP="00746F77">
      <w:pPr>
        <w:pStyle w:val="BodyText"/>
        <w:spacing w:after="0" w:line="240" w:lineRule="auto"/>
        <w:rPr>
          <w:rFonts w:cs="Calibri"/>
          <w:b/>
          <w:bCs/>
          <w:i/>
          <w:iCs/>
          <w:color w:val="auto"/>
        </w:rPr>
      </w:pPr>
      <w:r w:rsidRPr="00DD7BD1">
        <w:rPr>
          <w:rFonts w:cs="Calibri"/>
          <w:b/>
          <w:bCs/>
          <w:i/>
          <w:iCs/>
          <w:color w:val="auto"/>
        </w:rPr>
        <w:t>Prohibitions</w:t>
      </w:r>
    </w:p>
    <w:p w14:paraId="59283227" w14:textId="77777777" w:rsidR="00746F77" w:rsidRPr="00DD7BD1" w:rsidRDefault="00746F77" w:rsidP="00746F77">
      <w:pPr>
        <w:pStyle w:val="BodyText"/>
        <w:spacing w:after="0" w:line="240" w:lineRule="auto"/>
        <w:rPr>
          <w:rFonts w:cs="Calibri"/>
          <w:color w:val="auto"/>
        </w:rPr>
      </w:pPr>
      <w:r w:rsidRPr="00DD7BD1">
        <w:rPr>
          <w:rFonts w:cs="Calibri"/>
          <w:color w:val="auto"/>
        </w:rPr>
        <w:t>The new law prohibits employers from disciplining, discharging or otherwise penalizing an employee for:</w:t>
      </w:r>
    </w:p>
    <w:p w14:paraId="7618F9AD" w14:textId="77777777" w:rsidR="00746F77" w:rsidRPr="00DD7BD1" w:rsidRDefault="00746F77" w:rsidP="00746F77">
      <w:pPr>
        <w:pStyle w:val="Bullet"/>
        <w:spacing w:line="240" w:lineRule="auto"/>
        <w:rPr>
          <w:rFonts w:cs="Calibri"/>
          <w:color w:val="auto"/>
        </w:rPr>
      </w:pPr>
      <w:r w:rsidRPr="00DD7BD1">
        <w:rPr>
          <w:rFonts w:cs="Calibri"/>
          <w:color w:val="auto"/>
        </w:rPr>
        <w:t>Refusing to attend or participate in employer-sponsored meetings where the primary purpose is to communicate the employer’s religious or political opinions;</w:t>
      </w:r>
    </w:p>
    <w:p w14:paraId="372F5730" w14:textId="77777777" w:rsidR="00746F77" w:rsidRPr="00DD7BD1" w:rsidRDefault="00746F77" w:rsidP="00746F77">
      <w:pPr>
        <w:pStyle w:val="Bullet"/>
        <w:spacing w:line="240" w:lineRule="auto"/>
        <w:rPr>
          <w:rFonts w:cs="Calibri"/>
          <w:color w:val="auto"/>
        </w:rPr>
      </w:pPr>
      <w:r w:rsidRPr="00DD7BD1">
        <w:rPr>
          <w:rFonts w:cs="Calibri"/>
          <w:color w:val="auto"/>
        </w:rPr>
        <w:t>Refusing to listen to speech or view communications (including electronic communications) where the primary purpose is to communicate the employer’s religious or political opinions; and</w:t>
      </w:r>
    </w:p>
    <w:p w14:paraId="2E30914C" w14:textId="77777777" w:rsidR="00746F77" w:rsidRPr="00DD7BD1" w:rsidRDefault="00746F77" w:rsidP="00746F77">
      <w:pPr>
        <w:pStyle w:val="Bullet"/>
        <w:spacing w:line="240" w:lineRule="auto"/>
        <w:rPr>
          <w:rFonts w:cs="Calibri"/>
          <w:color w:val="auto"/>
        </w:rPr>
      </w:pPr>
      <w:r w:rsidRPr="00DD7BD1">
        <w:rPr>
          <w:rFonts w:cs="Calibri"/>
          <w:color w:val="auto"/>
        </w:rPr>
        <w:t>Making a good faith report of a suspected violation of the new law</w:t>
      </w:r>
    </w:p>
    <w:p w14:paraId="1842E7AE" w14:textId="77777777" w:rsidR="00746F77" w:rsidRPr="00DD7BD1" w:rsidRDefault="00746F77" w:rsidP="00746F77">
      <w:pPr>
        <w:pStyle w:val="BodyText"/>
        <w:spacing w:after="0" w:line="240" w:lineRule="auto"/>
        <w:rPr>
          <w:rFonts w:cs="Calibri"/>
          <w:color w:val="auto"/>
          <w:sz w:val="16"/>
          <w:szCs w:val="16"/>
        </w:rPr>
      </w:pPr>
    </w:p>
    <w:p w14:paraId="59BEB43C"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The law does </w:t>
      </w:r>
      <w:r w:rsidRPr="00DD7BD1">
        <w:rPr>
          <w:rFonts w:cs="Calibri"/>
          <w:b/>
          <w:bCs/>
          <w:color w:val="auto"/>
        </w:rPr>
        <w:t>not</w:t>
      </w:r>
      <w:r w:rsidRPr="00DD7BD1">
        <w:rPr>
          <w:rFonts w:cs="Calibri"/>
          <w:color w:val="auto"/>
        </w:rPr>
        <w:t xml:space="preserve"> prohibit employers from:</w:t>
      </w:r>
    </w:p>
    <w:p w14:paraId="04153A37"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that the employer is legally required to communicate;</w:t>
      </w:r>
    </w:p>
    <w:p w14:paraId="3D671058" w14:textId="77777777" w:rsidR="00746F77" w:rsidRPr="00DD7BD1" w:rsidRDefault="00746F77" w:rsidP="00746F77">
      <w:pPr>
        <w:pStyle w:val="Bullet"/>
        <w:spacing w:line="240" w:lineRule="auto"/>
        <w:rPr>
          <w:rFonts w:cs="Calibri"/>
          <w:color w:val="auto"/>
        </w:rPr>
      </w:pPr>
      <w:r w:rsidRPr="00DD7BD1">
        <w:rPr>
          <w:rFonts w:cs="Calibri"/>
          <w:color w:val="auto"/>
        </w:rPr>
        <w:t>Offering voluntary meetings, forums or communications about religious or political matters;</w:t>
      </w:r>
    </w:p>
    <w:p w14:paraId="35EADAEF"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or requiring attendance at meetings necessary for the employee to perform their job duties; or</w:t>
      </w:r>
    </w:p>
    <w:p w14:paraId="0DDDC9EF" w14:textId="77777777" w:rsidR="00746F77" w:rsidRPr="00DD7BD1" w:rsidRDefault="00746F77" w:rsidP="00746F77">
      <w:pPr>
        <w:pStyle w:val="Bullet"/>
        <w:spacing w:line="240" w:lineRule="auto"/>
        <w:rPr>
          <w:rFonts w:cs="Calibri"/>
          <w:color w:val="auto"/>
        </w:rPr>
      </w:pPr>
      <w:r w:rsidRPr="00DD7BD1">
        <w:rPr>
          <w:rFonts w:cs="Calibri"/>
          <w:color w:val="auto"/>
        </w:rPr>
        <w:t xml:space="preserve">Requiring attendance at any training to reduce and prevent workplace harassment or discrimination. </w:t>
      </w:r>
    </w:p>
    <w:p w14:paraId="109897C4" w14:textId="77777777" w:rsidR="00746F77" w:rsidRPr="00DD7BD1" w:rsidRDefault="00746F77" w:rsidP="00746F77">
      <w:pPr>
        <w:pStyle w:val="Bullet"/>
        <w:numPr>
          <w:ilvl w:val="0"/>
          <w:numId w:val="0"/>
        </w:numPr>
        <w:spacing w:line="240" w:lineRule="auto"/>
        <w:ind w:left="360" w:hanging="360"/>
        <w:rPr>
          <w:rFonts w:cs="Calibri"/>
          <w:color w:val="auto"/>
          <w:sz w:val="16"/>
          <w:szCs w:val="16"/>
        </w:rPr>
      </w:pPr>
    </w:p>
    <w:p w14:paraId="4902E7AF"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Workplace Notice</w:t>
      </w:r>
    </w:p>
    <w:p w14:paraId="0F7F083B" w14:textId="77777777" w:rsidR="00746F77" w:rsidRPr="00DD7BD1" w:rsidRDefault="00746F77" w:rsidP="00746F77">
      <w:pPr>
        <w:pStyle w:val="Bullet"/>
        <w:numPr>
          <w:ilvl w:val="0"/>
          <w:numId w:val="0"/>
        </w:numPr>
        <w:spacing w:line="240" w:lineRule="auto"/>
        <w:ind w:left="180"/>
        <w:rPr>
          <w:rFonts w:cs="Calibri"/>
          <w:color w:val="auto"/>
        </w:rPr>
      </w:pPr>
      <w:r w:rsidRPr="00DD7BD1">
        <w:rPr>
          <w:rFonts w:cs="Calibri"/>
          <w:color w:val="auto"/>
        </w:rPr>
        <w:t xml:space="preserve">Employer must post a notice of employee rights under the new law in a place that is normally reserved for employment-related notices and commonly frequented by employees.  One the Notice is released, ETC will notify employers </w:t>
      </w:r>
    </w:p>
    <w:p w14:paraId="176B893E" w14:textId="77777777" w:rsidR="00746F77" w:rsidRPr="00DD7BD1" w:rsidRDefault="00746F77" w:rsidP="00746F77">
      <w:pPr>
        <w:pStyle w:val="Bullet"/>
        <w:numPr>
          <w:ilvl w:val="0"/>
          <w:numId w:val="0"/>
        </w:numPr>
        <w:spacing w:line="240" w:lineRule="auto"/>
        <w:ind w:left="720" w:hanging="360"/>
        <w:rPr>
          <w:rFonts w:cs="Calibri"/>
          <w:color w:val="auto"/>
          <w:sz w:val="16"/>
          <w:szCs w:val="16"/>
        </w:rPr>
      </w:pPr>
    </w:p>
    <w:p w14:paraId="137CBFC8"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Penalties for Noncompliance</w:t>
      </w:r>
    </w:p>
    <w:p w14:paraId="35415262" w14:textId="584F682D" w:rsidR="002006C2" w:rsidRPr="00DD7BD1" w:rsidRDefault="00746F77" w:rsidP="00EB4ABB">
      <w:pPr>
        <w:pStyle w:val="BodyText"/>
        <w:rPr>
          <w:rFonts w:cs="Calibri"/>
          <w:color w:val="auto"/>
        </w:rPr>
      </w:pPr>
      <w:r w:rsidRPr="00DD7BD1">
        <w:rPr>
          <w:rFonts w:cs="Calibri"/>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6" w:name="_Hlk170459101"/>
    </w:p>
    <w:p w14:paraId="62DD4204" w14:textId="6792865A" w:rsidR="00EB4ABB" w:rsidRPr="00DD7BD1" w:rsidRDefault="00EB4ABB" w:rsidP="00EB4ABB">
      <w:pPr>
        <w:pStyle w:val="NormalWeb"/>
        <w:shd w:val="clear" w:color="auto" w:fill="FFFFFF"/>
        <w:spacing w:before="0" w:beforeAutospacing="0" w:after="0" w:afterAutospacing="0"/>
        <w:jc w:val="center"/>
        <w:rPr>
          <w:rFonts w:ascii="Calibri" w:eastAsiaTheme="minorHAnsi" w:hAnsi="Calibri" w:cs="Calibri"/>
          <w:b/>
          <w:bCs/>
          <w:sz w:val="28"/>
          <w:szCs w:val="28"/>
          <w:shd w:val="clear" w:color="auto" w:fill="FFFFFF"/>
          <w:lang w:val="en"/>
        </w:rPr>
      </w:pPr>
      <w:r w:rsidRPr="00DD7BD1">
        <w:rPr>
          <w:rFonts w:ascii="Calibri" w:eastAsiaTheme="minorHAnsi" w:hAnsi="Calibri" w:cs="Calibri"/>
          <w:b/>
          <w:bCs/>
          <w:sz w:val="28"/>
          <w:szCs w:val="28"/>
          <w:shd w:val="clear" w:color="auto" w:fill="FFFFFF"/>
          <w:lang w:val="en"/>
        </w:rPr>
        <w:t>State</w:t>
      </w:r>
      <w:r w:rsidRPr="00DD7BD1">
        <w:rPr>
          <w:rFonts w:ascii="Calibri" w:eastAsiaTheme="minorHAnsi" w:hAnsi="Calibri" w:cs="Calibri"/>
          <w:b/>
          <w:bCs/>
          <w:color w:val="C00000"/>
          <w:sz w:val="28"/>
          <w:szCs w:val="28"/>
          <w:shd w:val="clear" w:color="auto" w:fill="FFFFFF"/>
          <w:lang w:val="en"/>
        </w:rPr>
        <w:t xml:space="preserve"> </w:t>
      </w:r>
      <w:r w:rsidRPr="00DD7BD1">
        <w:rPr>
          <w:rFonts w:ascii="Calibri" w:eastAsiaTheme="minorHAnsi" w:hAnsi="Calibri" w:cs="Calibri"/>
          <w:b/>
          <w:bCs/>
          <w:sz w:val="28"/>
          <w:szCs w:val="28"/>
          <w:shd w:val="clear" w:color="auto" w:fill="FFFFFF"/>
          <w:lang w:val="en"/>
        </w:rPr>
        <w:t>Law Expands and Clarifies Non-Compete Statute</w:t>
      </w:r>
    </w:p>
    <w:p w14:paraId="53330E2F" w14:textId="591BC327" w:rsidR="00EB4ABB" w:rsidRPr="00DD7BD1" w:rsidRDefault="00EB4ABB" w:rsidP="00EB4ABB">
      <w:pPr>
        <w:pStyle w:val="NormalWeb"/>
        <w:shd w:val="clear" w:color="auto" w:fill="FFFFFF"/>
        <w:spacing w:before="0" w:beforeAutospacing="0" w:after="0" w:afterAutospacing="0"/>
        <w:jc w:val="both"/>
        <w:rPr>
          <w:rFonts w:ascii="Calibri" w:hAnsi="Calibri" w:cs="Calibri"/>
          <w:sz w:val="23"/>
          <w:szCs w:val="23"/>
        </w:rPr>
      </w:pPr>
      <w:r w:rsidRPr="00DD7BD1">
        <w:rPr>
          <w:rFonts w:ascii="Calibri" w:hAnsi="Calibri" w:cs="Calibri"/>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DD7BD1">
        <w:rPr>
          <w:rFonts w:ascii="Calibri" w:hAnsi="Calibri" w:cs="Calibri"/>
          <w:color w:val="C00000"/>
          <w:sz w:val="23"/>
          <w:szCs w:val="23"/>
        </w:rPr>
        <w:t>June 6, 2024</w:t>
      </w:r>
      <w:r w:rsidRPr="00DD7BD1">
        <w:rPr>
          <w:rFonts w:ascii="Calibri" w:hAnsi="Calibri" w:cs="Calibri"/>
          <w:color w:val="333333"/>
          <w:sz w:val="23"/>
          <w:szCs w:val="23"/>
        </w:rPr>
        <w:t xml:space="preserve">. </w:t>
      </w:r>
      <w:r w:rsidRPr="00DD7BD1">
        <w:rPr>
          <w:rFonts w:ascii="Calibri" w:hAnsi="Calibri" w:cs="Calibri"/>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DD7BD1">
        <w:rPr>
          <w:rFonts w:ascii="Calibri" w:hAnsi="Calibri" w:cs="Calibri"/>
          <w:sz w:val="23"/>
          <w:szCs w:val="23"/>
          <w:vertAlign w:val="superscript"/>
        </w:rPr>
        <w:t>th</w:t>
      </w:r>
      <w:r w:rsidRPr="00DD7BD1">
        <w:rPr>
          <w:rFonts w:ascii="Calibri" w:hAnsi="Calibri" w:cs="Calibri"/>
          <w:sz w:val="23"/>
          <w:szCs w:val="23"/>
        </w:rPr>
        <w:t xml:space="preserve"> Publication </w:t>
      </w:r>
      <w:hyperlink r:id="rId1112" w:history="1">
        <w:r w:rsidRPr="00DD7BD1">
          <w:rPr>
            <w:rStyle w:val="Hyperlink"/>
            <w:rFonts w:ascii="Calibri" w:hAnsi="Calibri" w:cs="Calibri"/>
            <w:sz w:val="23"/>
            <w:szCs w:val="23"/>
          </w:rPr>
          <w:t>HERE</w:t>
        </w:r>
      </w:hyperlink>
      <w:r w:rsidRPr="00DD7BD1">
        <w:rPr>
          <w:rFonts w:ascii="Calibri" w:hAnsi="Calibri" w:cs="Calibri"/>
          <w:color w:val="333333"/>
          <w:sz w:val="23"/>
          <w:szCs w:val="23"/>
        </w:rPr>
        <w:t xml:space="preserve"> </w:t>
      </w:r>
      <w:r w:rsidRPr="00DD7BD1">
        <w:rPr>
          <w:rFonts w:ascii="Calibri" w:hAnsi="Calibri" w:cs="Calibri"/>
          <w:sz w:val="23"/>
          <w:szCs w:val="23"/>
        </w:rPr>
        <w:t>to learn more</w:t>
      </w:r>
    </w:p>
    <w:p w14:paraId="293DAC74" w14:textId="77777777" w:rsidR="00EB4ABB" w:rsidRPr="00DD7BD1" w:rsidRDefault="00EB4ABB" w:rsidP="00EB4ABB">
      <w:pPr>
        <w:pStyle w:val="NormalWeb"/>
        <w:shd w:val="clear" w:color="auto" w:fill="FFFFFF"/>
        <w:spacing w:before="0" w:beforeAutospacing="0" w:after="0" w:afterAutospacing="0"/>
        <w:jc w:val="both"/>
        <w:rPr>
          <w:rFonts w:ascii="Calibri" w:hAnsi="Calibri" w:cs="Calibri"/>
          <w:sz w:val="16"/>
          <w:szCs w:val="16"/>
        </w:rPr>
      </w:pPr>
    </w:p>
    <w:p w14:paraId="5F838746" w14:textId="54E6E3A2" w:rsidR="00746F77" w:rsidRPr="00DD7BD1" w:rsidRDefault="00746F77" w:rsidP="00746F77">
      <w:pPr>
        <w:pStyle w:val="MainTitle"/>
        <w:jc w:val="center"/>
        <w:rPr>
          <w:rFonts w:ascii="Calibri" w:hAnsi="Calibri" w:cs="Calibri"/>
          <w:bCs/>
          <w:color w:val="auto"/>
          <w:sz w:val="28"/>
          <w:szCs w:val="28"/>
          <w:shd w:val="clear" w:color="auto" w:fill="FFFFFF"/>
          <w:lang w:val="en"/>
        </w:rPr>
      </w:pPr>
      <w:r w:rsidRPr="00DD7BD1">
        <w:rPr>
          <w:rFonts w:ascii="Calibri" w:hAnsi="Calibri" w:cs="Calibri"/>
          <w:bCs/>
          <w:color w:val="auto"/>
          <w:sz w:val="28"/>
          <w:szCs w:val="28"/>
          <w:shd w:val="clear" w:color="auto" w:fill="FFFFFF"/>
          <w:lang w:val="en"/>
        </w:rPr>
        <w:t>State Expands Paid Sick Leave</w:t>
      </w:r>
    </w:p>
    <w:p w14:paraId="53E97560"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On March 28, 2024, Washington Gov. Jay Inslee signed into law a </w:t>
      </w:r>
      <w:hyperlink r:id="rId1113" w:history="1">
        <w:r w:rsidRPr="00DD7BD1">
          <w:rPr>
            <w:rStyle w:val="Hyperlink"/>
            <w:rFonts w:cs="Calibri"/>
          </w:rPr>
          <w:t>bill</w:t>
        </w:r>
      </w:hyperlink>
      <w:r w:rsidRPr="00DD7BD1">
        <w:rPr>
          <w:rFonts w:cs="Calibri"/>
        </w:rPr>
        <w:t xml:space="preserve"> </w:t>
      </w:r>
      <w:r w:rsidRPr="00DD7BD1">
        <w:rPr>
          <w:rFonts w:cs="Calibri"/>
          <w:color w:val="auto"/>
        </w:rPr>
        <w:t xml:space="preserve">expanding the definition of “family member” in the state’s paid sick leave law and adding to the qualified reasons for leave under the law. The changes take effect </w:t>
      </w:r>
      <w:r w:rsidRPr="00DD7BD1">
        <w:rPr>
          <w:rFonts w:cs="Calibri"/>
          <w:color w:val="C00000"/>
        </w:rPr>
        <w:t>January 1, 2025</w:t>
      </w:r>
      <w:r w:rsidRPr="00DD7BD1">
        <w:rPr>
          <w:rFonts w:cs="Calibri"/>
        </w:rPr>
        <w:t xml:space="preserve">.  </w:t>
      </w:r>
      <w:r w:rsidRPr="00DD7BD1">
        <w:rPr>
          <w:rFonts w:cs="Calibri"/>
          <w:color w:val="auto"/>
        </w:rPr>
        <w:t xml:space="preserve">More to </w:t>
      </w:r>
      <w:proofErr w:type="gramStart"/>
      <w:r w:rsidRPr="00DD7BD1">
        <w:rPr>
          <w:rFonts w:cs="Calibri"/>
          <w:color w:val="auto"/>
        </w:rPr>
        <w:t>comes</w:t>
      </w:r>
      <w:proofErr w:type="gramEnd"/>
      <w:r w:rsidRPr="00DD7BD1">
        <w:rPr>
          <w:rFonts w:cs="Calibri"/>
          <w:color w:val="auto"/>
        </w:rPr>
        <w:t xml:space="preserve"> closer to the effective date.</w:t>
      </w:r>
    </w:p>
    <w:p w14:paraId="3E48C1C3" w14:textId="77777777" w:rsidR="00746F77" w:rsidRPr="00DD7BD1" w:rsidRDefault="00746F77" w:rsidP="00746F77">
      <w:pPr>
        <w:pStyle w:val="BodyText"/>
        <w:spacing w:after="0" w:line="240" w:lineRule="auto"/>
        <w:rPr>
          <w:rFonts w:cs="Calibri"/>
          <w:color w:val="auto"/>
          <w:sz w:val="16"/>
          <w:szCs w:val="16"/>
        </w:rPr>
      </w:pPr>
    </w:p>
    <w:p w14:paraId="083E202C" w14:textId="77777777" w:rsidR="00746F77" w:rsidRPr="00DD7BD1" w:rsidRDefault="00746F77" w:rsidP="00746F77">
      <w:pPr>
        <w:pStyle w:val="BodyText"/>
        <w:spacing w:after="0" w:line="240" w:lineRule="auto"/>
        <w:rPr>
          <w:rFonts w:cs="Calibri"/>
          <w:b/>
          <w:bCs/>
          <w:color w:val="auto"/>
        </w:rPr>
      </w:pPr>
      <w:r w:rsidRPr="00DD7BD1">
        <w:rPr>
          <w:rFonts w:cs="Calibri"/>
          <w:b/>
          <w:bCs/>
          <w:color w:val="auto"/>
        </w:rPr>
        <w:t xml:space="preserve">Changes </w:t>
      </w:r>
      <w:proofErr w:type="gramStart"/>
      <w:r w:rsidRPr="00DD7BD1">
        <w:rPr>
          <w:rFonts w:cs="Calibri"/>
          <w:b/>
          <w:bCs/>
          <w:color w:val="auto"/>
        </w:rPr>
        <w:t>at a Glance</w:t>
      </w:r>
      <w:proofErr w:type="gramEnd"/>
      <w:r w:rsidRPr="00DD7BD1">
        <w:rPr>
          <w:rFonts w:cs="Calibri"/>
          <w:b/>
          <w:bCs/>
          <w:color w:val="auto"/>
        </w:rPr>
        <w:t>:</w:t>
      </w:r>
    </w:p>
    <w:p w14:paraId="5264F2A7" w14:textId="4EA15C5A" w:rsidR="00746F77" w:rsidRPr="00DD7BD1" w:rsidRDefault="00746F77" w:rsidP="00746F77">
      <w:pPr>
        <w:pStyle w:val="Bullet"/>
        <w:spacing w:line="240" w:lineRule="auto"/>
        <w:rPr>
          <w:rFonts w:cs="Calibri"/>
          <w:color w:val="auto"/>
        </w:rPr>
      </w:pPr>
      <w:r w:rsidRPr="00DD7BD1">
        <w:rPr>
          <w:rFonts w:cs="Calibri"/>
          <w:color w:val="auto"/>
        </w:rPr>
        <w:t>Adds as “family members” individuals whose relationship with an employee creates an expectation of care from the employee</w:t>
      </w:r>
      <w:r w:rsidR="00C31FC5" w:rsidRPr="00DD7BD1">
        <w:rPr>
          <w:rFonts w:cs="Calibri"/>
          <w:color w:val="auto"/>
        </w:rPr>
        <w:t xml:space="preserve"> such as employee’s child’s spouse and an individual who resides in the employee’s home or depends on them for care.</w:t>
      </w:r>
    </w:p>
    <w:p w14:paraId="2A56F193" w14:textId="385DDA05" w:rsidR="00746F77" w:rsidRPr="00DD7BD1" w:rsidRDefault="00746F77" w:rsidP="00746F77">
      <w:pPr>
        <w:pStyle w:val="Bullet"/>
        <w:spacing w:line="240" w:lineRule="auto"/>
        <w:rPr>
          <w:rFonts w:cs="Calibri"/>
          <w:color w:val="auto"/>
        </w:rPr>
      </w:pPr>
      <w:proofErr w:type="gramStart"/>
      <w:r w:rsidRPr="00DD7BD1">
        <w:rPr>
          <w:rFonts w:cs="Calibri"/>
          <w:color w:val="auto"/>
        </w:rPr>
        <w:t>Allows</w:t>
      </w:r>
      <w:proofErr w:type="gramEnd"/>
      <w:r w:rsidRPr="00DD7BD1">
        <w:rPr>
          <w:rFonts w:cs="Calibri"/>
          <w:color w:val="auto"/>
        </w:rPr>
        <w:t xml:space="preserve"> employees to take leave for public emergency closures.</w:t>
      </w:r>
      <w:bookmarkEnd w:id="146"/>
      <w:r w:rsidR="00C31FC5" w:rsidRPr="00DD7BD1">
        <w:rPr>
          <w:rFonts w:cs="Calibri"/>
          <w:color w:val="auto"/>
        </w:rPr>
        <w:t xml:space="preserve">  So, Employees can now use paid sick leave when their workplace or their child’s school or place of care is closed due to any declared emergency, not just for health-related closures.</w:t>
      </w:r>
    </w:p>
    <w:p w14:paraId="1D5BD8CB" w14:textId="77777777" w:rsidR="00ED58D7" w:rsidRPr="00DD7BD1" w:rsidRDefault="00ED58D7" w:rsidP="00ED58D7">
      <w:pPr>
        <w:pStyle w:val="Bullet"/>
        <w:numPr>
          <w:ilvl w:val="0"/>
          <w:numId w:val="0"/>
        </w:numPr>
        <w:spacing w:line="240" w:lineRule="auto"/>
        <w:ind w:left="720"/>
        <w:rPr>
          <w:rFonts w:cs="Calibri"/>
          <w:color w:val="auto"/>
        </w:rPr>
      </w:pPr>
    </w:p>
    <w:p w14:paraId="27B2A1C0" w14:textId="749EA76C" w:rsidR="00194DFB" w:rsidRPr="00DD7BD1" w:rsidRDefault="00194DFB"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West Virginia</w:t>
      </w:r>
    </w:p>
    <w:p w14:paraId="248DD7E4" w14:textId="77777777" w:rsidR="00194DFB" w:rsidRPr="00DD7BD1" w:rsidRDefault="00194DFB" w:rsidP="00194DF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Regulatory Changes Effective </w:t>
      </w:r>
      <w:r w:rsidRPr="00DD7BD1">
        <w:rPr>
          <w:rFonts w:ascii="Calibri" w:hAnsi="Calibri" w:cs="Calibri"/>
          <w:b/>
          <w:bCs/>
          <w:color w:val="C00000"/>
          <w:sz w:val="28"/>
          <w:szCs w:val="28"/>
          <w:shd w:val="clear" w:color="auto" w:fill="FFFFFF"/>
        </w:rPr>
        <w:t>July 2025</w:t>
      </w:r>
    </w:p>
    <w:p w14:paraId="4748332F" w14:textId="54E7EC39"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HIRING PREFERENCES FOR MILITARY SPOUSES</w:t>
      </w:r>
      <w:r w:rsidRPr="00DD7BD1">
        <w:rPr>
          <w:rFonts w:ascii="Calibri" w:hAnsi="Calibri" w:cs="Calibri"/>
          <w:shd w:val="clear" w:color="auto" w:fill="FFFFFF"/>
        </w:rPr>
        <w:br/>
        <w:t xml:space="preserve">Starting </w:t>
      </w:r>
      <w:r w:rsidRPr="00DD7BD1">
        <w:rPr>
          <w:rFonts w:ascii="Calibri" w:hAnsi="Calibri" w:cs="Calibri"/>
          <w:color w:val="C00000"/>
          <w:shd w:val="clear" w:color="auto" w:fill="FFFFFF"/>
        </w:rPr>
        <w:t>July 9, 2025</w:t>
      </w:r>
      <w:r w:rsidRPr="00DD7BD1">
        <w:rPr>
          <w:rFonts w:ascii="Calibri" w:hAnsi="Calibri" w:cs="Calibri"/>
          <w:shd w:val="clear" w:color="auto" w:fill="FFFFFF"/>
        </w:rPr>
        <w:t xml:space="preserve">, employers </w:t>
      </w:r>
      <w:r w:rsidRPr="00DD7BD1">
        <w:rPr>
          <w:rFonts w:ascii="Calibri" w:hAnsi="Calibri" w:cs="Calibri"/>
          <w:b/>
          <w:bCs/>
          <w:shd w:val="clear" w:color="auto" w:fill="FFFFFF"/>
        </w:rPr>
        <w:t>can grant hiring preferences to a military spouse without violating the state Human Rights Act</w:t>
      </w:r>
      <w:r w:rsidRPr="00DD7BD1">
        <w:rPr>
          <w:rFonts w:ascii="Calibri" w:hAnsi="Calibri" w:cs="Calibri"/>
          <w:shd w:val="clear" w:color="auto" w:fill="FFFFFF"/>
        </w:rPr>
        <w:t>, provided the military spouse meets all the knowledge, skills, and eligibility requirements of the job.</w:t>
      </w:r>
    </w:p>
    <w:p w14:paraId="61898ACC" w14:textId="2AF00476"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WORK PERMIT REQUIREMENTS FOR CERTAIN MINORS</w:t>
      </w:r>
      <w:r w:rsidRPr="00DD7BD1">
        <w:rPr>
          <w:rFonts w:ascii="Calibri" w:hAnsi="Calibri" w:cs="Calibri"/>
          <w:shd w:val="clear" w:color="auto" w:fill="FFFFFF"/>
        </w:rPr>
        <w:br/>
        <w:t xml:space="preserve">Beginning </w:t>
      </w:r>
      <w:r w:rsidRPr="00DD7BD1">
        <w:rPr>
          <w:rFonts w:ascii="Calibri" w:hAnsi="Calibri" w:cs="Calibri"/>
          <w:color w:val="C00000"/>
          <w:shd w:val="clear" w:color="auto" w:fill="FFFFFF"/>
        </w:rPr>
        <w:t>July 11, 2025</w:t>
      </w:r>
      <w:r w:rsidRPr="00DD7BD1">
        <w:rPr>
          <w:rFonts w:ascii="Calibri" w:hAnsi="Calibri" w:cs="Calibri"/>
          <w:shd w:val="clear" w:color="auto" w:fill="FFFFFF"/>
        </w:rPr>
        <w:t xml:space="preserve">, West Virginia will allow minors that are ages 14 and 15 to work </w:t>
      </w:r>
      <w:r w:rsidRPr="00DD7BD1">
        <w:rPr>
          <w:rFonts w:ascii="Calibri" w:hAnsi="Calibri" w:cs="Calibri"/>
          <w:b/>
          <w:bCs/>
          <w:u w:val="single"/>
          <w:shd w:val="clear" w:color="auto" w:fill="FFFFFF"/>
        </w:rPr>
        <w:t>without</w:t>
      </w:r>
      <w:r w:rsidRPr="00DD7BD1">
        <w:rPr>
          <w:rFonts w:ascii="Calibri" w:hAnsi="Calibri" w:cs="Calibri"/>
          <w:shd w:val="clear" w:color="auto" w:fill="FFFFFF"/>
        </w:rPr>
        <w:t xml:space="preserve"> obtaining a permit. Instead, employers will be required to obtain the written consent of the minor’s parent, guardian, or custodian, and an age certificate issued by the State</w:t>
      </w:r>
    </w:p>
    <w:p w14:paraId="433660EE" w14:textId="77342D16" w:rsidR="00264A05" w:rsidRPr="00DD7BD1" w:rsidRDefault="00264A05"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Wisconsin</w:t>
      </w:r>
    </w:p>
    <w:p w14:paraId="6EC51ECD" w14:textId="77777777" w:rsidR="00264A05" w:rsidRPr="00DD7BD1" w:rsidRDefault="00264A05" w:rsidP="00264A05">
      <w:pPr>
        <w:jc w:val="center"/>
        <w:rPr>
          <w:rFonts w:ascii="Calibri" w:hAnsi="Calibri" w:cs="Calibri"/>
          <w:b/>
          <w:bCs/>
          <w:sz w:val="28"/>
          <w:szCs w:val="28"/>
          <w:shd w:val="clear" w:color="auto" w:fill="FFFFFF"/>
        </w:rPr>
      </w:pPr>
      <w:bookmarkStart w:id="147" w:name="_Hlk200977349"/>
      <w:r w:rsidRPr="00DD7BD1">
        <w:rPr>
          <w:rFonts w:ascii="Calibri" w:hAnsi="Calibri" w:cs="Calibri"/>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DD7BD1"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7"/>
          <w:p w14:paraId="5962C33F" w14:textId="78708F0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In a recent ruling, the Wisconsin Supreme Court held that the state’s arrest record discrimination protections, which cover employers of all sizes, apply to non-criminal offenses</w:t>
            </w:r>
            <w:r w:rsidRPr="00DD7BD1">
              <w:rPr>
                <w:rFonts w:ascii="Calibri" w:hAnsi="Calibri" w:cs="Calibri"/>
                <w:i/>
                <w:iCs/>
                <w:shd w:val="clear" w:color="auto" w:fill="FFFFFF"/>
              </w:rPr>
              <w:t>. Non-criminal offenses </w:t>
            </w:r>
            <w:r w:rsidRPr="00DD7BD1">
              <w:rPr>
                <w:rFonts w:ascii="Calibri" w:hAnsi="Calibri" w:cs="Calibri"/>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The Court’s decision is a straightforward interpretation of the statute’s broad language, defining </w:t>
            </w:r>
            <w:r w:rsidRPr="00DD7BD1">
              <w:rPr>
                <w:rFonts w:ascii="Calibri" w:hAnsi="Calibri" w:cs="Calibri"/>
                <w:b/>
                <w:bCs/>
                <w:i/>
                <w:iCs/>
                <w:shd w:val="clear" w:color="auto" w:fill="FFFFFF"/>
              </w:rPr>
              <w:t>arrest record</w:t>
            </w:r>
            <w:r w:rsidRPr="00DD7BD1">
              <w:rPr>
                <w:rFonts w:ascii="Calibri" w:hAnsi="Calibri" w:cs="Calibri"/>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DD7BD1" w:rsidRDefault="00264A05" w:rsidP="005F6B79">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Pr="00DD7BD1" w:rsidRDefault="00ED58D7"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Wyoming</w:t>
      </w:r>
    </w:p>
    <w:p w14:paraId="3524E93D" w14:textId="77777777" w:rsidR="00ED58D7" w:rsidRPr="00DD7BD1" w:rsidRDefault="00ED58D7" w:rsidP="00ED58D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OSHA Increases Civil Penalties – </w:t>
      </w:r>
      <w:r w:rsidRPr="00DD7BD1">
        <w:rPr>
          <w:rFonts w:ascii="Calibri" w:hAnsi="Calibri" w:cs="Calibri"/>
          <w:b/>
          <w:bCs/>
          <w:color w:val="C00000"/>
          <w:sz w:val="28"/>
          <w:szCs w:val="28"/>
          <w:shd w:val="clear" w:color="auto" w:fill="FFFFFF"/>
          <w:lang w:val="en"/>
        </w:rPr>
        <w:t>Eff July 2024</w:t>
      </w:r>
    </w:p>
    <w:p w14:paraId="6414A9E4" w14:textId="77777777" w:rsidR="00ED58D7" w:rsidRPr="00DD7BD1" w:rsidRDefault="00ED58D7" w:rsidP="00ED58D7">
      <w:pPr>
        <w:pStyle w:val="BodyText"/>
        <w:spacing w:after="0" w:line="240" w:lineRule="auto"/>
        <w:rPr>
          <w:rFonts w:cs="Calibri"/>
          <w:szCs w:val="22"/>
        </w:rPr>
      </w:pPr>
      <w:r w:rsidRPr="00DD7BD1">
        <w:rPr>
          <w:rFonts w:cs="Calibri"/>
          <w:color w:val="auto"/>
          <w:szCs w:val="22"/>
        </w:rPr>
        <w:t xml:space="preserve">The Wyoming OSHA Commission </w:t>
      </w:r>
      <w:hyperlink r:id="rId1114"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its rules to align Wyoming civil penalties for occupational safety and health citations with the corresponding federal OSHA penalties. </w:t>
      </w:r>
    </w:p>
    <w:p w14:paraId="07C67CC7"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rPr>
        <w:t>Penalty Changes Overview</w:t>
      </w:r>
    </w:p>
    <w:p w14:paraId="64AD95D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Wyoming changes to penalty fees include minimum and maximum penalties for each type of citation. The civil penalties changes are as follows:</w:t>
      </w:r>
    </w:p>
    <w:p w14:paraId="72593D40"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Willful violation—The </w:t>
      </w:r>
      <w:proofErr w:type="gramStart"/>
      <w:r w:rsidRPr="00DD7BD1">
        <w:rPr>
          <w:rFonts w:cs="Calibri"/>
          <w:color w:val="auto"/>
          <w:szCs w:val="22"/>
        </w:rPr>
        <w:t>penalty minimum</w:t>
      </w:r>
      <w:proofErr w:type="gramEnd"/>
      <w:r w:rsidRPr="00DD7BD1">
        <w:rPr>
          <w:rFonts w:cs="Calibri"/>
          <w:color w:val="auto"/>
          <w:szCs w:val="22"/>
        </w:rPr>
        <w:t xml:space="preserve"> increased from $11,162 to $11,524 per violation, and the maximum amount per violation increased from $156,259 to $161,323.</w:t>
      </w:r>
    </w:p>
    <w:p w14:paraId="648FC7A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Repeated violation—The penalty minimum increased from $11,162 to $11,524 per violation, and the maximum amount per violation increased from $156,259 to $161,323. </w:t>
      </w:r>
    </w:p>
    <w:p w14:paraId="7AEAE778"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Serious violation—The penalty minimum increased from $1,116 to $1,190 per violation, and the maximum amount per violation increased from $15,625 to $16,131.</w:t>
      </w:r>
    </w:p>
    <w:p w14:paraId="20BEE154"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Other-than-serious violation—The maximum penalties increased from $15,625 to $16,131.</w:t>
      </w:r>
    </w:p>
    <w:p w14:paraId="55D71B5F"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Failure to correct violation—The maximum penalties increased from $15,625 to $16,131.</w:t>
      </w:r>
    </w:p>
    <w:p w14:paraId="3841ECC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Posting, reporting or recordkeeping violation—The maximum penalties increased from $15,625 to $16,131.</w:t>
      </w:r>
    </w:p>
    <w:p w14:paraId="5425129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DD7BD1" w:rsidRDefault="00ED58D7" w:rsidP="00ED58D7">
      <w:pPr>
        <w:pStyle w:val="SubHeader"/>
        <w:spacing w:line="240" w:lineRule="auto"/>
        <w:rPr>
          <w:rFonts w:cs="Calibri"/>
          <w:color w:val="auto"/>
          <w:sz w:val="16"/>
          <w:szCs w:val="16"/>
        </w:rPr>
      </w:pPr>
    </w:p>
    <w:p w14:paraId="72560A6E"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highlight w:val="lightGray"/>
        </w:rPr>
        <w:lastRenderedPageBreak/>
        <w:t>Employer Takeaway:</w:t>
      </w:r>
      <w:r w:rsidRPr="00DD7BD1">
        <w:rPr>
          <w:rFonts w:cs="Calibri"/>
          <w:color w:val="auto"/>
          <w:sz w:val="22"/>
          <w:szCs w:val="22"/>
        </w:rPr>
        <w:t xml:space="preserve"> </w:t>
      </w:r>
      <w:r w:rsidRPr="00DD7BD1">
        <w:rPr>
          <w:rFonts w:cs="Calibri"/>
          <w:b w:val="0"/>
          <w:bCs/>
          <w:color w:val="auto"/>
          <w:sz w:val="22"/>
          <w:szCs w:val="22"/>
        </w:rPr>
        <w:t>Employers should become familiar with the new penalty amounts and review their safety protocols to ensure compliance with Wyoming OSHA regulations.</w:t>
      </w:r>
    </w:p>
    <w:p w14:paraId="774703F8" w14:textId="77777777" w:rsidR="00ED58D7" w:rsidRPr="00DD7BD1" w:rsidRDefault="00ED58D7" w:rsidP="009040C5">
      <w:pPr>
        <w:shd w:val="clear" w:color="auto" w:fill="FFFFFF"/>
        <w:spacing w:after="0" w:line="240" w:lineRule="auto"/>
        <w:jc w:val="both"/>
        <w:rPr>
          <w:rFonts w:ascii="Calibri" w:eastAsia="Times New Roman" w:hAnsi="Calibri" w:cs="Calibri"/>
        </w:rPr>
      </w:pPr>
    </w:p>
    <w:bookmarkEnd w:id="0"/>
    <w:p w14:paraId="4FB126EC" w14:textId="25FCAE6E" w:rsidR="008151E2" w:rsidRPr="00DD7BD1" w:rsidRDefault="008151E2" w:rsidP="007E1EB5">
      <w:pPr>
        <w:pStyle w:val="NormalWeb"/>
        <w:shd w:val="clear" w:color="auto" w:fill="FFFFFF"/>
        <w:spacing w:before="0" w:beforeAutospacing="0" w:after="0" w:afterAutospacing="0"/>
        <w:rPr>
          <w:rFonts w:ascii="Calibri" w:hAnsi="Calibri" w:cs="Calibri"/>
          <w:spacing w:val="3"/>
          <w:sz w:val="20"/>
          <w:szCs w:val="20"/>
        </w:rPr>
      </w:pPr>
    </w:p>
    <w:p w14:paraId="36FBAF46" w14:textId="2E3BFC9E" w:rsidR="00450F9B" w:rsidRPr="00DD7BD1" w:rsidRDefault="00CD639F" w:rsidP="00E96844">
      <w:pPr>
        <w:spacing w:after="0" w:line="240" w:lineRule="auto"/>
        <w:jc w:val="center"/>
        <w:rPr>
          <w:rFonts w:ascii="Calibri" w:eastAsia="Times New Roman" w:hAnsi="Calibri" w:cs="Calibri"/>
          <w:color w:val="C00000"/>
          <w:sz w:val="26"/>
          <w:szCs w:val="26"/>
        </w:rPr>
      </w:pPr>
      <w:bookmarkStart w:id="148" w:name="_Hlk165893272"/>
      <w:r w:rsidRPr="00DD7BD1">
        <w:rPr>
          <w:rFonts w:ascii="Calibri" w:eastAsia="Times New Roman" w:hAnsi="Calibri" w:cs="Calibri"/>
          <w:b/>
          <w:bCs/>
          <w:color w:val="C00000"/>
          <w:sz w:val="26"/>
          <w:szCs w:val="26"/>
        </w:rPr>
        <w:t xml:space="preserve">The </w:t>
      </w:r>
      <w:r w:rsidR="00E96844" w:rsidRPr="00DD7BD1">
        <w:rPr>
          <w:rFonts w:ascii="Calibri" w:eastAsia="Times New Roman" w:hAnsi="Calibri" w:cs="Calibri"/>
          <w:b/>
          <w:bCs/>
          <w:color w:val="C00000"/>
          <w:sz w:val="26"/>
          <w:szCs w:val="26"/>
        </w:rPr>
        <w:t>WIRE</w:t>
      </w:r>
      <w:r w:rsidRPr="00DD7BD1">
        <w:rPr>
          <w:rFonts w:ascii="Calibri" w:eastAsia="Times New Roman" w:hAnsi="Calibri" w:cs="Calibri"/>
          <w:b/>
          <w:bCs/>
          <w:color w:val="C00000"/>
          <w:sz w:val="26"/>
          <w:szCs w:val="26"/>
        </w:rPr>
        <w:t xml:space="preserve"> is</w:t>
      </w:r>
      <w:r w:rsidR="00E96844" w:rsidRPr="00DD7BD1">
        <w:rPr>
          <w:rFonts w:ascii="Calibri" w:eastAsia="Times New Roman" w:hAnsi="Calibri" w:cs="Calibri"/>
          <w:b/>
          <w:bCs/>
          <w:color w:val="C00000"/>
          <w:sz w:val="26"/>
          <w:szCs w:val="26"/>
        </w:rPr>
        <w:t xml:space="preserve"> for</w:t>
      </w:r>
      <w:r w:rsidRPr="00DD7BD1">
        <w:rPr>
          <w:rFonts w:ascii="Calibri" w:eastAsia="Times New Roman" w:hAnsi="Calibri" w:cs="Calibri"/>
          <w:b/>
          <w:bCs/>
          <w:color w:val="C00000"/>
          <w:sz w:val="26"/>
          <w:szCs w:val="26"/>
        </w:rPr>
        <w:t xml:space="preserve"> informational purposes only and should not be construed as legal advice.</w:t>
      </w:r>
      <w:bookmarkEnd w:id="148"/>
    </w:p>
    <w:sectPr w:rsidR="00450F9B" w:rsidRPr="00DD7BD1" w:rsidSect="006242BE">
      <w:headerReference w:type="default" r:id="rId1115"/>
      <w:footerReference w:type="default" r:id="rId1116"/>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E4E73" w14:textId="77777777" w:rsidR="00B550A8" w:rsidRDefault="00B550A8" w:rsidP="003A105A">
      <w:pPr>
        <w:spacing w:after="0" w:line="240" w:lineRule="auto"/>
      </w:pPr>
      <w:r>
        <w:separator/>
      </w:r>
    </w:p>
  </w:endnote>
  <w:endnote w:type="continuationSeparator" w:id="0">
    <w:p w14:paraId="2B828CBE" w14:textId="77777777" w:rsidR="00B550A8" w:rsidRDefault="00B550A8"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9C670" w14:textId="77777777" w:rsidR="00B550A8" w:rsidRDefault="00B550A8" w:rsidP="003A105A">
      <w:pPr>
        <w:spacing w:after="0" w:line="240" w:lineRule="auto"/>
      </w:pPr>
      <w:r>
        <w:separator/>
      </w:r>
    </w:p>
  </w:footnote>
  <w:footnote w:type="continuationSeparator" w:id="0">
    <w:p w14:paraId="4B10B4F5" w14:textId="77777777" w:rsidR="00B550A8" w:rsidRDefault="00B550A8"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622B7DE3" w:rsidR="003A105A" w:rsidRDefault="00A03081" w:rsidP="00F13718">
    <w:pPr>
      <w:pStyle w:val="Header"/>
      <w:tabs>
        <w:tab w:val="clear" w:pos="4680"/>
        <w:tab w:val="clear" w:pos="9360"/>
        <w:tab w:val="left" w:pos="11520"/>
      </w:tabs>
      <w:ind w:left="-360"/>
    </w:pPr>
    <w:r>
      <w:rPr>
        <w:noProof/>
      </w:rPr>
      <mc:AlternateContent>
        <mc:Choice Requires="wps">
          <w:drawing>
            <wp:anchor distT="0" distB="0" distL="114300" distR="114300" simplePos="0" relativeHeight="251659264" behindDoc="0" locked="0" layoutInCell="1" allowOverlap="1" wp14:anchorId="3989572F" wp14:editId="32CFE772">
              <wp:simplePos x="0" y="0"/>
              <wp:positionH relativeFrom="page">
                <wp:posOffset>-1548714</wp:posOffset>
              </wp:positionH>
              <wp:positionV relativeFrom="paragraph">
                <wp:posOffset>-638432</wp:posOffset>
              </wp:positionV>
              <wp:extent cx="9465276" cy="1103870"/>
              <wp:effectExtent l="0" t="0" r="3175" b="1270"/>
              <wp:wrapNone/>
              <wp:docPr id="1740631711" name="Rectangle 3"/>
              <wp:cNvGraphicFramePr/>
              <a:graphic xmlns:a="http://schemas.openxmlformats.org/drawingml/2006/main">
                <a:graphicData uri="http://schemas.microsoft.com/office/word/2010/wordprocessingShape">
                  <wps:wsp>
                    <wps:cNvSpPr/>
                    <wps:spPr>
                      <a:xfrm>
                        <a:off x="0" y="0"/>
                        <a:ext cx="9465276" cy="1103870"/>
                      </a:xfrm>
                      <a:prstGeom prst="rect">
                        <a:avLst/>
                      </a:prstGeom>
                      <a:solidFill>
                        <a:srgbClr val="0E425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14584" id="Rectangle 3" o:spid="_x0000_s1026" style="position:absolute;margin-left:-121.95pt;margin-top:-50.25pt;width:745.3pt;height:86.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" fillcolor="#0e425c"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1C2E91"/>
    <w:multiLevelType w:val="hybridMultilevel"/>
    <w:tmpl w:val="37D07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3F73D6"/>
    <w:multiLevelType w:val="hybridMultilevel"/>
    <w:tmpl w:val="633EB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375B1D"/>
    <w:multiLevelType w:val="multilevel"/>
    <w:tmpl w:val="6D48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1A6C6B"/>
    <w:multiLevelType w:val="hybridMultilevel"/>
    <w:tmpl w:val="0DF6FB72"/>
    <w:lvl w:ilvl="0" w:tplc="4BC2D1F2">
      <w:start w:val="1"/>
      <w:numFmt w:val="bullet"/>
      <w:lvlText w:val=""/>
      <w:lvlJc w:val="left"/>
      <w:pPr>
        <w:ind w:left="720" w:hanging="360"/>
      </w:pPr>
      <w:rPr>
        <w:rFonts w:ascii="Symbol" w:hAnsi="Symbol" w:hint="default"/>
        <w:color w:val="000000" w:themeColor="text1"/>
        <w:sz w:val="20"/>
        <w:szCs w:val="20"/>
      </w:rPr>
    </w:lvl>
    <w:lvl w:ilvl="1" w:tplc="D5B89F08">
      <w:start w:val="1"/>
      <w:numFmt w:val="bullet"/>
      <w:lvlText w:val="o"/>
      <w:lvlJc w:val="left"/>
      <w:pPr>
        <w:ind w:left="1440" w:hanging="360"/>
      </w:pPr>
      <w:rPr>
        <w:rFonts w:ascii="Courier New" w:hAnsi="Courier New" w:cs="Courier New" w:hint="default"/>
        <w:sz w:val="18"/>
        <w:szCs w:val="1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5BE72B1"/>
    <w:multiLevelType w:val="hybridMultilevel"/>
    <w:tmpl w:val="95821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5E60B40"/>
    <w:multiLevelType w:val="hybridMultilevel"/>
    <w:tmpl w:val="7F101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60A6299"/>
    <w:multiLevelType w:val="multilevel"/>
    <w:tmpl w:val="C93C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6326A81"/>
    <w:multiLevelType w:val="multilevel"/>
    <w:tmpl w:val="FA2C0FA6"/>
    <w:lvl w:ilvl="0">
      <w:numFmt w:val="bullet"/>
      <w:lvlText w:val=""/>
      <w:lvlJc w:val="left"/>
      <w:pPr>
        <w:ind w:left="720" w:hanging="360"/>
      </w:pPr>
      <w:rPr>
        <w:rFonts w:ascii="Symbol" w:hAnsi="Symbol"/>
      </w:rPr>
    </w:lvl>
    <w:lvl w:ilvl="1">
      <w:start w:val="1"/>
      <w:numFmt w:val="bullet"/>
      <w:lvlText w:val="o"/>
      <w:lvlJc w:val="left"/>
      <w:pPr>
        <w:ind w:left="1800" w:hanging="360"/>
      </w:pPr>
      <w:rPr>
        <w:rFonts w:ascii="Courier New" w:hAnsi="Courier New" w:cs="Courier New"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7EE5C14"/>
    <w:multiLevelType w:val="multilevel"/>
    <w:tmpl w:val="81E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E41AF7"/>
    <w:multiLevelType w:val="hybridMultilevel"/>
    <w:tmpl w:val="66C85BF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30"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AB90C11"/>
    <w:multiLevelType w:val="hybridMultilevel"/>
    <w:tmpl w:val="1BACD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4"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CCD3FC9"/>
    <w:multiLevelType w:val="multilevel"/>
    <w:tmpl w:val="719CF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F65362D"/>
    <w:multiLevelType w:val="multilevel"/>
    <w:tmpl w:val="31141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0B1FF8"/>
    <w:multiLevelType w:val="hybridMultilevel"/>
    <w:tmpl w:val="5D341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08E4B10"/>
    <w:multiLevelType w:val="hybridMultilevel"/>
    <w:tmpl w:val="18F2605A"/>
    <w:lvl w:ilvl="0" w:tplc="ED9AD1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0B073DC"/>
    <w:multiLevelType w:val="multilevel"/>
    <w:tmpl w:val="45CE4BB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10B23653"/>
    <w:multiLevelType w:val="hybridMultilevel"/>
    <w:tmpl w:val="BFCA1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1720852"/>
    <w:multiLevelType w:val="multilevel"/>
    <w:tmpl w:val="B05C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57" w15:restartNumberingAfterBreak="0">
    <w:nsid w:val="12DB1FB1"/>
    <w:multiLevelType w:val="multilevel"/>
    <w:tmpl w:val="086E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35A2765"/>
    <w:multiLevelType w:val="hybridMultilevel"/>
    <w:tmpl w:val="BE122EB4"/>
    <w:lvl w:ilvl="0" w:tplc="2594E8C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62"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4357781"/>
    <w:multiLevelType w:val="multilevel"/>
    <w:tmpl w:val="E8B6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50525E2"/>
    <w:multiLevelType w:val="multilevel"/>
    <w:tmpl w:val="2618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5372070"/>
    <w:multiLevelType w:val="hybridMultilevel"/>
    <w:tmpl w:val="39C6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8A64AFE"/>
    <w:multiLevelType w:val="multilevel"/>
    <w:tmpl w:val="7C42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96D290A"/>
    <w:multiLevelType w:val="multilevel"/>
    <w:tmpl w:val="2F34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78"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C1C2297"/>
    <w:multiLevelType w:val="multilevel"/>
    <w:tmpl w:val="E8ACA2F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D661403"/>
    <w:multiLevelType w:val="hybridMultilevel"/>
    <w:tmpl w:val="1D44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B1BE752C">
      <w:start w:val="303"/>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1DDA5894"/>
    <w:multiLevelType w:val="multilevel"/>
    <w:tmpl w:val="EE7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1E362AAD"/>
    <w:multiLevelType w:val="hybridMultilevel"/>
    <w:tmpl w:val="D7A0D6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1EAA061C"/>
    <w:multiLevelType w:val="hybridMultilevel"/>
    <w:tmpl w:val="38FA39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1F3B5D2C"/>
    <w:multiLevelType w:val="multilevel"/>
    <w:tmpl w:val="68BC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8"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2AA0AD1"/>
    <w:multiLevelType w:val="hybridMultilevel"/>
    <w:tmpl w:val="82A8C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2CE64E3"/>
    <w:multiLevelType w:val="multilevel"/>
    <w:tmpl w:val="4C5A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2EF64BD"/>
    <w:multiLevelType w:val="hybridMultilevel"/>
    <w:tmpl w:val="EDB00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42C5228"/>
    <w:multiLevelType w:val="multilevel"/>
    <w:tmpl w:val="0522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45F0ED3"/>
    <w:multiLevelType w:val="hybridMultilevel"/>
    <w:tmpl w:val="CFEE96D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6"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259801B5"/>
    <w:multiLevelType w:val="hybridMultilevel"/>
    <w:tmpl w:val="38103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79F40C8"/>
    <w:multiLevelType w:val="multilevel"/>
    <w:tmpl w:val="17E8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28"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BFF2068"/>
    <w:multiLevelType w:val="multilevel"/>
    <w:tmpl w:val="B8F6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C241B3D"/>
    <w:multiLevelType w:val="multilevel"/>
    <w:tmpl w:val="6B7A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C2B1D93"/>
    <w:multiLevelType w:val="multilevel"/>
    <w:tmpl w:val="9846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39"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2CF604FC"/>
    <w:multiLevelType w:val="multilevel"/>
    <w:tmpl w:val="BB62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D0F668C"/>
    <w:multiLevelType w:val="multilevel"/>
    <w:tmpl w:val="BA3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D415F77"/>
    <w:multiLevelType w:val="multilevel"/>
    <w:tmpl w:val="58B8F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30F034EC"/>
    <w:multiLevelType w:val="multilevel"/>
    <w:tmpl w:val="F9BEB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1"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36D095A"/>
    <w:multiLevelType w:val="multilevel"/>
    <w:tmpl w:val="DBD0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3494480F"/>
    <w:multiLevelType w:val="multilevel"/>
    <w:tmpl w:val="4B64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55F2E74"/>
    <w:multiLevelType w:val="hybridMultilevel"/>
    <w:tmpl w:val="C70A4D40"/>
    <w:lvl w:ilvl="0" w:tplc="10285586">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37335281"/>
    <w:multiLevelType w:val="multilevel"/>
    <w:tmpl w:val="EC0A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8914C45"/>
    <w:multiLevelType w:val="multilevel"/>
    <w:tmpl w:val="5F40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3" w15:restartNumberingAfterBreak="0">
    <w:nsid w:val="39FD6B9D"/>
    <w:multiLevelType w:val="multilevel"/>
    <w:tmpl w:val="52C81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3AD408AD"/>
    <w:multiLevelType w:val="multilevel"/>
    <w:tmpl w:val="0742C9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D5E6DEA"/>
    <w:multiLevelType w:val="hybridMultilevel"/>
    <w:tmpl w:val="EDB84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3"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3F067C3E"/>
    <w:multiLevelType w:val="multilevel"/>
    <w:tmpl w:val="4BEA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2"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94"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42631AE7"/>
    <w:multiLevelType w:val="hybridMultilevel"/>
    <w:tmpl w:val="9EBC1E98"/>
    <w:lvl w:ilvl="0" w:tplc="E26019C6">
      <w:start w:val="1"/>
      <w:numFmt w:val="bullet"/>
      <w:lvlText w:val=""/>
      <w:lvlJc w:val="left"/>
      <w:pPr>
        <w:ind w:left="720" w:hanging="360"/>
      </w:pPr>
      <w:rPr>
        <w:rFonts w:ascii="Symbol" w:hAnsi="Symbol" w:hint="default"/>
      </w:rPr>
    </w:lvl>
    <w:lvl w:ilvl="1" w:tplc="34F879CC" w:tentative="1">
      <w:start w:val="1"/>
      <w:numFmt w:val="bullet"/>
      <w:lvlText w:val="o"/>
      <w:lvlJc w:val="left"/>
      <w:pPr>
        <w:ind w:left="1440" w:hanging="360"/>
      </w:pPr>
      <w:rPr>
        <w:rFonts w:ascii="Courier New" w:hAnsi="Courier New" w:cs="Courier New" w:hint="default"/>
      </w:rPr>
    </w:lvl>
    <w:lvl w:ilvl="2" w:tplc="F424D4A2" w:tentative="1">
      <w:start w:val="1"/>
      <w:numFmt w:val="bullet"/>
      <w:lvlText w:val=""/>
      <w:lvlJc w:val="left"/>
      <w:pPr>
        <w:ind w:left="2160" w:hanging="360"/>
      </w:pPr>
      <w:rPr>
        <w:rFonts w:ascii="Wingdings" w:hAnsi="Wingdings" w:hint="default"/>
      </w:rPr>
    </w:lvl>
    <w:lvl w:ilvl="3" w:tplc="F626974E" w:tentative="1">
      <w:start w:val="1"/>
      <w:numFmt w:val="bullet"/>
      <w:lvlText w:val=""/>
      <w:lvlJc w:val="left"/>
      <w:pPr>
        <w:ind w:left="2880" w:hanging="360"/>
      </w:pPr>
      <w:rPr>
        <w:rFonts w:ascii="Symbol" w:hAnsi="Symbol" w:hint="default"/>
      </w:rPr>
    </w:lvl>
    <w:lvl w:ilvl="4" w:tplc="F1749950" w:tentative="1">
      <w:start w:val="1"/>
      <w:numFmt w:val="bullet"/>
      <w:lvlText w:val="o"/>
      <w:lvlJc w:val="left"/>
      <w:pPr>
        <w:ind w:left="3600" w:hanging="360"/>
      </w:pPr>
      <w:rPr>
        <w:rFonts w:ascii="Courier New" w:hAnsi="Courier New" w:cs="Courier New" w:hint="default"/>
      </w:rPr>
    </w:lvl>
    <w:lvl w:ilvl="5" w:tplc="17880CA4" w:tentative="1">
      <w:start w:val="1"/>
      <w:numFmt w:val="bullet"/>
      <w:lvlText w:val=""/>
      <w:lvlJc w:val="left"/>
      <w:pPr>
        <w:ind w:left="4320" w:hanging="360"/>
      </w:pPr>
      <w:rPr>
        <w:rFonts w:ascii="Wingdings" w:hAnsi="Wingdings" w:hint="default"/>
      </w:rPr>
    </w:lvl>
    <w:lvl w:ilvl="6" w:tplc="304EA690" w:tentative="1">
      <w:start w:val="1"/>
      <w:numFmt w:val="bullet"/>
      <w:lvlText w:val=""/>
      <w:lvlJc w:val="left"/>
      <w:pPr>
        <w:ind w:left="5040" w:hanging="360"/>
      </w:pPr>
      <w:rPr>
        <w:rFonts w:ascii="Symbol" w:hAnsi="Symbol" w:hint="default"/>
      </w:rPr>
    </w:lvl>
    <w:lvl w:ilvl="7" w:tplc="4EA2F640" w:tentative="1">
      <w:start w:val="1"/>
      <w:numFmt w:val="bullet"/>
      <w:lvlText w:val="o"/>
      <w:lvlJc w:val="left"/>
      <w:pPr>
        <w:ind w:left="5760" w:hanging="360"/>
      </w:pPr>
      <w:rPr>
        <w:rFonts w:ascii="Courier New" w:hAnsi="Courier New" w:cs="Courier New" w:hint="default"/>
      </w:rPr>
    </w:lvl>
    <w:lvl w:ilvl="8" w:tplc="979EF874" w:tentative="1">
      <w:start w:val="1"/>
      <w:numFmt w:val="bullet"/>
      <w:lvlText w:val=""/>
      <w:lvlJc w:val="left"/>
      <w:pPr>
        <w:ind w:left="6480" w:hanging="360"/>
      </w:pPr>
      <w:rPr>
        <w:rFonts w:ascii="Wingdings" w:hAnsi="Wingdings" w:hint="default"/>
      </w:rPr>
    </w:lvl>
  </w:abstractNum>
  <w:abstractNum w:abstractNumId="200"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4" w15:restartNumberingAfterBreak="0">
    <w:nsid w:val="448B4B01"/>
    <w:multiLevelType w:val="hybridMultilevel"/>
    <w:tmpl w:val="3112CE9C"/>
    <w:lvl w:ilvl="0" w:tplc="ACA4A7C8">
      <w:numFmt w:val="bullet"/>
      <w:lvlText w:val="-"/>
      <w:lvlJc w:val="left"/>
      <w:pPr>
        <w:ind w:left="0" w:hanging="360"/>
      </w:pPr>
      <w:rPr>
        <w:rFonts w:ascii="Calibri" w:eastAsiaTheme="majorEastAsia" w:hAnsi="Calibri" w:cs="Calibri" w:hint="default"/>
        <w:color w:val="0C425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5"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4CF0569"/>
    <w:multiLevelType w:val="hybridMultilevel"/>
    <w:tmpl w:val="970A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4563380E"/>
    <w:multiLevelType w:val="multilevel"/>
    <w:tmpl w:val="2452E7AC"/>
    <w:lvl w:ilvl="0">
      <w:start w:val="1"/>
      <w:numFmt w:val="bullet"/>
      <w:lvlText w:val="o"/>
      <w:lvlJc w:val="left"/>
      <w:pPr>
        <w:ind w:left="720" w:hanging="360"/>
      </w:pPr>
      <w:rPr>
        <w:rFonts w:ascii="Courier New" w:hAnsi="Courier New" w:cs="Courier New" w:hint="default"/>
      </w:rPr>
    </w:lvl>
    <w:lvl w:ilvl="1">
      <w:numFmt w:val="bullet"/>
      <w:lvlText w:val=""/>
      <w:lvlJc w:val="left"/>
      <w:pPr>
        <w:ind w:left="1440" w:hanging="360"/>
      </w:pPr>
      <w:rPr>
        <w:rFonts w:ascii="Symbol" w:eastAsia="Symbol" w:hAnsi="Symbol" w:cs="Symbol"/>
        <w:b w:val="0"/>
        <w:bCs w:val="0"/>
        <w:i w:val="0"/>
        <w:iCs w:val="0"/>
        <w:spacing w:val="0"/>
        <w:w w:val="100"/>
        <w:sz w:val="20"/>
        <w:szCs w:val="20"/>
        <w:lang w:val="en-US" w:eastAsia="en-US" w:bidi="ar-SA"/>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8"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65320E1"/>
    <w:multiLevelType w:val="multilevel"/>
    <w:tmpl w:val="0A94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212"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4"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218"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485C37DB"/>
    <w:multiLevelType w:val="hybridMultilevel"/>
    <w:tmpl w:val="02FCC4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20"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AD466D3"/>
    <w:multiLevelType w:val="hybridMultilevel"/>
    <w:tmpl w:val="D5965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4B042647"/>
    <w:multiLevelType w:val="hybridMultilevel"/>
    <w:tmpl w:val="6F28ED82"/>
    <w:lvl w:ilvl="0" w:tplc="460461E8">
      <w:start w:val="1"/>
      <w:numFmt w:val="bullet"/>
      <w:lvlText w:val=""/>
      <w:lvlJc w:val="left"/>
      <w:pPr>
        <w:ind w:left="720" w:hanging="360"/>
      </w:pPr>
      <w:rPr>
        <w:rFonts w:ascii="Symbol" w:hAnsi="Symbol" w:hint="default"/>
        <w:color w:val="833C0B" w:themeColor="accent2" w:themeShade="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C367EC0"/>
    <w:multiLevelType w:val="hybridMultilevel"/>
    <w:tmpl w:val="F376AE38"/>
    <w:lvl w:ilvl="0" w:tplc="4F3ABE02">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DDF2C24"/>
    <w:multiLevelType w:val="hybridMultilevel"/>
    <w:tmpl w:val="26366F94"/>
    <w:lvl w:ilvl="0" w:tplc="690676AC">
      <w:start w:val="1"/>
      <w:numFmt w:val="bullet"/>
      <w:lvlText w:val=""/>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7"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239" w15:restartNumberingAfterBreak="0">
    <w:nsid w:val="4E795047"/>
    <w:multiLevelType w:val="hybridMultilevel"/>
    <w:tmpl w:val="0FBAA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43"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FD15D8E"/>
    <w:multiLevelType w:val="hybridMultilevel"/>
    <w:tmpl w:val="DA7C4696"/>
    <w:lvl w:ilvl="0" w:tplc="414A4816">
      <w:start w:val="1"/>
      <w:numFmt w:val="decimal"/>
      <w:lvlText w:val="%1."/>
      <w:lvlJc w:val="left"/>
      <w:pPr>
        <w:ind w:left="720" w:hanging="360"/>
      </w:pPr>
      <w:rPr>
        <w:rFonts w:hint="default"/>
        <w:color w:val="auto"/>
      </w:rPr>
    </w:lvl>
    <w:lvl w:ilvl="1" w:tplc="452AE3A6">
      <w:start w:val="1"/>
      <w:numFmt w:val="bullet"/>
      <w:lvlText w:val="o"/>
      <w:lvlJc w:val="left"/>
      <w:pPr>
        <w:ind w:left="1440" w:hanging="360"/>
      </w:pPr>
      <w:rPr>
        <w:rFonts w:ascii="Courier New" w:hAnsi="Courier New" w:cs="Courier New" w:hint="default"/>
      </w:rPr>
    </w:lvl>
    <w:lvl w:ilvl="2" w:tplc="073CD34C">
      <w:start w:val="1"/>
      <w:numFmt w:val="bullet"/>
      <w:lvlText w:val=""/>
      <w:lvlJc w:val="left"/>
      <w:pPr>
        <w:ind w:left="2160" w:hanging="360"/>
      </w:pPr>
      <w:rPr>
        <w:rFonts w:ascii="Wingdings" w:hAnsi="Wingdings" w:hint="default"/>
      </w:rPr>
    </w:lvl>
    <w:lvl w:ilvl="3" w:tplc="B27E3360">
      <w:start w:val="1"/>
      <w:numFmt w:val="bullet"/>
      <w:lvlText w:val=""/>
      <w:lvlJc w:val="left"/>
      <w:pPr>
        <w:ind w:left="2880" w:hanging="360"/>
      </w:pPr>
      <w:rPr>
        <w:rFonts w:ascii="Symbol" w:hAnsi="Symbol" w:hint="default"/>
      </w:rPr>
    </w:lvl>
    <w:lvl w:ilvl="4" w:tplc="36221AD2" w:tentative="1">
      <w:start w:val="1"/>
      <w:numFmt w:val="bullet"/>
      <w:lvlText w:val="o"/>
      <w:lvlJc w:val="left"/>
      <w:pPr>
        <w:ind w:left="3600" w:hanging="360"/>
      </w:pPr>
      <w:rPr>
        <w:rFonts w:ascii="Courier New" w:hAnsi="Courier New" w:cs="Courier New" w:hint="default"/>
      </w:rPr>
    </w:lvl>
    <w:lvl w:ilvl="5" w:tplc="6ECCE9B0" w:tentative="1">
      <w:start w:val="1"/>
      <w:numFmt w:val="bullet"/>
      <w:lvlText w:val=""/>
      <w:lvlJc w:val="left"/>
      <w:pPr>
        <w:ind w:left="4320" w:hanging="360"/>
      </w:pPr>
      <w:rPr>
        <w:rFonts w:ascii="Wingdings" w:hAnsi="Wingdings" w:hint="default"/>
      </w:rPr>
    </w:lvl>
    <w:lvl w:ilvl="6" w:tplc="BB367B48" w:tentative="1">
      <w:start w:val="1"/>
      <w:numFmt w:val="bullet"/>
      <w:lvlText w:val=""/>
      <w:lvlJc w:val="left"/>
      <w:pPr>
        <w:ind w:left="5040" w:hanging="360"/>
      </w:pPr>
      <w:rPr>
        <w:rFonts w:ascii="Symbol" w:hAnsi="Symbol" w:hint="default"/>
      </w:rPr>
    </w:lvl>
    <w:lvl w:ilvl="7" w:tplc="1AC2DB1A" w:tentative="1">
      <w:start w:val="1"/>
      <w:numFmt w:val="bullet"/>
      <w:lvlText w:val="o"/>
      <w:lvlJc w:val="left"/>
      <w:pPr>
        <w:ind w:left="5760" w:hanging="360"/>
      </w:pPr>
      <w:rPr>
        <w:rFonts w:ascii="Courier New" w:hAnsi="Courier New" w:cs="Courier New" w:hint="default"/>
      </w:rPr>
    </w:lvl>
    <w:lvl w:ilvl="8" w:tplc="3572D312" w:tentative="1">
      <w:start w:val="1"/>
      <w:numFmt w:val="bullet"/>
      <w:lvlText w:val=""/>
      <w:lvlJc w:val="left"/>
      <w:pPr>
        <w:ind w:left="6480" w:hanging="360"/>
      </w:pPr>
      <w:rPr>
        <w:rFonts w:ascii="Wingdings" w:hAnsi="Wingdings" w:hint="default"/>
      </w:rPr>
    </w:lvl>
  </w:abstractNum>
  <w:abstractNum w:abstractNumId="246"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51707F1C"/>
    <w:multiLevelType w:val="hybridMultilevel"/>
    <w:tmpl w:val="34AC3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3"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531E5A2C"/>
    <w:multiLevelType w:val="multilevel"/>
    <w:tmpl w:val="0312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56"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54CE3165"/>
    <w:multiLevelType w:val="hybridMultilevel"/>
    <w:tmpl w:val="4678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554F79D9"/>
    <w:multiLevelType w:val="multilevel"/>
    <w:tmpl w:val="9DF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55987238"/>
    <w:multiLevelType w:val="hybridMultilevel"/>
    <w:tmpl w:val="B2724B1A"/>
    <w:lvl w:ilvl="0" w:tplc="B2E2FF2C">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576D3C35"/>
    <w:multiLevelType w:val="multilevel"/>
    <w:tmpl w:val="ED1E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75"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B9B0B81"/>
    <w:multiLevelType w:val="multilevel"/>
    <w:tmpl w:val="FE48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BB45C6B"/>
    <w:multiLevelType w:val="hybridMultilevel"/>
    <w:tmpl w:val="8E02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CC12BC5"/>
    <w:multiLevelType w:val="hybridMultilevel"/>
    <w:tmpl w:val="DB74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DCB7984"/>
    <w:multiLevelType w:val="multilevel"/>
    <w:tmpl w:val="0216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9"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5"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61E14791"/>
    <w:multiLevelType w:val="multilevel"/>
    <w:tmpl w:val="8DB834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61E42452"/>
    <w:multiLevelType w:val="hybridMultilevel"/>
    <w:tmpl w:val="306C0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1"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631C6DC3"/>
    <w:multiLevelType w:val="multilevel"/>
    <w:tmpl w:val="610C7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64251F5D"/>
    <w:multiLevelType w:val="hybridMultilevel"/>
    <w:tmpl w:val="EF620A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64420B44"/>
    <w:multiLevelType w:val="hybridMultilevel"/>
    <w:tmpl w:val="183632D0"/>
    <w:lvl w:ilvl="0" w:tplc="A692AD10">
      <w:start w:val="1"/>
      <w:numFmt w:val="bullet"/>
      <w:lvlText w:val="o"/>
      <w:lvlJc w:val="left"/>
      <w:pPr>
        <w:ind w:left="1440" w:hanging="360"/>
      </w:pPr>
      <w:rPr>
        <w:rFonts w:ascii="Courier New" w:hAnsi="Courier New" w:cs="Courier New"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1" w15:restartNumberingAfterBreak="0">
    <w:nsid w:val="64821C74"/>
    <w:multiLevelType w:val="multilevel"/>
    <w:tmpl w:val="A1D4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64A14866"/>
    <w:multiLevelType w:val="multilevel"/>
    <w:tmpl w:val="7020E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15:restartNumberingAfterBreak="0">
    <w:nsid w:val="651C3FD1"/>
    <w:multiLevelType w:val="hybridMultilevel"/>
    <w:tmpl w:val="0D700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68FE3350"/>
    <w:multiLevelType w:val="multilevel"/>
    <w:tmpl w:val="7EE8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696F2346"/>
    <w:multiLevelType w:val="hybridMultilevel"/>
    <w:tmpl w:val="D6F2A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697D2BF4"/>
    <w:multiLevelType w:val="hybridMultilevel"/>
    <w:tmpl w:val="E4F05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5" w15:restartNumberingAfterBreak="0">
    <w:nsid w:val="698017ED"/>
    <w:multiLevelType w:val="hybridMultilevel"/>
    <w:tmpl w:val="0658B7B2"/>
    <w:lvl w:ilvl="0" w:tplc="C13A7DBC">
      <w:start w:val="1"/>
      <w:numFmt w:val="decimal"/>
      <w:lvlText w:val="%1."/>
      <w:lvlJc w:val="left"/>
      <w:pPr>
        <w:ind w:left="864" w:hanging="360"/>
      </w:pPr>
    </w:lvl>
    <w:lvl w:ilvl="1" w:tplc="F266EF46" w:tentative="1">
      <w:start w:val="1"/>
      <w:numFmt w:val="lowerLetter"/>
      <w:lvlText w:val="%2."/>
      <w:lvlJc w:val="left"/>
      <w:pPr>
        <w:ind w:left="1584" w:hanging="360"/>
      </w:pPr>
    </w:lvl>
    <w:lvl w:ilvl="2" w:tplc="FD9A8186" w:tentative="1">
      <w:start w:val="1"/>
      <w:numFmt w:val="lowerRoman"/>
      <w:lvlText w:val="%3."/>
      <w:lvlJc w:val="right"/>
      <w:pPr>
        <w:ind w:left="2304" w:hanging="180"/>
      </w:pPr>
    </w:lvl>
    <w:lvl w:ilvl="3" w:tplc="5DB8E0B6" w:tentative="1">
      <w:start w:val="1"/>
      <w:numFmt w:val="decimal"/>
      <w:lvlText w:val="%4."/>
      <w:lvlJc w:val="left"/>
      <w:pPr>
        <w:ind w:left="3024" w:hanging="360"/>
      </w:pPr>
    </w:lvl>
    <w:lvl w:ilvl="4" w:tplc="416C606C" w:tentative="1">
      <w:start w:val="1"/>
      <w:numFmt w:val="lowerLetter"/>
      <w:lvlText w:val="%5."/>
      <w:lvlJc w:val="left"/>
      <w:pPr>
        <w:ind w:left="3744" w:hanging="360"/>
      </w:pPr>
    </w:lvl>
    <w:lvl w:ilvl="5" w:tplc="681C6398" w:tentative="1">
      <w:start w:val="1"/>
      <w:numFmt w:val="lowerRoman"/>
      <w:lvlText w:val="%6."/>
      <w:lvlJc w:val="right"/>
      <w:pPr>
        <w:ind w:left="4464" w:hanging="180"/>
      </w:pPr>
    </w:lvl>
    <w:lvl w:ilvl="6" w:tplc="285844B4" w:tentative="1">
      <w:start w:val="1"/>
      <w:numFmt w:val="decimal"/>
      <w:lvlText w:val="%7."/>
      <w:lvlJc w:val="left"/>
      <w:pPr>
        <w:ind w:left="5184" w:hanging="360"/>
      </w:pPr>
    </w:lvl>
    <w:lvl w:ilvl="7" w:tplc="144C0074" w:tentative="1">
      <w:start w:val="1"/>
      <w:numFmt w:val="lowerLetter"/>
      <w:lvlText w:val="%8."/>
      <w:lvlJc w:val="left"/>
      <w:pPr>
        <w:ind w:left="5904" w:hanging="360"/>
      </w:pPr>
    </w:lvl>
    <w:lvl w:ilvl="8" w:tplc="CB24B782" w:tentative="1">
      <w:start w:val="1"/>
      <w:numFmt w:val="lowerRoman"/>
      <w:lvlText w:val="%9."/>
      <w:lvlJc w:val="right"/>
      <w:pPr>
        <w:ind w:left="6624" w:hanging="180"/>
      </w:pPr>
    </w:lvl>
  </w:abstractNum>
  <w:abstractNum w:abstractNumId="326" w15:restartNumberingAfterBreak="0">
    <w:nsid w:val="6A0459CF"/>
    <w:multiLevelType w:val="hybridMultilevel"/>
    <w:tmpl w:val="82F09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7" w15:restartNumberingAfterBreak="0">
    <w:nsid w:val="6A6D1675"/>
    <w:multiLevelType w:val="hybridMultilevel"/>
    <w:tmpl w:val="DF72B85C"/>
    <w:lvl w:ilvl="0" w:tplc="A5C8976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329"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330"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6CFD0574"/>
    <w:multiLevelType w:val="hybridMultilevel"/>
    <w:tmpl w:val="D3F6F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6D7D1174"/>
    <w:multiLevelType w:val="multilevel"/>
    <w:tmpl w:val="7D76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6EEF03AD"/>
    <w:multiLevelType w:val="hybridMultilevel"/>
    <w:tmpl w:val="504A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6EFF0D43"/>
    <w:multiLevelType w:val="hybridMultilevel"/>
    <w:tmpl w:val="7926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15:restartNumberingAfterBreak="0">
    <w:nsid w:val="6F2352A5"/>
    <w:multiLevelType w:val="multilevel"/>
    <w:tmpl w:val="A748E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6F9C0F8A"/>
    <w:multiLevelType w:val="multilevel"/>
    <w:tmpl w:val="9E4A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44" w15:restartNumberingAfterBreak="0">
    <w:nsid w:val="6FBE168A"/>
    <w:multiLevelType w:val="hybridMultilevel"/>
    <w:tmpl w:val="D9DA30B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5" w15:restartNumberingAfterBreak="0">
    <w:nsid w:val="6FD50119"/>
    <w:multiLevelType w:val="multilevel"/>
    <w:tmpl w:val="6F62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347"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8" w15:restartNumberingAfterBreak="0">
    <w:nsid w:val="70A35B3D"/>
    <w:multiLevelType w:val="hybridMultilevel"/>
    <w:tmpl w:val="06D0C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9"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70E97316"/>
    <w:multiLevelType w:val="multilevel"/>
    <w:tmpl w:val="C83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70FC4AE2"/>
    <w:multiLevelType w:val="multilevel"/>
    <w:tmpl w:val="ED1A9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724813BC"/>
    <w:multiLevelType w:val="multilevel"/>
    <w:tmpl w:val="8E6C6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72F32007"/>
    <w:multiLevelType w:val="hybridMultilevel"/>
    <w:tmpl w:val="D67CC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6"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357"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15:restartNumberingAfterBreak="0">
    <w:nsid w:val="74AA7BDF"/>
    <w:multiLevelType w:val="hybridMultilevel"/>
    <w:tmpl w:val="C5E8F6A2"/>
    <w:lvl w:ilvl="0" w:tplc="460461E8">
      <w:start w:val="1"/>
      <w:numFmt w:val="bullet"/>
      <w:lvlText w:val=""/>
      <w:lvlJc w:val="left"/>
      <w:pPr>
        <w:ind w:left="720" w:hanging="360"/>
      </w:pPr>
      <w:rPr>
        <w:rFonts w:ascii="Symbol" w:hAnsi="Symbol" w:hint="default"/>
        <w:color w:val="833C0B" w:themeColor="accent2" w:themeShade="80"/>
      </w:rPr>
    </w:lvl>
    <w:lvl w:ilvl="1" w:tplc="268414E2">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2"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0"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77F54CD6"/>
    <w:multiLevelType w:val="hybridMultilevel"/>
    <w:tmpl w:val="66ECCBF8"/>
    <w:lvl w:ilvl="0" w:tplc="BAB2B1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4" w15:restartNumberingAfterBreak="0">
    <w:nsid w:val="782C155F"/>
    <w:multiLevelType w:val="multilevel"/>
    <w:tmpl w:val="15C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7"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793C507C"/>
    <w:multiLevelType w:val="multilevel"/>
    <w:tmpl w:val="CF72D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79FD1F38"/>
    <w:multiLevelType w:val="hybridMultilevel"/>
    <w:tmpl w:val="AD0E9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2"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6"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9"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391"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4" w15:restartNumberingAfterBreak="0">
    <w:nsid w:val="7D876DBC"/>
    <w:multiLevelType w:val="multilevel"/>
    <w:tmpl w:val="4EB2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8" w15:restartNumberingAfterBreak="0">
    <w:nsid w:val="7E5E22B3"/>
    <w:multiLevelType w:val="hybridMultilevel"/>
    <w:tmpl w:val="C4128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9"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400"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2" w15:restartNumberingAfterBreak="0">
    <w:nsid w:val="7F442A4C"/>
    <w:multiLevelType w:val="multilevel"/>
    <w:tmpl w:val="ACC8E7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08021051">
    <w:abstractNumId w:val="242"/>
  </w:num>
  <w:num w:numId="2" w16cid:durableId="961808561">
    <w:abstractNumId w:val="0"/>
  </w:num>
  <w:num w:numId="3" w16cid:durableId="850610045">
    <w:abstractNumId w:val="213"/>
  </w:num>
  <w:num w:numId="4" w16cid:durableId="1039747393">
    <w:abstractNumId w:val="77"/>
  </w:num>
  <w:num w:numId="5" w16cid:durableId="2003316872">
    <w:abstractNumId w:val="193"/>
  </w:num>
  <w:num w:numId="6" w16cid:durableId="1721635079">
    <w:abstractNumId w:val="255"/>
  </w:num>
  <w:num w:numId="7" w16cid:durableId="938218111">
    <w:abstractNumId w:val="238"/>
  </w:num>
  <w:num w:numId="8" w16cid:durableId="485707375">
    <w:abstractNumId w:val="51"/>
  </w:num>
  <w:num w:numId="9" w16cid:durableId="324212768">
    <w:abstractNumId w:val="56"/>
  </w:num>
  <w:num w:numId="10" w16cid:durableId="1658533981">
    <w:abstractNumId w:val="358"/>
  </w:num>
  <w:num w:numId="11" w16cid:durableId="2071998881">
    <w:abstractNumId w:val="292"/>
  </w:num>
  <w:num w:numId="12" w16cid:durableId="1523712221">
    <w:abstractNumId w:val="73"/>
  </w:num>
  <w:num w:numId="13" w16cid:durableId="94135718">
    <w:abstractNumId w:val="332"/>
  </w:num>
  <w:num w:numId="14" w16cid:durableId="44566400">
    <w:abstractNumId w:val="246"/>
  </w:num>
  <w:num w:numId="15" w16cid:durableId="2112317763">
    <w:abstractNumId w:val="272"/>
  </w:num>
  <w:num w:numId="16" w16cid:durableId="1503739614">
    <w:abstractNumId w:val="255"/>
  </w:num>
  <w:num w:numId="17" w16cid:durableId="1468860666">
    <w:abstractNumId w:val="76"/>
  </w:num>
  <w:num w:numId="18" w16cid:durableId="1970740193">
    <w:abstractNumId w:val="148"/>
  </w:num>
  <w:num w:numId="19" w16cid:durableId="1649088688">
    <w:abstractNumId w:val="192"/>
  </w:num>
  <w:num w:numId="20" w16cid:durableId="784495168">
    <w:abstractNumId w:val="181"/>
  </w:num>
  <w:num w:numId="21" w16cid:durableId="67073513">
    <w:abstractNumId w:val="354"/>
  </w:num>
  <w:num w:numId="22" w16cid:durableId="1531721886">
    <w:abstractNumId w:val="248"/>
  </w:num>
  <w:num w:numId="23" w16cid:durableId="1849831646">
    <w:abstractNumId w:val="8"/>
  </w:num>
  <w:num w:numId="24" w16cid:durableId="854423568">
    <w:abstractNumId w:val="117"/>
  </w:num>
  <w:num w:numId="25" w16cid:durableId="1650403366">
    <w:abstractNumId w:val="365"/>
  </w:num>
  <w:num w:numId="26" w16cid:durableId="708649792">
    <w:abstractNumId w:val="372"/>
  </w:num>
  <w:num w:numId="27" w16cid:durableId="733508808">
    <w:abstractNumId w:val="385"/>
  </w:num>
  <w:num w:numId="28" w16cid:durableId="248512933">
    <w:abstractNumId w:val="101"/>
  </w:num>
  <w:num w:numId="29" w16cid:durableId="2079742393">
    <w:abstractNumId w:val="277"/>
  </w:num>
  <w:num w:numId="30" w16cid:durableId="1960600846">
    <w:abstractNumId w:val="58"/>
  </w:num>
  <w:num w:numId="31" w16cid:durableId="455568181">
    <w:abstractNumId w:val="321"/>
  </w:num>
  <w:num w:numId="32" w16cid:durableId="875191644">
    <w:abstractNumId w:val="340"/>
  </w:num>
  <w:num w:numId="33" w16cid:durableId="38096241">
    <w:abstractNumId w:val="21"/>
  </w:num>
  <w:num w:numId="34" w16cid:durableId="1694380629">
    <w:abstractNumId w:val="201"/>
  </w:num>
  <w:num w:numId="35" w16cid:durableId="1854956192">
    <w:abstractNumId w:val="208"/>
  </w:num>
  <w:num w:numId="36" w16cid:durableId="973023254">
    <w:abstractNumId w:val="63"/>
  </w:num>
  <w:num w:numId="37" w16cid:durableId="1771504384">
    <w:abstractNumId w:val="163"/>
  </w:num>
  <w:num w:numId="38" w16cid:durableId="884946928">
    <w:abstractNumId w:val="391"/>
  </w:num>
  <w:num w:numId="39" w16cid:durableId="2053580014">
    <w:abstractNumId w:val="359"/>
  </w:num>
  <w:num w:numId="40" w16cid:durableId="608198765">
    <w:abstractNumId w:val="14"/>
  </w:num>
  <w:num w:numId="41" w16cid:durableId="133447987">
    <w:abstractNumId w:val="366"/>
  </w:num>
  <w:num w:numId="42" w16cid:durableId="1531842430">
    <w:abstractNumId w:val="34"/>
  </w:num>
  <w:num w:numId="43" w16cid:durableId="1914662190">
    <w:abstractNumId w:val="225"/>
  </w:num>
  <w:num w:numId="44" w16cid:durableId="582879849">
    <w:abstractNumId w:val="85"/>
  </w:num>
  <w:num w:numId="45" w16cid:durableId="1743867110">
    <w:abstractNumId w:val="294"/>
  </w:num>
  <w:num w:numId="46" w16cid:durableId="81532336">
    <w:abstractNumId w:val="216"/>
  </w:num>
  <w:num w:numId="47" w16cid:durableId="1475558284">
    <w:abstractNumId w:val="304"/>
  </w:num>
  <w:num w:numId="48" w16cid:durableId="1852837628">
    <w:abstractNumId w:val="60"/>
  </w:num>
  <w:num w:numId="49" w16cid:durableId="520356449">
    <w:abstractNumId w:val="377"/>
  </w:num>
  <w:num w:numId="50" w16cid:durableId="1843622067">
    <w:abstractNumId w:val="364"/>
  </w:num>
  <w:num w:numId="51" w16cid:durableId="360906797">
    <w:abstractNumId w:val="240"/>
  </w:num>
  <w:num w:numId="52" w16cid:durableId="1270161760">
    <w:abstractNumId w:val="87"/>
  </w:num>
  <w:num w:numId="53" w16cid:durableId="1344892947">
    <w:abstractNumId w:val="189"/>
  </w:num>
  <w:num w:numId="54" w16cid:durableId="1132674629">
    <w:abstractNumId w:val="331"/>
  </w:num>
  <w:num w:numId="55" w16cid:durableId="554703935">
    <w:abstractNumId w:val="252"/>
  </w:num>
  <w:num w:numId="56" w16cid:durableId="631133188">
    <w:abstractNumId w:val="167"/>
  </w:num>
  <w:num w:numId="57" w16cid:durableId="238639136">
    <w:abstractNumId w:val="133"/>
  </w:num>
  <w:num w:numId="58" w16cid:durableId="1397119108">
    <w:abstractNumId w:val="37"/>
  </w:num>
  <w:num w:numId="59" w16cid:durableId="1822966003">
    <w:abstractNumId w:val="265"/>
  </w:num>
  <w:num w:numId="60" w16cid:durableId="524103459">
    <w:abstractNumId w:val="270"/>
  </w:num>
  <w:num w:numId="61" w16cid:durableId="1414670288">
    <w:abstractNumId w:val="362"/>
  </w:num>
  <w:num w:numId="62" w16cid:durableId="200091575">
    <w:abstractNumId w:val="159"/>
  </w:num>
  <w:num w:numId="63" w16cid:durableId="2090542473">
    <w:abstractNumId w:val="144"/>
  </w:num>
  <w:num w:numId="64" w16cid:durableId="1352143298">
    <w:abstractNumId w:val="301"/>
  </w:num>
  <w:num w:numId="65" w16cid:durableId="1423793096">
    <w:abstractNumId w:val="379"/>
  </w:num>
  <w:num w:numId="66" w16cid:durableId="1225721072">
    <w:abstractNumId w:val="235"/>
  </w:num>
  <w:num w:numId="67" w16cid:durableId="95176951">
    <w:abstractNumId w:val="169"/>
  </w:num>
  <w:num w:numId="68" w16cid:durableId="1124889763">
    <w:abstractNumId w:val="337"/>
  </w:num>
  <w:num w:numId="69" w16cid:durableId="670958834">
    <w:abstractNumId w:val="307"/>
  </w:num>
  <w:num w:numId="70" w16cid:durableId="731344031">
    <w:abstractNumId w:val="283"/>
  </w:num>
  <w:num w:numId="71" w16cid:durableId="1704011096">
    <w:abstractNumId w:val="253"/>
  </w:num>
  <w:num w:numId="72" w16cid:durableId="917402829">
    <w:abstractNumId w:val="180"/>
  </w:num>
  <w:num w:numId="73" w16cid:durableId="1148211728">
    <w:abstractNumId w:val="369"/>
  </w:num>
  <w:num w:numId="74" w16cid:durableId="699818530">
    <w:abstractNumId w:val="209"/>
  </w:num>
  <w:num w:numId="75" w16cid:durableId="1155680263">
    <w:abstractNumId w:val="178"/>
  </w:num>
  <w:num w:numId="76" w16cid:durableId="1052073575">
    <w:abstractNumId w:val="368"/>
  </w:num>
  <w:num w:numId="77" w16cid:durableId="293564020">
    <w:abstractNumId w:val="111"/>
  </w:num>
  <w:num w:numId="78" w16cid:durableId="1571114232">
    <w:abstractNumId w:val="232"/>
  </w:num>
  <w:num w:numId="79" w16cid:durableId="1734043624">
    <w:abstractNumId w:val="24"/>
  </w:num>
  <w:num w:numId="80" w16cid:durableId="2121025350">
    <w:abstractNumId w:val="349"/>
  </w:num>
  <w:num w:numId="81" w16cid:durableId="1105152390">
    <w:abstractNumId w:val="279"/>
  </w:num>
  <w:num w:numId="82" w16cid:durableId="1169638401">
    <w:abstractNumId w:val="119"/>
  </w:num>
  <w:num w:numId="83" w16cid:durableId="660355670">
    <w:abstractNumId w:val="131"/>
  </w:num>
  <w:num w:numId="84" w16cid:durableId="695621585">
    <w:abstractNumId w:val="346"/>
  </w:num>
  <w:num w:numId="85" w16cid:durableId="1627806851">
    <w:abstractNumId w:val="247"/>
  </w:num>
  <w:num w:numId="86" w16cid:durableId="576133411">
    <w:abstractNumId w:val="378"/>
  </w:num>
  <w:num w:numId="87" w16cid:durableId="1650940337">
    <w:abstractNumId w:val="186"/>
  </w:num>
  <w:num w:numId="88" w16cid:durableId="473985020">
    <w:abstractNumId w:val="347"/>
  </w:num>
  <w:num w:numId="89" w16cid:durableId="1683623388">
    <w:abstractNumId w:val="258"/>
  </w:num>
  <w:num w:numId="90" w16cid:durableId="1348411731">
    <w:abstractNumId w:val="129"/>
  </w:num>
  <w:num w:numId="91" w16cid:durableId="998190278">
    <w:abstractNumId w:val="288"/>
  </w:num>
  <w:num w:numId="92" w16cid:durableId="2054619933">
    <w:abstractNumId w:val="114"/>
  </w:num>
  <w:num w:numId="93" w16cid:durableId="1571304175">
    <w:abstractNumId w:val="74"/>
  </w:num>
  <w:num w:numId="94" w16cid:durableId="546377438">
    <w:abstractNumId w:val="145"/>
  </w:num>
  <w:num w:numId="95" w16cid:durableId="420416345">
    <w:abstractNumId w:val="330"/>
  </w:num>
  <w:num w:numId="96" w16cid:durableId="786464070">
    <w:abstractNumId w:val="124"/>
  </w:num>
  <w:num w:numId="97" w16cid:durableId="701172851">
    <w:abstractNumId w:val="251"/>
  </w:num>
  <w:num w:numId="98" w16cid:durableId="70781993">
    <w:abstractNumId w:val="99"/>
  </w:num>
  <w:num w:numId="99" w16cid:durableId="1656295532">
    <w:abstractNumId w:val="205"/>
  </w:num>
  <w:num w:numId="100" w16cid:durableId="1272779908">
    <w:abstractNumId w:val="194"/>
  </w:num>
  <w:num w:numId="101" w16cid:durableId="1172600851">
    <w:abstractNumId w:val="158"/>
  </w:num>
  <w:num w:numId="102" w16cid:durableId="1766151370">
    <w:abstractNumId w:val="234"/>
  </w:num>
  <w:num w:numId="103" w16cid:durableId="1634864841">
    <w:abstractNumId w:val="147"/>
  </w:num>
  <w:num w:numId="104" w16cid:durableId="939339041">
    <w:abstractNumId w:val="155"/>
  </w:num>
  <w:num w:numId="105" w16cid:durableId="199510987">
    <w:abstractNumId w:val="44"/>
  </w:num>
  <w:num w:numId="106" w16cid:durableId="461966050">
    <w:abstractNumId w:val="151"/>
  </w:num>
  <w:num w:numId="107" w16cid:durableId="551230287">
    <w:abstractNumId w:val="388"/>
  </w:num>
  <w:num w:numId="108" w16cid:durableId="322860932">
    <w:abstractNumId w:val="289"/>
  </w:num>
  <w:num w:numId="109" w16cid:durableId="132799676">
    <w:abstractNumId w:val="243"/>
  </w:num>
  <w:num w:numId="110" w16cid:durableId="11685208">
    <w:abstractNumId w:val="290"/>
  </w:num>
  <w:num w:numId="111" w16cid:durableId="316812941">
    <w:abstractNumId w:val="11"/>
  </w:num>
  <w:num w:numId="112" w16cid:durableId="970868702">
    <w:abstractNumId w:val="221"/>
  </w:num>
  <w:num w:numId="113" w16cid:durableId="1532839817">
    <w:abstractNumId w:val="92"/>
  </w:num>
  <w:num w:numId="114" w16cid:durableId="1951890711">
    <w:abstractNumId w:val="244"/>
  </w:num>
  <w:num w:numId="115" w16cid:durableId="1586575306">
    <w:abstractNumId w:val="100"/>
  </w:num>
  <w:num w:numId="116" w16cid:durableId="1959603861">
    <w:abstractNumId w:val="79"/>
  </w:num>
  <w:num w:numId="117" w16cid:durableId="420025693">
    <w:abstractNumId w:val="196"/>
  </w:num>
  <w:num w:numId="118" w16cid:durableId="717359803">
    <w:abstractNumId w:val="256"/>
  </w:num>
  <w:num w:numId="119" w16cid:durableId="569271210">
    <w:abstractNumId w:val="150"/>
  </w:num>
  <w:num w:numId="120" w16cid:durableId="707221003">
    <w:abstractNumId w:val="118"/>
  </w:num>
  <w:num w:numId="121" w16cid:durableId="919826826">
    <w:abstractNumId w:val="84"/>
  </w:num>
  <w:num w:numId="122" w16cid:durableId="309753438">
    <w:abstractNumId w:val="384"/>
  </w:num>
  <w:num w:numId="123" w16cid:durableId="857305594">
    <w:abstractNumId w:val="317"/>
  </w:num>
  <w:num w:numId="124" w16cid:durableId="1769036850">
    <w:abstractNumId w:val="105"/>
  </w:num>
  <w:num w:numId="125" w16cid:durableId="1871871479">
    <w:abstractNumId w:val="5"/>
  </w:num>
  <w:num w:numId="126" w16cid:durableId="770322155">
    <w:abstractNumId w:val="179"/>
  </w:num>
  <w:num w:numId="127" w16cid:durableId="884371716">
    <w:abstractNumId w:val="53"/>
  </w:num>
  <w:num w:numId="128" w16cid:durableId="319163284">
    <w:abstractNumId w:val="20"/>
  </w:num>
  <w:num w:numId="129" w16cid:durableId="633825981">
    <w:abstractNumId w:val="128"/>
  </w:num>
  <w:num w:numId="130" w16cid:durableId="1384866199">
    <w:abstractNumId w:val="156"/>
  </w:num>
  <w:num w:numId="131" w16cid:durableId="690305982">
    <w:abstractNumId w:val="183"/>
  </w:num>
  <w:num w:numId="132" w16cid:durableId="1929919437">
    <w:abstractNumId w:val="296"/>
  </w:num>
  <w:num w:numId="133" w16cid:durableId="1751003739">
    <w:abstractNumId w:val="315"/>
  </w:num>
  <w:num w:numId="134" w16cid:durableId="214853907">
    <w:abstractNumId w:val="200"/>
  </w:num>
  <w:num w:numId="135" w16cid:durableId="108937825">
    <w:abstractNumId w:val="261"/>
  </w:num>
  <w:num w:numId="136" w16cid:durableId="1207261">
    <w:abstractNumId w:val="166"/>
  </w:num>
  <w:num w:numId="137" w16cid:durableId="1020738630">
    <w:abstractNumId w:val="250"/>
  </w:num>
  <w:num w:numId="138" w16cid:durableId="1622178263">
    <w:abstractNumId w:val="55"/>
  </w:num>
  <w:num w:numId="139" w16cid:durableId="1459104531">
    <w:abstractNumId w:val="162"/>
  </w:num>
  <w:num w:numId="140" w16cid:durableId="561672305">
    <w:abstractNumId w:val="313"/>
  </w:num>
  <w:num w:numId="141" w16cid:durableId="201405753">
    <w:abstractNumId w:val="70"/>
  </w:num>
  <w:num w:numId="142" w16cid:durableId="1330252468">
    <w:abstractNumId w:val="198"/>
  </w:num>
  <w:num w:numId="143" w16cid:durableId="1449660015">
    <w:abstractNumId w:val="13"/>
  </w:num>
  <w:num w:numId="144" w16cid:durableId="1351222235">
    <w:abstractNumId w:val="202"/>
  </w:num>
  <w:num w:numId="145" w16cid:durableId="2000497853">
    <w:abstractNumId w:val="397"/>
  </w:num>
  <w:num w:numId="146" w16cid:durableId="1433672086">
    <w:abstractNumId w:val="222"/>
  </w:num>
  <w:num w:numId="147" w16cid:durableId="1269236190">
    <w:abstractNumId w:val="329"/>
  </w:num>
  <w:num w:numId="148" w16cid:durableId="1278367732">
    <w:abstractNumId w:val="356"/>
  </w:num>
  <w:num w:numId="149" w16cid:durableId="2040472168">
    <w:abstractNumId w:val="399"/>
  </w:num>
  <w:num w:numId="150" w16cid:durableId="455952957">
    <w:abstractNumId w:val="138"/>
  </w:num>
  <w:num w:numId="151" w16cid:durableId="469323725">
    <w:abstractNumId w:val="171"/>
  </w:num>
  <w:num w:numId="152" w16cid:durableId="370809133">
    <w:abstractNumId w:val="36"/>
  </w:num>
  <w:num w:numId="153" w16cid:durableId="913274602">
    <w:abstractNumId w:val="103"/>
  </w:num>
  <w:num w:numId="154" w16cid:durableId="1046637950">
    <w:abstractNumId w:val="42"/>
  </w:num>
  <w:num w:numId="155" w16cid:durableId="1906448573">
    <w:abstractNumId w:val="389"/>
  </w:num>
  <w:num w:numId="156" w16cid:durableId="1647783450">
    <w:abstractNumId w:val="176"/>
  </w:num>
  <w:num w:numId="157" w16cid:durableId="77682409">
    <w:abstractNumId w:val="82"/>
  </w:num>
  <w:num w:numId="158" w16cid:durableId="1030032833">
    <w:abstractNumId w:val="395"/>
  </w:num>
  <w:num w:numId="159" w16cid:durableId="533663157">
    <w:abstractNumId w:val="367"/>
  </w:num>
  <w:num w:numId="160" w16cid:durableId="520751108">
    <w:abstractNumId w:val="187"/>
  </w:num>
  <w:num w:numId="161" w16cid:durableId="844633476">
    <w:abstractNumId w:val="116"/>
  </w:num>
  <w:num w:numId="162" w16cid:durableId="632951193">
    <w:abstractNumId w:val="278"/>
  </w:num>
  <w:num w:numId="163" w16cid:durableId="938946760">
    <w:abstractNumId w:val="269"/>
  </w:num>
  <w:num w:numId="164" w16cid:durableId="587545227">
    <w:abstractNumId w:val="69"/>
  </w:num>
  <w:num w:numId="165" w16cid:durableId="1547764853">
    <w:abstractNumId w:val="383"/>
  </w:num>
  <w:num w:numId="166" w16cid:durableId="142545689">
    <w:abstractNumId w:val="132"/>
  </w:num>
  <w:num w:numId="167" w16cid:durableId="781614656">
    <w:abstractNumId w:val="241"/>
  </w:num>
  <w:num w:numId="168" w16cid:durableId="332687278">
    <w:abstractNumId w:val="109"/>
  </w:num>
  <w:num w:numId="169" w16cid:durableId="1320379206">
    <w:abstractNumId w:val="276"/>
  </w:num>
  <w:num w:numId="170" w16cid:durableId="1192646412">
    <w:abstractNumId w:val="139"/>
  </w:num>
  <w:num w:numId="171" w16cid:durableId="1272933252">
    <w:abstractNumId w:val="353"/>
  </w:num>
  <w:num w:numId="172" w16cid:durableId="2041323565">
    <w:abstractNumId w:val="113"/>
  </w:num>
  <w:num w:numId="173" w16cid:durableId="1874266300">
    <w:abstractNumId w:val="185"/>
  </w:num>
  <w:num w:numId="174" w16cid:durableId="1808007955">
    <w:abstractNumId w:val="259"/>
  </w:num>
  <w:num w:numId="175" w16cid:durableId="600994644">
    <w:abstractNumId w:val="363"/>
  </w:num>
  <w:num w:numId="176" w16cid:durableId="1026323256">
    <w:abstractNumId w:val="224"/>
  </w:num>
  <w:num w:numId="177" w16cid:durableId="30496453">
    <w:abstractNumId w:val="102"/>
  </w:num>
  <w:num w:numId="178" w16cid:durableId="1179347295">
    <w:abstractNumId w:val="146"/>
  </w:num>
  <w:num w:numId="179" w16cid:durableId="667052245">
    <w:abstractNumId w:val="25"/>
  </w:num>
  <w:num w:numId="180" w16cid:durableId="1095903616">
    <w:abstractNumId w:val="215"/>
  </w:num>
  <w:num w:numId="181" w16cid:durableId="1700279330">
    <w:abstractNumId w:val="223"/>
  </w:num>
  <w:num w:numId="182" w16cid:durableId="1844346857">
    <w:abstractNumId w:val="98"/>
  </w:num>
  <w:num w:numId="183" w16cid:durableId="1634827051">
    <w:abstractNumId w:val="266"/>
  </w:num>
  <w:num w:numId="184" w16cid:durableId="1903783666">
    <w:abstractNumId w:val="68"/>
  </w:num>
  <w:num w:numId="185" w16cid:durableId="419958340">
    <w:abstractNumId w:val="31"/>
  </w:num>
  <w:num w:numId="186" w16cid:durableId="1320577296">
    <w:abstractNumId w:val="212"/>
  </w:num>
  <w:num w:numId="187" w16cid:durableId="1324629887">
    <w:abstractNumId w:val="386"/>
  </w:num>
  <w:num w:numId="188" w16cid:durableId="945504605">
    <w:abstractNumId w:val="40"/>
  </w:num>
  <w:num w:numId="189" w16cid:durableId="402025583">
    <w:abstractNumId w:val="334"/>
  </w:num>
  <w:num w:numId="190" w16cid:durableId="905644434">
    <w:abstractNumId w:val="184"/>
  </w:num>
  <w:num w:numId="191" w16cid:durableId="2105490480">
    <w:abstractNumId w:val="298"/>
  </w:num>
  <w:num w:numId="192" w16cid:durableId="1261644345">
    <w:abstractNumId w:val="165"/>
  </w:num>
  <w:num w:numId="193" w16cid:durableId="596016286">
    <w:abstractNumId w:val="4"/>
  </w:num>
  <w:num w:numId="194" w16cid:durableId="2097821321">
    <w:abstractNumId w:val="30"/>
  </w:num>
  <w:num w:numId="195" w16cid:durableId="591665278">
    <w:abstractNumId w:val="303"/>
  </w:num>
  <w:num w:numId="196" w16cid:durableId="1732651372">
    <w:abstractNumId w:val="237"/>
  </w:num>
  <w:num w:numId="197" w16cid:durableId="89207667">
    <w:abstractNumId w:val="295"/>
  </w:num>
  <w:num w:numId="198" w16cid:durableId="150411670">
    <w:abstractNumId w:val="41"/>
  </w:num>
  <w:num w:numId="199" w16cid:durableId="1011563220">
    <w:abstractNumId w:val="197"/>
  </w:num>
  <w:num w:numId="200" w16cid:durableId="1576621538">
    <w:abstractNumId w:val="95"/>
  </w:num>
  <w:num w:numId="201" w16cid:durableId="2136636942">
    <w:abstractNumId w:val="6"/>
  </w:num>
  <w:num w:numId="202" w16cid:durableId="233785550">
    <w:abstractNumId w:val="125"/>
  </w:num>
  <w:num w:numId="203" w16cid:durableId="1277450244">
    <w:abstractNumId w:val="214"/>
  </w:num>
  <w:num w:numId="204" w16cid:durableId="166793207">
    <w:abstractNumId w:val="257"/>
  </w:num>
  <w:num w:numId="205" w16cid:durableId="156239232">
    <w:abstractNumId w:val="78"/>
  </w:num>
  <w:num w:numId="206" w16cid:durableId="1972175593">
    <w:abstractNumId w:val="130"/>
  </w:num>
  <w:num w:numId="207" w16cid:durableId="1219125657">
    <w:abstractNumId w:val="306"/>
  </w:num>
  <w:num w:numId="208" w16cid:durableId="1421294038">
    <w:abstractNumId w:val="357"/>
  </w:num>
  <w:num w:numId="209" w16cid:durableId="33241762">
    <w:abstractNumId w:val="7"/>
  </w:num>
  <w:num w:numId="210" w16cid:durableId="1973360791">
    <w:abstractNumId w:val="54"/>
  </w:num>
  <w:num w:numId="211" w16cid:durableId="1960915164">
    <w:abstractNumId w:val="22"/>
  </w:num>
  <w:num w:numId="212" w16cid:durableId="563880552">
    <w:abstractNumId w:val="97"/>
  </w:num>
  <w:num w:numId="213" w16cid:durableId="1243182535">
    <w:abstractNumId w:val="96"/>
  </w:num>
  <w:num w:numId="214" w16cid:durableId="194736359">
    <w:abstractNumId w:val="228"/>
  </w:num>
  <w:num w:numId="215" w16cid:durableId="1587612341">
    <w:abstractNumId w:val="275"/>
  </w:num>
  <w:num w:numId="216" w16cid:durableId="2089378900">
    <w:abstractNumId w:val="308"/>
  </w:num>
  <w:num w:numId="217" w16cid:durableId="976448253">
    <w:abstractNumId w:val="175"/>
  </w:num>
  <w:num w:numId="218" w16cid:durableId="1997301922">
    <w:abstractNumId w:val="297"/>
  </w:num>
  <w:num w:numId="219" w16cid:durableId="1050302152">
    <w:abstractNumId w:val="47"/>
  </w:num>
  <w:num w:numId="220" w16cid:durableId="1274362861">
    <w:abstractNumId w:val="143"/>
  </w:num>
  <w:num w:numId="221" w16cid:durableId="635337364">
    <w:abstractNumId w:val="318"/>
  </w:num>
  <w:num w:numId="222" w16cid:durableId="1289705243">
    <w:abstractNumId w:val="302"/>
  </w:num>
  <w:num w:numId="223" w16cid:durableId="336663841">
    <w:abstractNumId w:val="177"/>
  </w:num>
  <w:num w:numId="224" w16cid:durableId="440421978">
    <w:abstractNumId w:val="108"/>
  </w:num>
  <w:num w:numId="225" w16cid:durableId="2009937542">
    <w:abstractNumId w:val="9"/>
  </w:num>
  <w:num w:numId="226" w16cid:durableId="2093575850">
    <w:abstractNumId w:val="387"/>
  </w:num>
  <w:num w:numId="227" w16cid:durableId="1854221180">
    <w:abstractNumId w:val="393"/>
  </w:num>
  <w:num w:numId="228" w16cid:durableId="1830516104">
    <w:abstractNumId w:val="286"/>
  </w:num>
  <w:num w:numId="229" w16cid:durableId="1372343434">
    <w:abstractNumId w:val="122"/>
  </w:num>
  <w:num w:numId="230" w16cid:durableId="1508055261">
    <w:abstractNumId w:val="370"/>
  </w:num>
  <w:num w:numId="231" w16cid:durableId="1320647869">
    <w:abstractNumId w:val="170"/>
  </w:num>
  <w:num w:numId="232" w16cid:durableId="807674788">
    <w:abstractNumId w:val="3"/>
  </w:num>
  <w:num w:numId="233" w16cid:durableId="1589582393">
    <w:abstractNumId w:val="218"/>
  </w:num>
  <w:num w:numId="234" w16cid:durableId="498473227">
    <w:abstractNumId w:val="81"/>
  </w:num>
  <w:num w:numId="235" w16cid:durableId="1194919704">
    <w:abstractNumId w:val="220"/>
  </w:num>
  <w:num w:numId="236" w16cid:durableId="794759652">
    <w:abstractNumId w:val="375"/>
  </w:num>
  <w:num w:numId="237" w16cid:durableId="961157528">
    <w:abstractNumId w:val="86"/>
  </w:num>
  <w:num w:numId="238" w16cid:durableId="854735501">
    <w:abstractNumId w:val="382"/>
  </w:num>
  <w:num w:numId="239" w16cid:durableId="843907428">
    <w:abstractNumId w:val="262"/>
  </w:num>
  <w:num w:numId="240" w16cid:durableId="1685474862">
    <w:abstractNumId w:val="376"/>
  </w:num>
  <w:num w:numId="241" w16cid:durableId="1123698018">
    <w:abstractNumId w:val="361"/>
  </w:num>
  <w:num w:numId="242" w16cid:durableId="717709514">
    <w:abstractNumId w:val="390"/>
  </w:num>
  <w:num w:numId="243" w16cid:durableId="599021614">
    <w:abstractNumId w:val="127"/>
  </w:num>
  <w:num w:numId="244" w16cid:durableId="325135674">
    <w:abstractNumId w:val="211"/>
  </w:num>
  <w:num w:numId="245" w16cid:durableId="772238845">
    <w:abstractNumId w:val="61"/>
  </w:num>
  <w:num w:numId="246" w16cid:durableId="63336578">
    <w:abstractNumId w:val="29"/>
  </w:num>
  <w:num w:numId="247" w16cid:durableId="2123113125">
    <w:abstractNumId w:val="274"/>
  </w:num>
  <w:num w:numId="248" w16cid:durableId="609288879">
    <w:abstractNumId w:val="121"/>
  </w:num>
  <w:num w:numId="249" w16cid:durableId="455366783">
    <w:abstractNumId w:val="172"/>
  </w:num>
  <w:num w:numId="250" w16cid:durableId="1469736710">
    <w:abstractNumId w:val="137"/>
  </w:num>
  <w:num w:numId="251" w16cid:durableId="2115705587">
    <w:abstractNumId w:val="39"/>
  </w:num>
  <w:num w:numId="252" w16cid:durableId="147938479">
    <w:abstractNumId w:val="285"/>
  </w:num>
  <w:num w:numId="253" w16cid:durableId="722488935">
    <w:abstractNumId w:val="62"/>
  </w:num>
  <w:num w:numId="254" w16cid:durableId="468401461">
    <w:abstractNumId w:val="273"/>
  </w:num>
  <w:num w:numId="255" w16cid:durableId="1976181824">
    <w:abstractNumId w:val="227"/>
  </w:num>
  <w:num w:numId="256" w16cid:durableId="1283725996">
    <w:abstractNumId w:val="268"/>
  </w:num>
  <w:num w:numId="257" w16cid:durableId="1932817724">
    <w:abstractNumId w:val="396"/>
  </w:num>
  <w:num w:numId="258" w16cid:durableId="439954506">
    <w:abstractNumId w:val="191"/>
  </w:num>
  <w:num w:numId="259" w16cid:durableId="1058627917">
    <w:abstractNumId w:val="67"/>
  </w:num>
  <w:num w:numId="260" w16cid:durableId="102576134">
    <w:abstractNumId w:val="226"/>
  </w:num>
  <w:num w:numId="261" w16cid:durableId="935482452">
    <w:abstractNumId w:val="190"/>
  </w:num>
  <w:num w:numId="262" w16cid:durableId="539780320">
    <w:abstractNumId w:val="336"/>
  </w:num>
  <w:num w:numId="263" w16cid:durableId="37171545">
    <w:abstractNumId w:val="91"/>
  </w:num>
  <w:num w:numId="264" w16cid:durableId="586773887">
    <w:abstractNumId w:val="263"/>
  </w:num>
  <w:num w:numId="265" w16cid:durableId="315453812">
    <w:abstractNumId w:val="80"/>
  </w:num>
  <w:num w:numId="266" w16cid:durableId="2085950920">
    <w:abstractNumId w:val="160"/>
  </w:num>
  <w:num w:numId="267" w16cid:durableId="1855990960">
    <w:abstractNumId w:val="293"/>
  </w:num>
  <w:num w:numId="268" w16cid:durableId="1227955302">
    <w:abstractNumId w:val="401"/>
  </w:num>
  <w:num w:numId="269" w16cid:durableId="1015688926">
    <w:abstractNumId w:val="328"/>
  </w:num>
  <w:num w:numId="270" w16cid:durableId="1396929531">
    <w:abstractNumId w:val="203"/>
  </w:num>
  <w:num w:numId="271" w16cid:durableId="1558541917">
    <w:abstractNumId w:val="152"/>
  </w:num>
  <w:num w:numId="272" w16cid:durableId="1097795722">
    <w:abstractNumId w:val="110"/>
  </w:num>
  <w:num w:numId="273" w16cid:durableId="1849323413">
    <w:abstractNumId w:val="195"/>
  </w:num>
  <w:num w:numId="274" w16cid:durableId="1317803898">
    <w:abstractNumId w:val="16"/>
  </w:num>
  <w:num w:numId="275" w16cid:durableId="15497849">
    <w:abstractNumId w:val="319"/>
  </w:num>
  <w:num w:numId="276" w16cid:durableId="1349216590">
    <w:abstractNumId w:val="392"/>
  </w:num>
  <w:num w:numId="277" w16cid:durableId="1224759348">
    <w:abstractNumId w:val="123"/>
  </w:num>
  <w:num w:numId="278" w16cid:durableId="125701630">
    <w:abstractNumId w:val="71"/>
  </w:num>
  <w:num w:numId="279" w16cid:durableId="1291783237">
    <w:abstractNumId w:val="343"/>
  </w:num>
  <w:num w:numId="280" w16cid:durableId="1359506606">
    <w:abstractNumId w:val="26"/>
  </w:num>
  <w:num w:numId="281" w16cid:durableId="589314143">
    <w:abstractNumId w:val="38"/>
  </w:num>
  <w:num w:numId="282" w16cid:durableId="227612136">
    <w:abstractNumId w:val="400"/>
  </w:num>
  <w:num w:numId="283" w16cid:durableId="1227760724">
    <w:abstractNumId w:val="153"/>
  </w:num>
  <w:num w:numId="284" w16cid:durableId="1195341505">
    <w:abstractNumId w:val="33"/>
  </w:num>
  <w:num w:numId="285" w16cid:durableId="1598521132">
    <w:abstractNumId w:val="371"/>
  </w:num>
  <w:num w:numId="286" w16cid:durableId="1420062382">
    <w:abstractNumId w:val="282"/>
  </w:num>
  <w:num w:numId="287" w16cid:durableId="1172837000">
    <w:abstractNumId w:val="291"/>
  </w:num>
  <w:num w:numId="288" w16cid:durableId="2118401988">
    <w:abstractNumId w:val="230"/>
  </w:num>
  <w:num w:numId="289" w16cid:durableId="989166422">
    <w:abstractNumId w:val="46"/>
  </w:num>
  <w:num w:numId="290" w16cid:durableId="2040205792">
    <w:abstractNumId w:val="28"/>
  </w:num>
  <w:num w:numId="291" w16cid:durableId="2082560862">
    <w:abstractNumId w:val="320"/>
  </w:num>
  <w:num w:numId="292" w16cid:durableId="1765612406">
    <w:abstractNumId w:val="316"/>
  </w:num>
  <w:num w:numId="293" w16cid:durableId="1550150595">
    <w:abstractNumId w:val="49"/>
  </w:num>
  <w:num w:numId="294" w16cid:durableId="826475063">
    <w:abstractNumId w:val="88"/>
  </w:num>
  <w:num w:numId="295" w16cid:durableId="1277326953">
    <w:abstractNumId w:val="309"/>
  </w:num>
  <w:num w:numId="296" w16cid:durableId="1477381706">
    <w:abstractNumId w:val="344"/>
  </w:num>
  <w:num w:numId="297" w16cid:durableId="969552957">
    <w:abstractNumId w:val="249"/>
  </w:num>
  <w:num w:numId="298" w16cid:durableId="1369835832">
    <w:abstractNumId w:val="141"/>
  </w:num>
  <w:num w:numId="299" w16cid:durableId="1579711974">
    <w:abstractNumId w:val="245"/>
  </w:num>
  <w:num w:numId="300" w16cid:durableId="1954436326">
    <w:abstractNumId w:val="219"/>
  </w:num>
  <w:num w:numId="301" w16cid:durableId="1586762758">
    <w:abstractNumId w:val="338"/>
  </w:num>
  <w:num w:numId="302" w16cid:durableId="1574661330">
    <w:abstractNumId w:val="66"/>
  </w:num>
  <w:num w:numId="303" w16cid:durableId="639922292">
    <w:abstractNumId w:val="325"/>
  </w:num>
  <w:num w:numId="304" w16cid:durableId="1448231087">
    <w:abstractNumId w:val="217"/>
  </w:num>
  <w:num w:numId="305" w16cid:durableId="239603248">
    <w:abstractNumId w:val="339"/>
  </w:num>
  <w:num w:numId="306" w16cid:durableId="448015976">
    <w:abstractNumId w:val="89"/>
  </w:num>
  <w:num w:numId="307" w16cid:durableId="1352148585">
    <w:abstractNumId w:val="18"/>
  </w:num>
  <w:num w:numId="308" w16cid:durableId="848106082">
    <w:abstractNumId w:val="157"/>
  </w:num>
  <w:num w:numId="309" w16cid:durableId="667902779">
    <w:abstractNumId w:val="23"/>
  </w:num>
  <w:num w:numId="310" w16cid:durableId="1373993552">
    <w:abstractNumId w:val="75"/>
  </w:num>
  <w:num w:numId="311" w16cid:durableId="1704938080">
    <w:abstractNumId w:val="83"/>
  </w:num>
  <w:num w:numId="312" w16cid:durableId="157888849">
    <w:abstractNumId w:val="112"/>
  </w:num>
  <w:num w:numId="313" w16cid:durableId="2128114857">
    <w:abstractNumId w:val="239"/>
  </w:num>
  <w:num w:numId="314" w16cid:durableId="1748259872">
    <w:abstractNumId w:val="50"/>
  </w:num>
  <w:num w:numId="315" w16cid:durableId="1123504493">
    <w:abstractNumId w:val="207"/>
  </w:num>
  <w:num w:numId="316" w16cid:durableId="676034083">
    <w:abstractNumId w:val="19"/>
  </w:num>
  <w:num w:numId="317" w16cid:durableId="1812792224">
    <w:abstractNumId w:val="199"/>
  </w:num>
  <w:num w:numId="318" w16cid:durableId="192118143">
    <w:abstractNumId w:val="236"/>
  </w:num>
  <w:num w:numId="319" w16cid:durableId="2142384459">
    <w:abstractNumId w:val="352"/>
  </w:num>
  <w:num w:numId="320" w16cid:durableId="2129737609">
    <w:abstractNumId w:val="154"/>
  </w:num>
  <w:num w:numId="321" w16cid:durableId="692222882">
    <w:abstractNumId w:val="210"/>
  </w:num>
  <w:num w:numId="322" w16cid:durableId="1751389561">
    <w:abstractNumId w:val="314"/>
  </w:num>
  <w:num w:numId="323" w16cid:durableId="1881436301">
    <w:abstractNumId w:val="45"/>
  </w:num>
  <w:num w:numId="324" w16cid:durableId="1027561837">
    <w:abstractNumId w:val="2"/>
  </w:num>
  <w:num w:numId="325" w16cid:durableId="1837308430">
    <w:abstractNumId w:val="374"/>
  </w:num>
  <w:num w:numId="326" w16cid:durableId="1674380510">
    <w:abstractNumId w:val="204"/>
  </w:num>
  <w:num w:numId="327" w16cid:durableId="1533306233">
    <w:abstractNumId w:val="120"/>
  </w:num>
  <w:num w:numId="328" w16cid:durableId="1275088789">
    <w:abstractNumId w:val="182"/>
  </w:num>
  <w:num w:numId="329" w16cid:durableId="1106340908">
    <w:abstractNumId w:val="264"/>
  </w:num>
  <w:num w:numId="330" w16cid:durableId="1941525995">
    <w:abstractNumId w:val="126"/>
  </w:num>
  <w:num w:numId="331" w16cid:durableId="1627735184">
    <w:abstractNumId w:val="351"/>
  </w:num>
  <w:num w:numId="332" w16cid:durableId="815997453">
    <w:abstractNumId w:val="32"/>
  </w:num>
  <w:num w:numId="333" w16cid:durableId="1596862463">
    <w:abstractNumId w:val="106"/>
  </w:num>
  <w:num w:numId="334" w16cid:durableId="1742753604">
    <w:abstractNumId w:val="90"/>
  </w:num>
  <w:num w:numId="335" w16cid:durableId="2140608171">
    <w:abstractNumId w:val="310"/>
  </w:num>
  <w:num w:numId="336" w16cid:durableId="192497932">
    <w:abstractNumId w:val="94"/>
  </w:num>
  <w:num w:numId="337" w16cid:durableId="799492873">
    <w:abstractNumId w:val="323"/>
  </w:num>
  <w:num w:numId="338" w16cid:durableId="52582786">
    <w:abstractNumId w:val="48"/>
  </w:num>
  <w:num w:numId="339" w16cid:durableId="1864248314">
    <w:abstractNumId w:val="206"/>
  </w:num>
  <w:num w:numId="340" w16cid:durableId="839155262">
    <w:abstractNumId w:val="281"/>
  </w:num>
  <w:num w:numId="341" w16cid:durableId="585384126">
    <w:abstractNumId w:val="327"/>
  </w:num>
  <w:num w:numId="342" w16cid:durableId="1884824795">
    <w:abstractNumId w:val="342"/>
  </w:num>
  <w:num w:numId="343" w16cid:durableId="433791340">
    <w:abstractNumId w:val="333"/>
  </w:num>
  <w:num w:numId="344" w16cid:durableId="1034039845">
    <w:abstractNumId w:val="324"/>
  </w:num>
  <w:num w:numId="345" w16cid:durableId="2000234758">
    <w:abstractNumId w:val="188"/>
  </w:num>
  <w:num w:numId="346" w16cid:durableId="1236278798">
    <w:abstractNumId w:val="135"/>
  </w:num>
  <w:num w:numId="347" w16cid:durableId="17512033">
    <w:abstractNumId w:val="373"/>
  </w:num>
  <w:num w:numId="348" w16cid:durableId="1507553398">
    <w:abstractNumId w:val="107"/>
  </w:num>
  <w:num w:numId="349" w16cid:durableId="2051758157">
    <w:abstractNumId w:val="134"/>
  </w:num>
  <w:num w:numId="350" w16cid:durableId="1775402364">
    <w:abstractNumId w:val="284"/>
  </w:num>
  <w:num w:numId="351" w16cid:durableId="171603051">
    <w:abstractNumId w:val="35"/>
  </w:num>
  <w:num w:numId="352" w16cid:durableId="1061832377">
    <w:abstractNumId w:val="65"/>
  </w:num>
  <w:num w:numId="353" w16cid:durableId="921183917">
    <w:abstractNumId w:val="287"/>
  </w:num>
  <w:num w:numId="354" w16cid:durableId="1957254857">
    <w:abstractNumId w:val="168"/>
  </w:num>
  <w:num w:numId="355" w16cid:durableId="590283219">
    <w:abstractNumId w:val="271"/>
  </w:num>
  <w:num w:numId="356" w16cid:durableId="743987437">
    <w:abstractNumId w:val="64"/>
  </w:num>
  <w:num w:numId="357" w16cid:durableId="164369701">
    <w:abstractNumId w:val="326"/>
  </w:num>
  <w:num w:numId="358" w16cid:durableId="517277219">
    <w:abstractNumId w:val="280"/>
  </w:num>
  <w:num w:numId="359" w16cid:durableId="30495051">
    <w:abstractNumId w:val="355"/>
  </w:num>
  <w:num w:numId="360" w16cid:durableId="2024547389">
    <w:abstractNumId w:val="300"/>
  </w:num>
  <w:num w:numId="361" w16cid:durableId="617371373">
    <w:abstractNumId w:val="17"/>
  </w:num>
  <w:num w:numId="362" w16cid:durableId="2029065507">
    <w:abstractNumId w:val="104"/>
  </w:num>
  <w:num w:numId="363" w16cid:durableId="1605919780">
    <w:abstractNumId w:val="12"/>
  </w:num>
  <w:num w:numId="364" w16cid:durableId="1458985240">
    <w:abstractNumId w:val="161"/>
  </w:num>
  <w:num w:numId="365" w16cid:durableId="1543591783">
    <w:abstractNumId w:val="229"/>
  </w:num>
  <w:num w:numId="366" w16cid:durableId="1340540287">
    <w:abstractNumId w:val="254"/>
  </w:num>
  <w:num w:numId="367" w16cid:durableId="929316412">
    <w:abstractNumId w:val="57"/>
  </w:num>
  <w:num w:numId="368" w16cid:durableId="1298997748">
    <w:abstractNumId w:val="72"/>
  </w:num>
  <w:num w:numId="369" w16cid:durableId="29457512">
    <w:abstractNumId w:val="140"/>
  </w:num>
  <w:num w:numId="370" w16cid:durableId="1798987470">
    <w:abstractNumId w:val="231"/>
  </w:num>
  <w:num w:numId="371" w16cid:durableId="1597588953">
    <w:abstractNumId w:val="267"/>
  </w:num>
  <w:num w:numId="372" w16cid:durableId="1423523200">
    <w:abstractNumId w:val="59"/>
  </w:num>
  <w:num w:numId="373" w16cid:durableId="1657371624">
    <w:abstractNumId w:val="233"/>
  </w:num>
  <w:num w:numId="374" w16cid:durableId="779301259">
    <w:abstractNumId w:val="164"/>
  </w:num>
  <w:num w:numId="375" w16cid:durableId="149257178">
    <w:abstractNumId w:val="136"/>
  </w:num>
  <w:num w:numId="376" w16cid:durableId="1286237240">
    <w:abstractNumId w:val="360"/>
  </w:num>
  <w:num w:numId="377" w16cid:durableId="872693069">
    <w:abstractNumId w:val="15"/>
  </w:num>
  <w:num w:numId="378" w16cid:durableId="1674720977">
    <w:abstractNumId w:val="305"/>
  </w:num>
  <w:num w:numId="379" w16cid:durableId="1579821484">
    <w:abstractNumId w:val="348"/>
  </w:num>
  <w:num w:numId="380" w16cid:durableId="1011420150">
    <w:abstractNumId w:val="394"/>
  </w:num>
  <w:num w:numId="381" w16cid:durableId="1616018087">
    <w:abstractNumId w:val="335"/>
  </w:num>
  <w:num w:numId="382" w16cid:durableId="467238831">
    <w:abstractNumId w:val="43"/>
  </w:num>
  <w:num w:numId="383" w16cid:durableId="1985545264">
    <w:abstractNumId w:val="142"/>
  </w:num>
  <w:num w:numId="384" w16cid:durableId="568079668">
    <w:abstractNumId w:val="312"/>
  </w:num>
  <w:num w:numId="385" w16cid:durableId="1110079041">
    <w:abstractNumId w:val="173"/>
  </w:num>
  <w:num w:numId="386" w16cid:durableId="341595352">
    <w:abstractNumId w:val="350"/>
  </w:num>
  <w:num w:numId="387" w16cid:durableId="711269100">
    <w:abstractNumId w:val="345"/>
  </w:num>
  <w:num w:numId="388" w16cid:durableId="776757047">
    <w:abstractNumId w:val="380"/>
  </w:num>
  <w:num w:numId="389" w16cid:durableId="1434283491">
    <w:abstractNumId w:val="322"/>
  </w:num>
  <w:num w:numId="390" w16cid:durableId="1607541658">
    <w:abstractNumId w:val="52"/>
  </w:num>
  <w:num w:numId="391" w16cid:durableId="273943009">
    <w:abstractNumId w:val="311"/>
  </w:num>
  <w:num w:numId="392" w16cid:durableId="223565663">
    <w:abstractNumId w:val="93"/>
  </w:num>
  <w:num w:numId="393" w16cid:durableId="136267487">
    <w:abstractNumId w:val="27"/>
  </w:num>
  <w:num w:numId="394" w16cid:durableId="1420322422">
    <w:abstractNumId w:val="1"/>
  </w:num>
  <w:num w:numId="395" w16cid:durableId="1624535904">
    <w:abstractNumId w:val="149"/>
  </w:num>
  <w:num w:numId="396" w16cid:durableId="1929269122">
    <w:abstractNumId w:val="381"/>
  </w:num>
  <w:num w:numId="397" w16cid:durableId="311058949">
    <w:abstractNumId w:val="174"/>
  </w:num>
  <w:num w:numId="398" w16cid:durableId="820925860">
    <w:abstractNumId w:val="299"/>
  </w:num>
  <w:num w:numId="399" w16cid:durableId="2051373815">
    <w:abstractNumId w:val="402"/>
  </w:num>
  <w:num w:numId="400" w16cid:durableId="1733772296">
    <w:abstractNumId w:val="115"/>
  </w:num>
  <w:num w:numId="401" w16cid:durableId="1042171877">
    <w:abstractNumId w:val="10"/>
  </w:num>
  <w:num w:numId="402" w16cid:durableId="238636549">
    <w:abstractNumId w:val="260"/>
  </w:num>
  <w:num w:numId="403" w16cid:durableId="162014633">
    <w:abstractNumId w:val="398"/>
  </w:num>
  <w:num w:numId="404" w16cid:durableId="336617163">
    <w:abstractNumId w:val="341"/>
  </w:num>
  <w:numIdMacAtCleanup w:val="4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12B8"/>
    <w:rsid w:val="000034FE"/>
    <w:rsid w:val="000047DD"/>
    <w:rsid w:val="00005949"/>
    <w:rsid w:val="0000661B"/>
    <w:rsid w:val="000072EC"/>
    <w:rsid w:val="0001346A"/>
    <w:rsid w:val="0001411D"/>
    <w:rsid w:val="00016CD0"/>
    <w:rsid w:val="00022A67"/>
    <w:rsid w:val="00022BF0"/>
    <w:rsid w:val="00023C58"/>
    <w:rsid w:val="00024501"/>
    <w:rsid w:val="000245D8"/>
    <w:rsid w:val="00024A04"/>
    <w:rsid w:val="0002795E"/>
    <w:rsid w:val="000308EA"/>
    <w:rsid w:val="00030C62"/>
    <w:rsid w:val="0003148A"/>
    <w:rsid w:val="000320A7"/>
    <w:rsid w:val="00032303"/>
    <w:rsid w:val="00032870"/>
    <w:rsid w:val="00033069"/>
    <w:rsid w:val="00035686"/>
    <w:rsid w:val="000363E2"/>
    <w:rsid w:val="00036C73"/>
    <w:rsid w:val="000378AB"/>
    <w:rsid w:val="000411F2"/>
    <w:rsid w:val="0004157B"/>
    <w:rsid w:val="00042260"/>
    <w:rsid w:val="000429C2"/>
    <w:rsid w:val="0004462F"/>
    <w:rsid w:val="0004465F"/>
    <w:rsid w:val="000448CB"/>
    <w:rsid w:val="0004551D"/>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56D"/>
    <w:rsid w:val="00081C6E"/>
    <w:rsid w:val="00082D95"/>
    <w:rsid w:val="00082F92"/>
    <w:rsid w:val="00083154"/>
    <w:rsid w:val="000832DC"/>
    <w:rsid w:val="00083FA3"/>
    <w:rsid w:val="00084170"/>
    <w:rsid w:val="00085B09"/>
    <w:rsid w:val="000860F2"/>
    <w:rsid w:val="00086C73"/>
    <w:rsid w:val="00087C7A"/>
    <w:rsid w:val="00091415"/>
    <w:rsid w:val="0009155E"/>
    <w:rsid w:val="00092274"/>
    <w:rsid w:val="0009349F"/>
    <w:rsid w:val="000947F6"/>
    <w:rsid w:val="00096077"/>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0E84"/>
    <w:rsid w:val="000C1C64"/>
    <w:rsid w:val="000C3074"/>
    <w:rsid w:val="000C37DB"/>
    <w:rsid w:val="000C3E55"/>
    <w:rsid w:val="000C3F3C"/>
    <w:rsid w:val="000C66F7"/>
    <w:rsid w:val="000C7A9C"/>
    <w:rsid w:val="000D0657"/>
    <w:rsid w:val="000D47FF"/>
    <w:rsid w:val="000D62D6"/>
    <w:rsid w:val="000D6B61"/>
    <w:rsid w:val="000D71D3"/>
    <w:rsid w:val="000D7723"/>
    <w:rsid w:val="000E0CE5"/>
    <w:rsid w:val="000E0E42"/>
    <w:rsid w:val="000E0F0F"/>
    <w:rsid w:val="000E3F14"/>
    <w:rsid w:val="000E4CA6"/>
    <w:rsid w:val="000E6A4D"/>
    <w:rsid w:val="000F0CAC"/>
    <w:rsid w:val="000F2327"/>
    <w:rsid w:val="000F2654"/>
    <w:rsid w:val="000F2C63"/>
    <w:rsid w:val="000F332E"/>
    <w:rsid w:val="000F4710"/>
    <w:rsid w:val="000F595C"/>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5178"/>
    <w:rsid w:val="00126C2E"/>
    <w:rsid w:val="00127BCE"/>
    <w:rsid w:val="00130EA0"/>
    <w:rsid w:val="00132014"/>
    <w:rsid w:val="00132199"/>
    <w:rsid w:val="0013291C"/>
    <w:rsid w:val="00133E52"/>
    <w:rsid w:val="00136B5D"/>
    <w:rsid w:val="001445D2"/>
    <w:rsid w:val="001452CE"/>
    <w:rsid w:val="00145775"/>
    <w:rsid w:val="0014609A"/>
    <w:rsid w:val="00147F1D"/>
    <w:rsid w:val="00152183"/>
    <w:rsid w:val="00152D3B"/>
    <w:rsid w:val="00152D70"/>
    <w:rsid w:val="0015425E"/>
    <w:rsid w:val="001547D3"/>
    <w:rsid w:val="001551EC"/>
    <w:rsid w:val="001558B8"/>
    <w:rsid w:val="00155FBB"/>
    <w:rsid w:val="00162F9A"/>
    <w:rsid w:val="001634B1"/>
    <w:rsid w:val="00163ACC"/>
    <w:rsid w:val="00163F72"/>
    <w:rsid w:val="00164DD0"/>
    <w:rsid w:val="00165FB6"/>
    <w:rsid w:val="00167278"/>
    <w:rsid w:val="00170A9F"/>
    <w:rsid w:val="001717AB"/>
    <w:rsid w:val="00171B2A"/>
    <w:rsid w:val="00171B73"/>
    <w:rsid w:val="00172963"/>
    <w:rsid w:val="00174123"/>
    <w:rsid w:val="00174AB9"/>
    <w:rsid w:val="0017529D"/>
    <w:rsid w:val="001762BC"/>
    <w:rsid w:val="00176BAC"/>
    <w:rsid w:val="00176D45"/>
    <w:rsid w:val="001827F7"/>
    <w:rsid w:val="00184D72"/>
    <w:rsid w:val="0018571B"/>
    <w:rsid w:val="00187F12"/>
    <w:rsid w:val="00190A89"/>
    <w:rsid w:val="001931A2"/>
    <w:rsid w:val="00193B33"/>
    <w:rsid w:val="001940D8"/>
    <w:rsid w:val="00194611"/>
    <w:rsid w:val="00194DFB"/>
    <w:rsid w:val="001958C6"/>
    <w:rsid w:val="00195C77"/>
    <w:rsid w:val="00197050"/>
    <w:rsid w:val="001A0739"/>
    <w:rsid w:val="001A1AAB"/>
    <w:rsid w:val="001A1C02"/>
    <w:rsid w:val="001A2C87"/>
    <w:rsid w:val="001A331F"/>
    <w:rsid w:val="001A4860"/>
    <w:rsid w:val="001A513A"/>
    <w:rsid w:val="001A580B"/>
    <w:rsid w:val="001A5ABD"/>
    <w:rsid w:val="001A6EB2"/>
    <w:rsid w:val="001A7F3F"/>
    <w:rsid w:val="001B36F0"/>
    <w:rsid w:val="001B4B2D"/>
    <w:rsid w:val="001B4C7A"/>
    <w:rsid w:val="001B4C98"/>
    <w:rsid w:val="001B7DD5"/>
    <w:rsid w:val="001C088A"/>
    <w:rsid w:val="001C1293"/>
    <w:rsid w:val="001C3484"/>
    <w:rsid w:val="001C3833"/>
    <w:rsid w:val="001C48D1"/>
    <w:rsid w:val="001C4F6A"/>
    <w:rsid w:val="001C5311"/>
    <w:rsid w:val="001C5ABF"/>
    <w:rsid w:val="001C5C45"/>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43A5"/>
    <w:rsid w:val="001E4D2D"/>
    <w:rsid w:val="001E57AD"/>
    <w:rsid w:val="001E64A5"/>
    <w:rsid w:val="001E6549"/>
    <w:rsid w:val="001F0C86"/>
    <w:rsid w:val="001F3144"/>
    <w:rsid w:val="001F63FB"/>
    <w:rsid w:val="001F71E4"/>
    <w:rsid w:val="002006C2"/>
    <w:rsid w:val="0020395B"/>
    <w:rsid w:val="00203AC8"/>
    <w:rsid w:val="00204F44"/>
    <w:rsid w:val="0020529E"/>
    <w:rsid w:val="0020556A"/>
    <w:rsid w:val="00206FFB"/>
    <w:rsid w:val="00207171"/>
    <w:rsid w:val="002107C5"/>
    <w:rsid w:val="002109AB"/>
    <w:rsid w:val="00212441"/>
    <w:rsid w:val="00212741"/>
    <w:rsid w:val="00213EB3"/>
    <w:rsid w:val="00214CBE"/>
    <w:rsid w:val="002150C8"/>
    <w:rsid w:val="00215FBC"/>
    <w:rsid w:val="00216787"/>
    <w:rsid w:val="00216D09"/>
    <w:rsid w:val="00217064"/>
    <w:rsid w:val="00220C9A"/>
    <w:rsid w:val="00221F05"/>
    <w:rsid w:val="00222E9D"/>
    <w:rsid w:val="002233EE"/>
    <w:rsid w:val="002242FA"/>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1CA"/>
    <w:rsid w:val="002714F6"/>
    <w:rsid w:val="002728C0"/>
    <w:rsid w:val="0027463E"/>
    <w:rsid w:val="00274B82"/>
    <w:rsid w:val="00274D31"/>
    <w:rsid w:val="00275107"/>
    <w:rsid w:val="002756C0"/>
    <w:rsid w:val="00275725"/>
    <w:rsid w:val="002761FD"/>
    <w:rsid w:val="0027745A"/>
    <w:rsid w:val="00277925"/>
    <w:rsid w:val="00277A2A"/>
    <w:rsid w:val="0028006A"/>
    <w:rsid w:val="0028144F"/>
    <w:rsid w:val="00281FA7"/>
    <w:rsid w:val="0028213B"/>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5B35"/>
    <w:rsid w:val="002B6E6C"/>
    <w:rsid w:val="002B773B"/>
    <w:rsid w:val="002B774C"/>
    <w:rsid w:val="002B7D26"/>
    <w:rsid w:val="002C0337"/>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1F"/>
    <w:rsid w:val="002C7082"/>
    <w:rsid w:val="002D0358"/>
    <w:rsid w:val="002D0A23"/>
    <w:rsid w:val="002D2246"/>
    <w:rsid w:val="002D3BE5"/>
    <w:rsid w:val="002D4267"/>
    <w:rsid w:val="002D4DF9"/>
    <w:rsid w:val="002D5B74"/>
    <w:rsid w:val="002D5DFF"/>
    <w:rsid w:val="002D70CC"/>
    <w:rsid w:val="002E041D"/>
    <w:rsid w:val="002E0845"/>
    <w:rsid w:val="002E10BD"/>
    <w:rsid w:val="002E1513"/>
    <w:rsid w:val="002E1773"/>
    <w:rsid w:val="002E2030"/>
    <w:rsid w:val="002E2305"/>
    <w:rsid w:val="002E265F"/>
    <w:rsid w:val="002E3545"/>
    <w:rsid w:val="002E3FAB"/>
    <w:rsid w:val="002E4255"/>
    <w:rsid w:val="002E62E2"/>
    <w:rsid w:val="002E78A4"/>
    <w:rsid w:val="002E7C4F"/>
    <w:rsid w:val="002F08B9"/>
    <w:rsid w:val="002F428A"/>
    <w:rsid w:val="002F61C8"/>
    <w:rsid w:val="002F6A9D"/>
    <w:rsid w:val="00302DF9"/>
    <w:rsid w:val="0030546E"/>
    <w:rsid w:val="00305681"/>
    <w:rsid w:val="00305AA2"/>
    <w:rsid w:val="00305AF0"/>
    <w:rsid w:val="00305D2A"/>
    <w:rsid w:val="00306314"/>
    <w:rsid w:val="0030680B"/>
    <w:rsid w:val="00306DC7"/>
    <w:rsid w:val="003072D2"/>
    <w:rsid w:val="0031050B"/>
    <w:rsid w:val="003119AD"/>
    <w:rsid w:val="0031310A"/>
    <w:rsid w:val="00314371"/>
    <w:rsid w:val="003151B5"/>
    <w:rsid w:val="00315787"/>
    <w:rsid w:val="00316842"/>
    <w:rsid w:val="00317218"/>
    <w:rsid w:val="003202AF"/>
    <w:rsid w:val="00320544"/>
    <w:rsid w:val="0032086A"/>
    <w:rsid w:val="0032160E"/>
    <w:rsid w:val="00322C14"/>
    <w:rsid w:val="00323382"/>
    <w:rsid w:val="00323A55"/>
    <w:rsid w:val="00324401"/>
    <w:rsid w:val="003250E4"/>
    <w:rsid w:val="00330117"/>
    <w:rsid w:val="0033029F"/>
    <w:rsid w:val="00330462"/>
    <w:rsid w:val="00331187"/>
    <w:rsid w:val="00331204"/>
    <w:rsid w:val="003324C4"/>
    <w:rsid w:val="00334253"/>
    <w:rsid w:val="00335C08"/>
    <w:rsid w:val="00337917"/>
    <w:rsid w:val="003413DC"/>
    <w:rsid w:val="00342253"/>
    <w:rsid w:val="00344030"/>
    <w:rsid w:val="0034423D"/>
    <w:rsid w:val="00344D2E"/>
    <w:rsid w:val="00344E50"/>
    <w:rsid w:val="003451CF"/>
    <w:rsid w:val="00345531"/>
    <w:rsid w:val="003471D6"/>
    <w:rsid w:val="00352FCF"/>
    <w:rsid w:val="00353410"/>
    <w:rsid w:val="0035344A"/>
    <w:rsid w:val="00353C3B"/>
    <w:rsid w:val="0035404F"/>
    <w:rsid w:val="0035506C"/>
    <w:rsid w:val="0035733D"/>
    <w:rsid w:val="003573E3"/>
    <w:rsid w:val="00357923"/>
    <w:rsid w:val="003607A4"/>
    <w:rsid w:val="00360D1C"/>
    <w:rsid w:val="00360D3E"/>
    <w:rsid w:val="00361482"/>
    <w:rsid w:val="00361FEB"/>
    <w:rsid w:val="00363B4D"/>
    <w:rsid w:val="0036492C"/>
    <w:rsid w:val="00364B7E"/>
    <w:rsid w:val="00365952"/>
    <w:rsid w:val="00370E16"/>
    <w:rsid w:val="00371681"/>
    <w:rsid w:val="00373BDD"/>
    <w:rsid w:val="00374610"/>
    <w:rsid w:val="00375F54"/>
    <w:rsid w:val="00376D7A"/>
    <w:rsid w:val="003818FF"/>
    <w:rsid w:val="003845E5"/>
    <w:rsid w:val="00387364"/>
    <w:rsid w:val="00387385"/>
    <w:rsid w:val="003915CF"/>
    <w:rsid w:val="00392CD8"/>
    <w:rsid w:val="003943AE"/>
    <w:rsid w:val="0039489E"/>
    <w:rsid w:val="00394E7E"/>
    <w:rsid w:val="003A0536"/>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41EF"/>
    <w:rsid w:val="003B50E9"/>
    <w:rsid w:val="003B56C1"/>
    <w:rsid w:val="003B5859"/>
    <w:rsid w:val="003B7BFB"/>
    <w:rsid w:val="003B7BFE"/>
    <w:rsid w:val="003C215C"/>
    <w:rsid w:val="003C30E5"/>
    <w:rsid w:val="003C383C"/>
    <w:rsid w:val="003C5566"/>
    <w:rsid w:val="003C55C4"/>
    <w:rsid w:val="003C5969"/>
    <w:rsid w:val="003C5E20"/>
    <w:rsid w:val="003C62F4"/>
    <w:rsid w:val="003C6728"/>
    <w:rsid w:val="003C6BFB"/>
    <w:rsid w:val="003C789C"/>
    <w:rsid w:val="003D0021"/>
    <w:rsid w:val="003D0CE0"/>
    <w:rsid w:val="003D23F8"/>
    <w:rsid w:val="003D31A5"/>
    <w:rsid w:val="003D43D8"/>
    <w:rsid w:val="003D603A"/>
    <w:rsid w:val="003D683C"/>
    <w:rsid w:val="003E0AC1"/>
    <w:rsid w:val="003E3220"/>
    <w:rsid w:val="003E3795"/>
    <w:rsid w:val="003E5495"/>
    <w:rsid w:val="003E6260"/>
    <w:rsid w:val="003E785C"/>
    <w:rsid w:val="003F126E"/>
    <w:rsid w:val="003F1840"/>
    <w:rsid w:val="003F2288"/>
    <w:rsid w:val="003F46D6"/>
    <w:rsid w:val="003F4C08"/>
    <w:rsid w:val="003F4CD8"/>
    <w:rsid w:val="003F4E3D"/>
    <w:rsid w:val="003F5C37"/>
    <w:rsid w:val="00400188"/>
    <w:rsid w:val="0040018A"/>
    <w:rsid w:val="004014B8"/>
    <w:rsid w:val="0040292C"/>
    <w:rsid w:val="00402F96"/>
    <w:rsid w:val="00403A7F"/>
    <w:rsid w:val="004065C1"/>
    <w:rsid w:val="00406B06"/>
    <w:rsid w:val="00407ABD"/>
    <w:rsid w:val="00412726"/>
    <w:rsid w:val="00412959"/>
    <w:rsid w:val="004134E7"/>
    <w:rsid w:val="00413653"/>
    <w:rsid w:val="004142EF"/>
    <w:rsid w:val="004177C7"/>
    <w:rsid w:val="00417F77"/>
    <w:rsid w:val="004205AB"/>
    <w:rsid w:val="00422253"/>
    <w:rsid w:val="00422CE4"/>
    <w:rsid w:val="00423E21"/>
    <w:rsid w:val="00424AC2"/>
    <w:rsid w:val="00425344"/>
    <w:rsid w:val="00425516"/>
    <w:rsid w:val="00427CA7"/>
    <w:rsid w:val="00431135"/>
    <w:rsid w:val="004319DE"/>
    <w:rsid w:val="00434AFC"/>
    <w:rsid w:val="004352FF"/>
    <w:rsid w:val="00436D46"/>
    <w:rsid w:val="0044160D"/>
    <w:rsid w:val="00441BDC"/>
    <w:rsid w:val="00441D0D"/>
    <w:rsid w:val="00444BE0"/>
    <w:rsid w:val="00445195"/>
    <w:rsid w:val="004451D2"/>
    <w:rsid w:val="0044719A"/>
    <w:rsid w:val="004478CF"/>
    <w:rsid w:val="00450C8C"/>
    <w:rsid w:val="00450F9B"/>
    <w:rsid w:val="00451936"/>
    <w:rsid w:val="004546C8"/>
    <w:rsid w:val="0045481C"/>
    <w:rsid w:val="0045680F"/>
    <w:rsid w:val="004578C2"/>
    <w:rsid w:val="00460375"/>
    <w:rsid w:val="004603F0"/>
    <w:rsid w:val="00460978"/>
    <w:rsid w:val="00460E3E"/>
    <w:rsid w:val="00462706"/>
    <w:rsid w:val="00463291"/>
    <w:rsid w:val="00464269"/>
    <w:rsid w:val="00470C34"/>
    <w:rsid w:val="00471110"/>
    <w:rsid w:val="004711BB"/>
    <w:rsid w:val="00472E17"/>
    <w:rsid w:val="00474E01"/>
    <w:rsid w:val="00474EA7"/>
    <w:rsid w:val="0047707C"/>
    <w:rsid w:val="00480CA2"/>
    <w:rsid w:val="004811AC"/>
    <w:rsid w:val="00483888"/>
    <w:rsid w:val="004841B3"/>
    <w:rsid w:val="00484AAC"/>
    <w:rsid w:val="00486B28"/>
    <w:rsid w:val="00486FF8"/>
    <w:rsid w:val="0048789F"/>
    <w:rsid w:val="00491057"/>
    <w:rsid w:val="0049228A"/>
    <w:rsid w:val="004929E0"/>
    <w:rsid w:val="00493354"/>
    <w:rsid w:val="0049549C"/>
    <w:rsid w:val="004957E4"/>
    <w:rsid w:val="00496BE1"/>
    <w:rsid w:val="00496C1B"/>
    <w:rsid w:val="00497159"/>
    <w:rsid w:val="00497AA1"/>
    <w:rsid w:val="00497BA6"/>
    <w:rsid w:val="004A1AE0"/>
    <w:rsid w:val="004A1BDA"/>
    <w:rsid w:val="004A3912"/>
    <w:rsid w:val="004A3AD9"/>
    <w:rsid w:val="004A6B5E"/>
    <w:rsid w:val="004A6DB9"/>
    <w:rsid w:val="004A7D25"/>
    <w:rsid w:val="004B0654"/>
    <w:rsid w:val="004B0811"/>
    <w:rsid w:val="004B55B1"/>
    <w:rsid w:val="004B620F"/>
    <w:rsid w:val="004B7569"/>
    <w:rsid w:val="004B7855"/>
    <w:rsid w:val="004C0274"/>
    <w:rsid w:val="004C1156"/>
    <w:rsid w:val="004C229D"/>
    <w:rsid w:val="004C2927"/>
    <w:rsid w:val="004C35C0"/>
    <w:rsid w:val="004C4168"/>
    <w:rsid w:val="004C429A"/>
    <w:rsid w:val="004C4943"/>
    <w:rsid w:val="004C49B9"/>
    <w:rsid w:val="004C7E4E"/>
    <w:rsid w:val="004D0FA9"/>
    <w:rsid w:val="004D185D"/>
    <w:rsid w:val="004D517B"/>
    <w:rsid w:val="004D693B"/>
    <w:rsid w:val="004D6B49"/>
    <w:rsid w:val="004D7CC8"/>
    <w:rsid w:val="004E0ED1"/>
    <w:rsid w:val="004E1C33"/>
    <w:rsid w:val="004E4635"/>
    <w:rsid w:val="004E47B4"/>
    <w:rsid w:val="004E5A95"/>
    <w:rsid w:val="004E6904"/>
    <w:rsid w:val="004E6D42"/>
    <w:rsid w:val="004F0E4B"/>
    <w:rsid w:val="004F11ED"/>
    <w:rsid w:val="004F4801"/>
    <w:rsid w:val="004F5CF8"/>
    <w:rsid w:val="004F6380"/>
    <w:rsid w:val="004F7093"/>
    <w:rsid w:val="004F7326"/>
    <w:rsid w:val="004F7EBE"/>
    <w:rsid w:val="00500773"/>
    <w:rsid w:val="005021CA"/>
    <w:rsid w:val="0050269C"/>
    <w:rsid w:val="005036BF"/>
    <w:rsid w:val="00503E90"/>
    <w:rsid w:val="00503F70"/>
    <w:rsid w:val="005045ED"/>
    <w:rsid w:val="00504846"/>
    <w:rsid w:val="005050FA"/>
    <w:rsid w:val="00505D49"/>
    <w:rsid w:val="005066A2"/>
    <w:rsid w:val="00506FF7"/>
    <w:rsid w:val="005077E9"/>
    <w:rsid w:val="00507980"/>
    <w:rsid w:val="00511ABA"/>
    <w:rsid w:val="00512480"/>
    <w:rsid w:val="00514DD1"/>
    <w:rsid w:val="00517220"/>
    <w:rsid w:val="00517AF6"/>
    <w:rsid w:val="00520551"/>
    <w:rsid w:val="00520677"/>
    <w:rsid w:val="005206B6"/>
    <w:rsid w:val="00520C9D"/>
    <w:rsid w:val="00520DD9"/>
    <w:rsid w:val="005211ED"/>
    <w:rsid w:val="00521C2E"/>
    <w:rsid w:val="00521FD4"/>
    <w:rsid w:val="00526F6C"/>
    <w:rsid w:val="005272AC"/>
    <w:rsid w:val="00527B4D"/>
    <w:rsid w:val="0053441A"/>
    <w:rsid w:val="0053463D"/>
    <w:rsid w:val="0053555B"/>
    <w:rsid w:val="0053678D"/>
    <w:rsid w:val="005374D5"/>
    <w:rsid w:val="005414A4"/>
    <w:rsid w:val="0054168A"/>
    <w:rsid w:val="00541A1D"/>
    <w:rsid w:val="005441D8"/>
    <w:rsid w:val="0054477A"/>
    <w:rsid w:val="00544C80"/>
    <w:rsid w:val="00545D68"/>
    <w:rsid w:val="00546A31"/>
    <w:rsid w:val="005475F6"/>
    <w:rsid w:val="005478A4"/>
    <w:rsid w:val="005505F7"/>
    <w:rsid w:val="00550AB1"/>
    <w:rsid w:val="00550AD3"/>
    <w:rsid w:val="00550B47"/>
    <w:rsid w:val="005531B1"/>
    <w:rsid w:val="00553A80"/>
    <w:rsid w:val="00553E6D"/>
    <w:rsid w:val="00557052"/>
    <w:rsid w:val="00560704"/>
    <w:rsid w:val="00560A7C"/>
    <w:rsid w:val="005618CF"/>
    <w:rsid w:val="00562811"/>
    <w:rsid w:val="00562C0A"/>
    <w:rsid w:val="0056395C"/>
    <w:rsid w:val="005639B2"/>
    <w:rsid w:val="00564DB4"/>
    <w:rsid w:val="00564E52"/>
    <w:rsid w:val="00565310"/>
    <w:rsid w:val="00565EB8"/>
    <w:rsid w:val="00566C9F"/>
    <w:rsid w:val="0056787C"/>
    <w:rsid w:val="00570B2E"/>
    <w:rsid w:val="00572253"/>
    <w:rsid w:val="00572C14"/>
    <w:rsid w:val="005748BC"/>
    <w:rsid w:val="00576BA4"/>
    <w:rsid w:val="00580D1E"/>
    <w:rsid w:val="005812E7"/>
    <w:rsid w:val="005844BC"/>
    <w:rsid w:val="00584C3C"/>
    <w:rsid w:val="00584DFD"/>
    <w:rsid w:val="00585B16"/>
    <w:rsid w:val="00586D2E"/>
    <w:rsid w:val="00587283"/>
    <w:rsid w:val="00590EB9"/>
    <w:rsid w:val="00590FA6"/>
    <w:rsid w:val="00591EA6"/>
    <w:rsid w:val="0059210A"/>
    <w:rsid w:val="005927E0"/>
    <w:rsid w:val="00594856"/>
    <w:rsid w:val="00595974"/>
    <w:rsid w:val="005973C5"/>
    <w:rsid w:val="005A061B"/>
    <w:rsid w:val="005A2879"/>
    <w:rsid w:val="005A3704"/>
    <w:rsid w:val="005A44E9"/>
    <w:rsid w:val="005A497D"/>
    <w:rsid w:val="005A4E11"/>
    <w:rsid w:val="005A4F81"/>
    <w:rsid w:val="005A501F"/>
    <w:rsid w:val="005A5179"/>
    <w:rsid w:val="005A555F"/>
    <w:rsid w:val="005A55D3"/>
    <w:rsid w:val="005A61B0"/>
    <w:rsid w:val="005A6AE8"/>
    <w:rsid w:val="005A6DB9"/>
    <w:rsid w:val="005A74B6"/>
    <w:rsid w:val="005B0049"/>
    <w:rsid w:val="005B033C"/>
    <w:rsid w:val="005B0979"/>
    <w:rsid w:val="005B27EC"/>
    <w:rsid w:val="005B2B0E"/>
    <w:rsid w:val="005B3352"/>
    <w:rsid w:val="005B4022"/>
    <w:rsid w:val="005B54B6"/>
    <w:rsid w:val="005B6886"/>
    <w:rsid w:val="005B76AC"/>
    <w:rsid w:val="005B7DCB"/>
    <w:rsid w:val="005B7E58"/>
    <w:rsid w:val="005C0763"/>
    <w:rsid w:val="005C1023"/>
    <w:rsid w:val="005C12F0"/>
    <w:rsid w:val="005C1B82"/>
    <w:rsid w:val="005C2532"/>
    <w:rsid w:val="005C31E9"/>
    <w:rsid w:val="005C390F"/>
    <w:rsid w:val="005C4077"/>
    <w:rsid w:val="005C4BF7"/>
    <w:rsid w:val="005C4C84"/>
    <w:rsid w:val="005C4DDB"/>
    <w:rsid w:val="005C5C26"/>
    <w:rsid w:val="005C5ED8"/>
    <w:rsid w:val="005C6DB5"/>
    <w:rsid w:val="005C773D"/>
    <w:rsid w:val="005D0304"/>
    <w:rsid w:val="005D0FC3"/>
    <w:rsid w:val="005D348E"/>
    <w:rsid w:val="005D3B53"/>
    <w:rsid w:val="005D3C19"/>
    <w:rsid w:val="005D3F76"/>
    <w:rsid w:val="005D4C38"/>
    <w:rsid w:val="005D50EC"/>
    <w:rsid w:val="005D75A6"/>
    <w:rsid w:val="005E0036"/>
    <w:rsid w:val="005E061B"/>
    <w:rsid w:val="005E1093"/>
    <w:rsid w:val="005E4C35"/>
    <w:rsid w:val="005E6C61"/>
    <w:rsid w:val="005E7766"/>
    <w:rsid w:val="005E7C26"/>
    <w:rsid w:val="005E7D9E"/>
    <w:rsid w:val="005F0D42"/>
    <w:rsid w:val="005F266D"/>
    <w:rsid w:val="005F34CC"/>
    <w:rsid w:val="005F7781"/>
    <w:rsid w:val="00601A20"/>
    <w:rsid w:val="00601A34"/>
    <w:rsid w:val="00601C66"/>
    <w:rsid w:val="00601D3C"/>
    <w:rsid w:val="006022BA"/>
    <w:rsid w:val="006025F7"/>
    <w:rsid w:val="00602AA1"/>
    <w:rsid w:val="0060302B"/>
    <w:rsid w:val="006032CF"/>
    <w:rsid w:val="00603F2C"/>
    <w:rsid w:val="006057CD"/>
    <w:rsid w:val="00605C0E"/>
    <w:rsid w:val="006067D6"/>
    <w:rsid w:val="006104ED"/>
    <w:rsid w:val="00610D04"/>
    <w:rsid w:val="00610FA2"/>
    <w:rsid w:val="00612B45"/>
    <w:rsid w:val="006170CC"/>
    <w:rsid w:val="00617199"/>
    <w:rsid w:val="006208B6"/>
    <w:rsid w:val="006209C2"/>
    <w:rsid w:val="00620B30"/>
    <w:rsid w:val="00621201"/>
    <w:rsid w:val="00622734"/>
    <w:rsid w:val="00622CED"/>
    <w:rsid w:val="00623D2E"/>
    <w:rsid w:val="006242BE"/>
    <w:rsid w:val="00624EF3"/>
    <w:rsid w:val="00625397"/>
    <w:rsid w:val="00625DB4"/>
    <w:rsid w:val="00625E5D"/>
    <w:rsid w:val="00626C2E"/>
    <w:rsid w:val="0063169A"/>
    <w:rsid w:val="00631971"/>
    <w:rsid w:val="00631DB4"/>
    <w:rsid w:val="00631F97"/>
    <w:rsid w:val="00632423"/>
    <w:rsid w:val="00632DE8"/>
    <w:rsid w:val="00636C21"/>
    <w:rsid w:val="00641323"/>
    <w:rsid w:val="00641515"/>
    <w:rsid w:val="006417D6"/>
    <w:rsid w:val="006422BF"/>
    <w:rsid w:val="00642500"/>
    <w:rsid w:val="00642589"/>
    <w:rsid w:val="00644D9E"/>
    <w:rsid w:val="00645761"/>
    <w:rsid w:val="00645892"/>
    <w:rsid w:val="00646562"/>
    <w:rsid w:val="00647F32"/>
    <w:rsid w:val="006503D8"/>
    <w:rsid w:val="00650440"/>
    <w:rsid w:val="00652337"/>
    <w:rsid w:val="0065401F"/>
    <w:rsid w:val="006559B0"/>
    <w:rsid w:val="00656523"/>
    <w:rsid w:val="00656601"/>
    <w:rsid w:val="00657965"/>
    <w:rsid w:val="00660A2F"/>
    <w:rsid w:val="00661A8F"/>
    <w:rsid w:val="00662F2D"/>
    <w:rsid w:val="00665884"/>
    <w:rsid w:val="00667E20"/>
    <w:rsid w:val="00667FBA"/>
    <w:rsid w:val="00670DE7"/>
    <w:rsid w:val="00672C7B"/>
    <w:rsid w:val="00672E46"/>
    <w:rsid w:val="00674D1B"/>
    <w:rsid w:val="00675A4F"/>
    <w:rsid w:val="006761A4"/>
    <w:rsid w:val="00676358"/>
    <w:rsid w:val="00681B9A"/>
    <w:rsid w:val="0068410C"/>
    <w:rsid w:val="00685A82"/>
    <w:rsid w:val="00685EF8"/>
    <w:rsid w:val="00686764"/>
    <w:rsid w:val="00687423"/>
    <w:rsid w:val="00687A7C"/>
    <w:rsid w:val="00690139"/>
    <w:rsid w:val="00691193"/>
    <w:rsid w:val="00692015"/>
    <w:rsid w:val="006923C5"/>
    <w:rsid w:val="00693AC1"/>
    <w:rsid w:val="00693CE5"/>
    <w:rsid w:val="00693CFC"/>
    <w:rsid w:val="00694361"/>
    <w:rsid w:val="00694B93"/>
    <w:rsid w:val="006952B1"/>
    <w:rsid w:val="006961BE"/>
    <w:rsid w:val="00696339"/>
    <w:rsid w:val="006968D5"/>
    <w:rsid w:val="00696F10"/>
    <w:rsid w:val="006A0271"/>
    <w:rsid w:val="006A0353"/>
    <w:rsid w:val="006A09A8"/>
    <w:rsid w:val="006A0AA7"/>
    <w:rsid w:val="006A0C8C"/>
    <w:rsid w:val="006A29DE"/>
    <w:rsid w:val="006A34B8"/>
    <w:rsid w:val="006A4976"/>
    <w:rsid w:val="006A4C26"/>
    <w:rsid w:val="006A4D88"/>
    <w:rsid w:val="006A6593"/>
    <w:rsid w:val="006A6955"/>
    <w:rsid w:val="006B51A2"/>
    <w:rsid w:val="006B5A6A"/>
    <w:rsid w:val="006B73DC"/>
    <w:rsid w:val="006B7657"/>
    <w:rsid w:val="006B7B61"/>
    <w:rsid w:val="006B7CEC"/>
    <w:rsid w:val="006B7DAF"/>
    <w:rsid w:val="006C04F1"/>
    <w:rsid w:val="006C21E4"/>
    <w:rsid w:val="006C2527"/>
    <w:rsid w:val="006C2AEF"/>
    <w:rsid w:val="006C401B"/>
    <w:rsid w:val="006C4CA7"/>
    <w:rsid w:val="006C66AA"/>
    <w:rsid w:val="006C66EF"/>
    <w:rsid w:val="006C775B"/>
    <w:rsid w:val="006C7E15"/>
    <w:rsid w:val="006D0481"/>
    <w:rsid w:val="006D0E85"/>
    <w:rsid w:val="006D23EA"/>
    <w:rsid w:val="006D2E38"/>
    <w:rsid w:val="006D4177"/>
    <w:rsid w:val="006D72B1"/>
    <w:rsid w:val="006E03FD"/>
    <w:rsid w:val="006E1B24"/>
    <w:rsid w:val="006E2164"/>
    <w:rsid w:val="006E2C40"/>
    <w:rsid w:val="006E457D"/>
    <w:rsid w:val="006E6E5D"/>
    <w:rsid w:val="006E7235"/>
    <w:rsid w:val="006F0BCA"/>
    <w:rsid w:val="006F103C"/>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6B1C"/>
    <w:rsid w:val="00707CB2"/>
    <w:rsid w:val="0071000E"/>
    <w:rsid w:val="00713B2D"/>
    <w:rsid w:val="00713DF3"/>
    <w:rsid w:val="00713FDB"/>
    <w:rsid w:val="007154E8"/>
    <w:rsid w:val="00715BB3"/>
    <w:rsid w:val="007170FA"/>
    <w:rsid w:val="00720A34"/>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C08"/>
    <w:rsid w:val="00743DF8"/>
    <w:rsid w:val="00744C87"/>
    <w:rsid w:val="0074543A"/>
    <w:rsid w:val="00745F80"/>
    <w:rsid w:val="00746F77"/>
    <w:rsid w:val="00747788"/>
    <w:rsid w:val="00747803"/>
    <w:rsid w:val="0074786B"/>
    <w:rsid w:val="007501EE"/>
    <w:rsid w:val="00750950"/>
    <w:rsid w:val="00750D8B"/>
    <w:rsid w:val="00750FE0"/>
    <w:rsid w:val="00751234"/>
    <w:rsid w:val="00752A36"/>
    <w:rsid w:val="00753B9A"/>
    <w:rsid w:val="007555BC"/>
    <w:rsid w:val="00755C90"/>
    <w:rsid w:val="00755EFA"/>
    <w:rsid w:val="0075686B"/>
    <w:rsid w:val="00757053"/>
    <w:rsid w:val="00757443"/>
    <w:rsid w:val="0076365B"/>
    <w:rsid w:val="00765D8F"/>
    <w:rsid w:val="0076708F"/>
    <w:rsid w:val="0076730E"/>
    <w:rsid w:val="007711C3"/>
    <w:rsid w:val="00771595"/>
    <w:rsid w:val="00772675"/>
    <w:rsid w:val="0077371C"/>
    <w:rsid w:val="00774DA0"/>
    <w:rsid w:val="00777A25"/>
    <w:rsid w:val="00777DAB"/>
    <w:rsid w:val="00783743"/>
    <w:rsid w:val="00784009"/>
    <w:rsid w:val="0078404B"/>
    <w:rsid w:val="00784E6F"/>
    <w:rsid w:val="00786554"/>
    <w:rsid w:val="00787FC8"/>
    <w:rsid w:val="0079050D"/>
    <w:rsid w:val="00790BD8"/>
    <w:rsid w:val="00792644"/>
    <w:rsid w:val="00793194"/>
    <w:rsid w:val="00794BDD"/>
    <w:rsid w:val="00795358"/>
    <w:rsid w:val="0079543F"/>
    <w:rsid w:val="00795C0B"/>
    <w:rsid w:val="007A03B8"/>
    <w:rsid w:val="007A1185"/>
    <w:rsid w:val="007A1F76"/>
    <w:rsid w:val="007A2A07"/>
    <w:rsid w:val="007A382F"/>
    <w:rsid w:val="007A3FC7"/>
    <w:rsid w:val="007A4FF7"/>
    <w:rsid w:val="007A6367"/>
    <w:rsid w:val="007A6483"/>
    <w:rsid w:val="007A6558"/>
    <w:rsid w:val="007A7E58"/>
    <w:rsid w:val="007B0A28"/>
    <w:rsid w:val="007B1970"/>
    <w:rsid w:val="007B3FF0"/>
    <w:rsid w:val="007B4D3C"/>
    <w:rsid w:val="007B4D9A"/>
    <w:rsid w:val="007B75E5"/>
    <w:rsid w:val="007C12CD"/>
    <w:rsid w:val="007C3025"/>
    <w:rsid w:val="007C343E"/>
    <w:rsid w:val="007C4045"/>
    <w:rsid w:val="007C5376"/>
    <w:rsid w:val="007C5B9F"/>
    <w:rsid w:val="007C5D49"/>
    <w:rsid w:val="007C5FB7"/>
    <w:rsid w:val="007D01D3"/>
    <w:rsid w:val="007D0B93"/>
    <w:rsid w:val="007D15B7"/>
    <w:rsid w:val="007D164E"/>
    <w:rsid w:val="007D1B60"/>
    <w:rsid w:val="007D4D13"/>
    <w:rsid w:val="007D5DFC"/>
    <w:rsid w:val="007D7823"/>
    <w:rsid w:val="007D7D44"/>
    <w:rsid w:val="007E0135"/>
    <w:rsid w:val="007E0AA9"/>
    <w:rsid w:val="007E1554"/>
    <w:rsid w:val="007E1EB5"/>
    <w:rsid w:val="007E44DC"/>
    <w:rsid w:val="007E57B7"/>
    <w:rsid w:val="007E6167"/>
    <w:rsid w:val="007E69CA"/>
    <w:rsid w:val="007F039D"/>
    <w:rsid w:val="007F1C36"/>
    <w:rsid w:val="007F34C8"/>
    <w:rsid w:val="007F7544"/>
    <w:rsid w:val="007F7F37"/>
    <w:rsid w:val="00800942"/>
    <w:rsid w:val="00802268"/>
    <w:rsid w:val="00804287"/>
    <w:rsid w:val="008045F4"/>
    <w:rsid w:val="008067B2"/>
    <w:rsid w:val="00810511"/>
    <w:rsid w:val="008107F1"/>
    <w:rsid w:val="0081302C"/>
    <w:rsid w:val="00813AC0"/>
    <w:rsid w:val="00814B70"/>
    <w:rsid w:val="008151E2"/>
    <w:rsid w:val="008167F5"/>
    <w:rsid w:val="00817781"/>
    <w:rsid w:val="00822140"/>
    <w:rsid w:val="00822DFF"/>
    <w:rsid w:val="008273A7"/>
    <w:rsid w:val="0083205C"/>
    <w:rsid w:val="00832362"/>
    <w:rsid w:val="008329D4"/>
    <w:rsid w:val="00832A90"/>
    <w:rsid w:val="00833FCE"/>
    <w:rsid w:val="00834F37"/>
    <w:rsid w:val="00834FC3"/>
    <w:rsid w:val="008368E0"/>
    <w:rsid w:val="00837139"/>
    <w:rsid w:val="0084069E"/>
    <w:rsid w:val="00840BA6"/>
    <w:rsid w:val="00842C0E"/>
    <w:rsid w:val="00846504"/>
    <w:rsid w:val="00847198"/>
    <w:rsid w:val="00847484"/>
    <w:rsid w:val="00850DCC"/>
    <w:rsid w:val="00851837"/>
    <w:rsid w:val="00851982"/>
    <w:rsid w:val="0085462C"/>
    <w:rsid w:val="00854D39"/>
    <w:rsid w:val="008561D0"/>
    <w:rsid w:val="00857AF4"/>
    <w:rsid w:val="0086081F"/>
    <w:rsid w:val="008612B0"/>
    <w:rsid w:val="008631FB"/>
    <w:rsid w:val="00864A4D"/>
    <w:rsid w:val="00865E7B"/>
    <w:rsid w:val="0086685D"/>
    <w:rsid w:val="008700FC"/>
    <w:rsid w:val="00871C4F"/>
    <w:rsid w:val="00872712"/>
    <w:rsid w:val="00872B3D"/>
    <w:rsid w:val="00874F95"/>
    <w:rsid w:val="00875BEC"/>
    <w:rsid w:val="0087798E"/>
    <w:rsid w:val="00880670"/>
    <w:rsid w:val="00883CEA"/>
    <w:rsid w:val="00886298"/>
    <w:rsid w:val="00887B68"/>
    <w:rsid w:val="00890B49"/>
    <w:rsid w:val="0089291F"/>
    <w:rsid w:val="00893079"/>
    <w:rsid w:val="00893126"/>
    <w:rsid w:val="00894524"/>
    <w:rsid w:val="00895A33"/>
    <w:rsid w:val="00895B89"/>
    <w:rsid w:val="00896AE2"/>
    <w:rsid w:val="00896E8B"/>
    <w:rsid w:val="008A00BC"/>
    <w:rsid w:val="008A00DE"/>
    <w:rsid w:val="008A1E7B"/>
    <w:rsid w:val="008A39AE"/>
    <w:rsid w:val="008A47B9"/>
    <w:rsid w:val="008A6B0A"/>
    <w:rsid w:val="008B0CE2"/>
    <w:rsid w:val="008B1150"/>
    <w:rsid w:val="008B1A18"/>
    <w:rsid w:val="008B2DA5"/>
    <w:rsid w:val="008B4A8D"/>
    <w:rsid w:val="008B4DCC"/>
    <w:rsid w:val="008B508A"/>
    <w:rsid w:val="008B6F09"/>
    <w:rsid w:val="008B76B5"/>
    <w:rsid w:val="008B7ABB"/>
    <w:rsid w:val="008C0FB9"/>
    <w:rsid w:val="008C12F1"/>
    <w:rsid w:val="008C1B6D"/>
    <w:rsid w:val="008C2FCD"/>
    <w:rsid w:val="008C3908"/>
    <w:rsid w:val="008C51BC"/>
    <w:rsid w:val="008C614C"/>
    <w:rsid w:val="008C61E3"/>
    <w:rsid w:val="008C6649"/>
    <w:rsid w:val="008D014B"/>
    <w:rsid w:val="008D0559"/>
    <w:rsid w:val="008D149F"/>
    <w:rsid w:val="008D479A"/>
    <w:rsid w:val="008D6343"/>
    <w:rsid w:val="008D715B"/>
    <w:rsid w:val="008E0AFA"/>
    <w:rsid w:val="008E4C97"/>
    <w:rsid w:val="008E664C"/>
    <w:rsid w:val="008E6A49"/>
    <w:rsid w:val="008E6E4E"/>
    <w:rsid w:val="008E7FE3"/>
    <w:rsid w:val="008F0AA9"/>
    <w:rsid w:val="008F11F9"/>
    <w:rsid w:val="008F45FD"/>
    <w:rsid w:val="008F584F"/>
    <w:rsid w:val="008F5D50"/>
    <w:rsid w:val="008F633D"/>
    <w:rsid w:val="008F6481"/>
    <w:rsid w:val="008F6A4F"/>
    <w:rsid w:val="008F7360"/>
    <w:rsid w:val="00900BF6"/>
    <w:rsid w:val="0090227E"/>
    <w:rsid w:val="00903DDE"/>
    <w:rsid w:val="009040C5"/>
    <w:rsid w:val="00904423"/>
    <w:rsid w:val="00905696"/>
    <w:rsid w:val="00906C4C"/>
    <w:rsid w:val="00912924"/>
    <w:rsid w:val="00913D72"/>
    <w:rsid w:val="00914E5D"/>
    <w:rsid w:val="00915389"/>
    <w:rsid w:val="00915451"/>
    <w:rsid w:val="0091585E"/>
    <w:rsid w:val="00916413"/>
    <w:rsid w:val="00920ABE"/>
    <w:rsid w:val="009214DA"/>
    <w:rsid w:val="0092218C"/>
    <w:rsid w:val="00923A06"/>
    <w:rsid w:val="00925059"/>
    <w:rsid w:val="009253E4"/>
    <w:rsid w:val="00925C40"/>
    <w:rsid w:val="00925F5D"/>
    <w:rsid w:val="009261A6"/>
    <w:rsid w:val="009307B7"/>
    <w:rsid w:val="00930829"/>
    <w:rsid w:val="0093086F"/>
    <w:rsid w:val="00932DA8"/>
    <w:rsid w:val="009350B4"/>
    <w:rsid w:val="009373A9"/>
    <w:rsid w:val="009377B6"/>
    <w:rsid w:val="00940227"/>
    <w:rsid w:val="00940F4A"/>
    <w:rsid w:val="009411B7"/>
    <w:rsid w:val="00941617"/>
    <w:rsid w:val="00941AFB"/>
    <w:rsid w:val="00941BFD"/>
    <w:rsid w:val="0094214E"/>
    <w:rsid w:val="00943075"/>
    <w:rsid w:val="00943E24"/>
    <w:rsid w:val="0094524E"/>
    <w:rsid w:val="00945754"/>
    <w:rsid w:val="009457A4"/>
    <w:rsid w:val="00946A29"/>
    <w:rsid w:val="0095107A"/>
    <w:rsid w:val="0095144D"/>
    <w:rsid w:val="00951559"/>
    <w:rsid w:val="00952198"/>
    <w:rsid w:val="009525FD"/>
    <w:rsid w:val="00952759"/>
    <w:rsid w:val="0095556C"/>
    <w:rsid w:val="0095607A"/>
    <w:rsid w:val="00956CCD"/>
    <w:rsid w:val="0095771D"/>
    <w:rsid w:val="00957D66"/>
    <w:rsid w:val="00960E9C"/>
    <w:rsid w:val="00961AA1"/>
    <w:rsid w:val="00962BDB"/>
    <w:rsid w:val="00963321"/>
    <w:rsid w:val="009633E3"/>
    <w:rsid w:val="009641E4"/>
    <w:rsid w:val="0096449A"/>
    <w:rsid w:val="009664DA"/>
    <w:rsid w:val="00967C16"/>
    <w:rsid w:val="00972484"/>
    <w:rsid w:val="0097450B"/>
    <w:rsid w:val="00975429"/>
    <w:rsid w:val="00975B6E"/>
    <w:rsid w:val="0097600D"/>
    <w:rsid w:val="0097746B"/>
    <w:rsid w:val="00980E1A"/>
    <w:rsid w:val="00981D00"/>
    <w:rsid w:val="00982A74"/>
    <w:rsid w:val="00983654"/>
    <w:rsid w:val="0098383D"/>
    <w:rsid w:val="009848BE"/>
    <w:rsid w:val="009859A0"/>
    <w:rsid w:val="00986159"/>
    <w:rsid w:val="009869A8"/>
    <w:rsid w:val="00987929"/>
    <w:rsid w:val="009918F1"/>
    <w:rsid w:val="00991A30"/>
    <w:rsid w:val="009962E5"/>
    <w:rsid w:val="009977C2"/>
    <w:rsid w:val="00997DBE"/>
    <w:rsid w:val="009A0471"/>
    <w:rsid w:val="009A2DAF"/>
    <w:rsid w:val="009A459C"/>
    <w:rsid w:val="009A58E9"/>
    <w:rsid w:val="009A58F7"/>
    <w:rsid w:val="009A5B51"/>
    <w:rsid w:val="009B146F"/>
    <w:rsid w:val="009B28CA"/>
    <w:rsid w:val="009B31F7"/>
    <w:rsid w:val="009B451D"/>
    <w:rsid w:val="009B4FCA"/>
    <w:rsid w:val="009B5D14"/>
    <w:rsid w:val="009C0036"/>
    <w:rsid w:val="009C3171"/>
    <w:rsid w:val="009C5CB5"/>
    <w:rsid w:val="009C7E0F"/>
    <w:rsid w:val="009D1DAE"/>
    <w:rsid w:val="009D1F57"/>
    <w:rsid w:val="009D3723"/>
    <w:rsid w:val="009D438A"/>
    <w:rsid w:val="009D5684"/>
    <w:rsid w:val="009D7C7E"/>
    <w:rsid w:val="009D7DAA"/>
    <w:rsid w:val="009E026F"/>
    <w:rsid w:val="009E1511"/>
    <w:rsid w:val="009E1517"/>
    <w:rsid w:val="009E2B0E"/>
    <w:rsid w:val="009E35DE"/>
    <w:rsid w:val="009E63A8"/>
    <w:rsid w:val="009E6654"/>
    <w:rsid w:val="009E6E1A"/>
    <w:rsid w:val="009E6FDE"/>
    <w:rsid w:val="009E741A"/>
    <w:rsid w:val="009E7E4C"/>
    <w:rsid w:val="009F0A09"/>
    <w:rsid w:val="009F43DA"/>
    <w:rsid w:val="009F6265"/>
    <w:rsid w:val="009F7793"/>
    <w:rsid w:val="009F7E31"/>
    <w:rsid w:val="00A00E0E"/>
    <w:rsid w:val="00A017AE"/>
    <w:rsid w:val="00A03081"/>
    <w:rsid w:val="00A03ECA"/>
    <w:rsid w:val="00A05765"/>
    <w:rsid w:val="00A061C5"/>
    <w:rsid w:val="00A06514"/>
    <w:rsid w:val="00A06688"/>
    <w:rsid w:val="00A073EA"/>
    <w:rsid w:val="00A11573"/>
    <w:rsid w:val="00A122A7"/>
    <w:rsid w:val="00A147FE"/>
    <w:rsid w:val="00A14BEC"/>
    <w:rsid w:val="00A15120"/>
    <w:rsid w:val="00A15372"/>
    <w:rsid w:val="00A15457"/>
    <w:rsid w:val="00A154D2"/>
    <w:rsid w:val="00A1574A"/>
    <w:rsid w:val="00A15FFF"/>
    <w:rsid w:val="00A160CB"/>
    <w:rsid w:val="00A16FB7"/>
    <w:rsid w:val="00A1765B"/>
    <w:rsid w:val="00A17D77"/>
    <w:rsid w:val="00A20B1F"/>
    <w:rsid w:val="00A20B44"/>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55FB9"/>
    <w:rsid w:val="00A60E99"/>
    <w:rsid w:val="00A615D0"/>
    <w:rsid w:val="00A61AE8"/>
    <w:rsid w:val="00A61FFF"/>
    <w:rsid w:val="00A63EEC"/>
    <w:rsid w:val="00A64BF3"/>
    <w:rsid w:val="00A64F2D"/>
    <w:rsid w:val="00A67962"/>
    <w:rsid w:val="00A709CE"/>
    <w:rsid w:val="00A72D0A"/>
    <w:rsid w:val="00A732D9"/>
    <w:rsid w:val="00A73748"/>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42A1"/>
    <w:rsid w:val="00A944BD"/>
    <w:rsid w:val="00A9583E"/>
    <w:rsid w:val="00A978AC"/>
    <w:rsid w:val="00AA3209"/>
    <w:rsid w:val="00AA56BE"/>
    <w:rsid w:val="00AA6284"/>
    <w:rsid w:val="00AA7DF7"/>
    <w:rsid w:val="00AB1F3A"/>
    <w:rsid w:val="00AB48D2"/>
    <w:rsid w:val="00AB5BE1"/>
    <w:rsid w:val="00AB65EB"/>
    <w:rsid w:val="00AB6B1F"/>
    <w:rsid w:val="00AC3531"/>
    <w:rsid w:val="00AC4BF4"/>
    <w:rsid w:val="00AC583C"/>
    <w:rsid w:val="00AC5E05"/>
    <w:rsid w:val="00AC6E89"/>
    <w:rsid w:val="00AC7CBF"/>
    <w:rsid w:val="00AD07AD"/>
    <w:rsid w:val="00AD0BA6"/>
    <w:rsid w:val="00AD171B"/>
    <w:rsid w:val="00AD1874"/>
    <w:rsid w:val="00AD257E"/>
    <w:rsid w:val="00AD320A"/>
    <w:rsid w:val="00AD4A8E"/>
    <w:rsid w:val="00AD650D"/>
    <w:rsid w:val="00AD67A8"/>
    <w:rsid w:val="00AD75E7"/>
    <w:rsid w:val="00AE0365"/>
    <w:rsid w:val="00AE03D4"/>
    <w:rsid w:val="00AE093C"/>
    <w:rsid w:val="00AE15FD"/>
    <w:rsid w:val="00AE1BAD"/>
    <w:rsid w:val="00AE1C4B"/>
    <w:rsid w:val="00AE1E15"/>
    <w:rsid w:val="00AE2BBC"/>
    <w:rsid w:val="00AE320F"/>
    <w:rsid w:val="00AE3A65"/>
    <w:rsid w:val="00AE3CCF"/>
    <w:rsid w:val="00AE5A26"/>
    <w:rsid w:val="00AF05A6"/>
    <w:rsid w:val="00AF1E23"/>
    <w:rsid w:val="00AF2729"/>
    <w:rsid w:val="00AF4347"/>
    <w:rsid w:val="00AF46FA"/>
    <w:rsid w:val="00AF4CFD"/>
    <w:rsid w:val="00AF4ED7"/>
    <w:rsid w:val="00AF56FA"/>
    <w:rsid w:val="00AF5954"/>
    <w:rsid w:val="00AF5EE4"/>
    <w:rsid w:val="00AF5F62"/>
    <w:rsid w:val="00AF681C"/>
    <w:rsid w:val="00AF6D90"/>
    <w:rsid w:val="00AF748E"/>
    <w:rsid w:val="00B00182"/>
    <w:rsid w:val="00B01476"/>
    <w:rsid w:val="00B01E3D"/>
    <w:rsid w:val="00B02E99"/>
    <w:rsid w:val="00B03A9C"/>
    <w:rsid w:val="00B04D66"/>
    <w:rsid w:val="00B05D93"/>
    <w:rsid w:val="00B06DBE"/>
    <w:rsid w:val="00B06EF0"/>
    <w:rsid w:val="00B07F32"/>
    <w:rsid w:val="00B10905"/>
    <w:rsid w:val="00B10C58"/>
    <w:rsid w:val="00B10D2F"/>
    <w:rsid w:val="00B12D09"/>
    <w:rsid w:val="00B133DE"/>
    <w:rsid w:val="00B15363"/>
    <w:rsid w:val="00B15752"/>
    <w:rsid w:val="00B15BA1"/>
    <w:rsid w:val="00B20E35"/>
    <w:rsid w:val="00B21A3E"/>
    <w:rsid w:val="00B2282B"/>
    <w:rsid w:val="00B22B5D"/>
    <w:rsid w:val="00B22CE2"/>
    <w:rsid w:val="00B23FE9"/>
    <w:rsid w:val="00B2410E"/>
    <w:rsid w:val="00B24711"/>
    <w:rsid w:val="00B26EFE"/>
    <w:rsid w:val="00B2755A"/>
    <w:rsid w:val="00B3038C"/>
    <w:rsid w:val="00B32166"/>
    <w:rsid w:val="00B32565"/>
    <w:rsid w:val="00B32963"/>
    <w:rsid w:val="00B32A03"/>
    <w:rsid w:val="00B33506"/>
    <w:rsid w:val="00B35A51"/>
    <w:rsid w:val="00B3607D"/>
    <w:rsid w:val="00B372B1"/>
    <w:rsid w:val="00B40E3B"/>
    <w:rsid w:val="00B40EF7"/>
    <w:rsid w:val="00B410C9"/>
    <w:rsid w:val="00B42C57"/>
    <w:rsid w:val="00B435C5"/>
    <w:rsid w:val="00B44444"/>
    <w:rsid w:val="00B46928"/>
    <w:rsid w:val="00B4767F"/>
    <w:rsid w:val="00B47BC7"/>
    <w:rsid w:val="00B507C0"/>
    <w:rsid w:val="00B50B9A"/>
    <w:rsid w:val="00B531EE"/>
    <w:rsid w:val="00B53287"/>
    <w:rsid w:val="00B532F8"/>
    <w:rsid w:val="00B5345E"/>
    <w:rsid w:val="00B54711"/>
    <w:rsid w:val="00B550A8"/>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B7F"/>
    <w:rsid w:val="00B83C53"/>
    <w:rsid w:val="00B87CE2"/>
    <w:rsid w:val="00B87E5E"/>
    <w:rsid w:val="00B904C5"/>
    <w:rsid w:val="00B91285"/>
    <w:rsid w:val="00B939E8"/>
    <w:rsid w:val="00B93DFA"/>
    <w:rsid w:val="00B947DD"/>
    <w:rsid w:val="00B97A8C"/>
    <w:rsid w:val="00B97B69"/>
    <w:rsid w:val="00BA0C38"/>
    <w:rsid w:val="00BA0F26"/>
    <w:rsid w:val="00BA14F6"/>
    <w:rsid w:val="00BA2B89"/>
    <w:rsid w:val="00BA32F0"/>
    <w:rsid w:val="00BA3881"/>
    <w:rsid w:val="00BA49DF"/>
    <w:rsid w:val="00BA5F2B"/>
    <w:rsid w:val="00BA70EF"/>
    <w:rsid w:val="00BB2002"/>
    <w:rsid w:val="00BB3AFE"/>
    <w:rsid w:val="00BB4530"/>
    <w:rsid w:val="00BB534B"/>
    <w:rsid w:val="00BB6482"/>
    <w:rsid w:val="00BB6AC6"/>
    <w:rsid w:val="00BB6CC3"/>
    <w:rsid w:val="00BB6F69"/>
    <w:rsid w:val="00BB77C6"/>
    <w:rsid w:val="00BC016F"/>
    <w:rsid w:val="00BC08A5"/>
    <w:rsid w:val="00BC1699"/>
    <w:rsid w:val="00BC1FB2"/>
    <w:rsid w:val="00BC2995"/>
    <w:rsid w:val="00BC2F21"/>
    <w:rsid w:val="00BC2F49"/>
    <w:rsid w:val="00BC360C"/>
    <w:rsid w:val="00BC4562"/>
    <w:rsid w:val="00BC5E2E"/>
    <w:rsid w:val="00BC66B1"/>
    <w:rsid w:val="00BC78F1"/>
    <w:rsid w:val="00BD0192"/>
    <w:rsid w:val="00BD18A9"/>
    <w:rsid w:val="00BD18B0"/>
    <w:rsid w:val="00BD24B6"/>
    <w:rsid w:val="00BD3247"/>
    <w:rsid w:val="00BD445F"/>
    <w:rsid w:val="00BD4B9F"/>
    <w:rsid w:val="00BD55C5"/>
    <w:rsid w:val="00BD69DF"/>
    <w:rsid w:val="00BD78E9"/>
    <w:rsid w:val="00BE1607"/>
    <w:rsid w:val="00BE2E16"/>
    <w:rsid w:val="00BE3636"/>
    <w:rsid w:val="00BE3719"/>
    <w:rsid w:val="00BE3945"/>
    <w:rsid w:val="00BE3F34"/>
    <w:rsid w:val="00BE4586"/>
    <w:rsid w:val="00BE45C9"/>
    <w:rsid w:val="00BE4AEF"/>
    <w:rsid w:val="00BE6BB7"/>
    <w:rsid w:val="00BE7154"/>
    <w:rsid w:val="00BE7F90"/>
    <w:rsid w:val="00BF063B"/>
    <w:rsid w:val="00BF0E54"/>
    <w:rsid w:val="00BF388B"/>
    <w:rsid w:val="00BF4121"/>
    <w:rsid w:val="00BF4CB9"/>
    <w:rsid w:val="00BF4F1F"/>
    <w:rsid w:val="00BF556F"/>
    <w:rsid w:val="00C00023"/>
    <w:rsid w:val="00C011B8"/>
    <w:rsid w:val="00C02AB2"/>
    <w:rsid w:val="00C04FC0"/>
    <w:rsid w:val="00C0532A"/>
    <w:rsid w:val="00C058AC"/>
    <w:rsid w:val="00C05A2E"/>
    <w:rsid w:val="00C05E99"/>
    <w:rsid w:val="00C06318"/>
    <w:rsid w:val="00C071E6"/>
    <w:rsid w:val="00C1172B"/>
    <w:rsid w:val="00C160AF"/>
    <w:rsid w:val="00C16563"/>
    <w:rsid w:val="00C1664A"/>
    <w:rsid w:val="00C16DCC"/>
    <w:rsid w:val="00C1703A"/>
    <w:rsid w:val="00C202FC"/>
    <w:rsid w:val="00C2099D"/>
    <w:rsid w:val="00C22D19"/>
    <w:rsid w:val="00C23934"/>
    <w:rsid w:val="00C24425"/>
    <w:rsid w:val="00C2479D"/>
    <w:rsid w:val="00C26DE9"/>
    <w:rsid w:val="00C31001"/>
    <w:rsid w:val="00C3102E"/>
    <w:rsid w:val="00C31FC5"/>
    <w:rsid w:val="00C33304"/>
    <w:rsid w:val="00C35941"/>
    <w:rsid w:val="00C3643D"/>
    <w:rsid w:val="00C36E7E"/>
    <w:rsid w:val="00C406D8"/>
    <w:rsid w:val="00C43A3A"/>
    <w:rsid w:val="00C4571D"/>
    <w:rsid w:val="00C472EF"/>
    <w:rsid w:val="00C5007B"/>
    <w:rsid w:val="00C52FB4"/>
    <w:rsid w:val="00C53E33"/>
    <w:rsid w:val="00C54149"/>
    <w:rsid w:val="00C54E14"/>
    <w:rsid w:val="00C55769"/>
    <w:rsid w:val="00C55A40"/>
    <w:rsid w:val="00C6122D"/>
    <w:rsid w:val="00C62F3D"/>
    <w:rsid w:val="00C64374"/>
    <w:rsid w:val="00C649F8"/>
    <w:rsid w:val="00C64E17"/>
    <w:rsid w:val="00C6528C"/>
    <w:rsid w:val="00C66160"/>
    <w:rsid w:val="00C665E8"/>
    <w:rsid w:val="00C675D9"/>
    <w:rsid w:val="00C70FBB"/>
    <w:rsid w:val="00C718FC"/>
    <w:rsid w:val="00C72522"/>
    <w:rsid w:val="00C72EBE"/>
    <w:rsid w:val="00C742E8"/>
    <w:rsid w:val="00C74435"/>
    <w:rsid w:val="00C74637"/>
    <w:rsid w:val="00C74989"/>
    <w:rsid w:val="00C757F9"/>
    <w:rsid w:val="00C771A4"/>
    <w:rsid w:val="00C777E2"/>
    <w:rsid w:val="00C77EF5"/>
    <w:rsid w:val="00C82E4C"/>
    <w:rsid w:val="00C83D16"/>
    <w:rsid w:val="00C91AEA"/>
    <w:rsid w:val="00C9309B"/>
    <w:rsid w:val="00CA05EA"/>
    <w:rsid w:val="00CA0D74"/>
    <w:rsid w:val="00CA1F9E"/>
    <w:rsid w:val="00CA2744"/>
    <w:rsid w:val="00CA32E9"/>
    <w:rsid w:val="00CA360C"/>
    <w:rsid w:val="00CA4934"/>
    <w:rsid w:val="00CA57B4"/>
    <w:rsid w:val="00CA67A5"/>
    <w:rsid w:val="00CB0B67"/>
    <w:rsid w:val="00CB213A"/>
    <w:rsid w:val="00CB39EB"/>
    <w:rsid w:val="00CB4133"/>
    <w:rsid w:val="00CB457A"/>
    <w:rsid w:val="00CB7A59"/>
    <w:rsid w:val="00CC033B"/>
    <w:rsid w:val="00CC08D4"/>
    <w:rsid w:val="00CC1B06"/>
    <w:rsid w:val="00CC2313"/>
    <w:rsid w:val="00CC2EE9"/>
    <w:rsid w:val="00CC3ABE"/>
    <w:rsid w:val="00CC5EC1"/>
    <w:rsid w:val="00CC6723"/>
    <w:rsid w:val="00CC6C59"/>
    <w:rsid w:val="00CC6E4A"/>
    <w:rsid w:val="00CC72C7"/>
    <w:rsid w:val="00CC7A57"/>
    <w:rsid w:val="00CD3CC8"/>
    <w:rsid w:val="00CD4C46"/>
    <w:rsid w:val="00CD639F"/>
    <w:rsid w:val="00CD70B8"/>
    <w:rsid w:val="00CD76D1"/>
    <w:rsid w:val="00CD7F29"/>
    <w:rsid w:val="00CE00CB"/>
    <w:rsid w:val="00CE016B"/>
    <w:rsid w:val="00CE0E2A"/>
    <w:rsid w:val="00CE132A"/>
    <w:rsid w:val="00CE3AA8"/>
    <w:rsid w:val="00CE3D68"/>
    <w:rsid w:val="00CE409C"/>
    <w:rsid w:val="00CE4299"/>
    <w:rsid w:val="00CE4B21"/>
    <w:rsid w:val="00CE6555"/>
    <w:rsid w:val="00CE72BF"/>
    <w:rsid w:val="00CE7990"/>
    <w:rsid w:val="00CF17B7"/>
    <w:rsid w:val="00CF1C07"/>
    <w:rsid w:val="00CF2048"/>
    <w:rsid w:val="00CF2BD1"/>
    <w:rsid w:val="00CF3A74"/>
    <w:rsid w:val="00CF69BE"/>
    <w:rsid w:val="00CF71CA"/>
    <w:rsid w:val="00D0087C"/>
    <w:rsid w:val="00D019CB"/>
    <w:rsid w:val="00D02912"/>
    <w:rsid w:val="00D0396C"/>
    <w:rsid w:val="00D04D54"/>
    <w:rsid w:val="00D05606"/>
    <w:rsid w:val="00D06E5B"/>
    <w:rsid w:val="00D10BBF"/>
    <w:rsid w:val="00D11B2D"/>
    <w:rsid w:val="00D11F7B"/>
    <w:rsid w:val="00D14D70"/>
    <w:rsid w:val="00D15798"/>
    <w:rsid w:val="00D159F2"/>
    <w:rsid w:val="00D179FA"/>
    <w:rsid w:val="00D2085E"/>
    <w:rsid w:val="00D22205"/>
    <w:rsid w:val="00D22F2A"/>
    <w:rsid w:val="00D246BF"/>
    <w:rsid w:val="00D257E0"/>
    <w:rsid w:val="00D26BF1"/>
    <w:rsid w:val="00D275F1"/>
    <w:rsid w:val="00D30C8D"/>
    <w:rsid w:val="00D30DF3"/>
    <w:rsid w:val="00D326EC"/>
    <w:rsid w:val="00D35614"/>
    <w:rsid w:val="00D3585C"/>
    <w:rsid w:val="00D4266B"/>
    <w:rsid w:val="00D42C42"/>
    <w:rsid w:val="00D42FC2"/>
    <w:rsid w:val="00D43128"/>
    <w:rsid w:val="00D44739"/>
    <w:rsid w:val="00D45395"/>
    <w:rsid w:val="00D47A7C"/>
    <w:rsid w:val="00D47B12"/>
    <w:rsid w:val="00D51B33"/>
    <w:rsid w:val="00D53FFF"/>
    <w:rsid w:val="00D54883"/>
    <w:rsid w:val="00D573F9"/>
    <w:rsid w:val="00D57A26"/>
    <w:rsid w:val="00D6044F"/>
    <w:rsid w:val="00D62A5D"/>
    <w:rsid w:val="00D631D3"/>
    <w:rsid w:val="00D66B68"/>
    <w:rsid w:val="00D67F4B"/>
    <w:rsid w:val="00D70989"/>
    <w:rsid w:val="00D730DD"/>
    <w:rsid w:val="00D73690"/>
    <w:rsid w:val="00D74100"/>
    <w:rsid w:val="00D744E8"/>
    <w:rsid w:val="00D76C88"/>
    <w:rsid w:val="00D7723B"/>
    <w:rsid w:val="00D77D19"/>
    <w:rsid w:val="00D803B6"/>
    <w:rsid w:val="00D8177D"/>
    <w:rsid w:val="00D81793"/>
    <w:rsid w:val="00D844F9"/>
    <w:rsid w:val="00D85B41"/>
    <w:rsid w:val="00D87308"/>
    <w:rsid w:val="00D8750E"/>
    <w:rsid w:val="00D921A1"/>
    <w:rsid w:val="00D937B5"/>
    <w:rsid w:val="00D93967"/>
    <w:rsid w:val="00D94907"/>
    <w:rsid w:val="00D963F8"/>
    <w:rsid w:val="00D96F62"/>
    <w:rsid w:val="00DA11ED"/>
    <w:rsid w:val="00DA1F8F"/>
    <w:rsid w:val="00DA30B3"/>
    <w:rsid w:val="00DA444A"/>
    <w:rsid w:val="00DA52D7"/>
    <w:rsid w:val="00DA581D"/>
    <w:rsid w:val="00DA74AD"/>
    <w:rsid w:val="00DA7C7B"/>
    <w:rsid w:val="00DB226B"/>
    <w:rsid w:val="00DB2628"/>
    <w:rsid w:val="00DB2AB2"/>
    <w:rsid w:val="00DB649F"/>
    <w:rsid w:val="00DB650C"/>
    <w:rsid w:val="00DB7415"/>
    <w:rsid w:val="00DC0CD1"/>
    <w:rsid w:val="00DC15B4"/>
    <w:rsid w:val="00DC2707"/>
    <w:rsid w:val="00DC2DF7"/>
    <w:rsid w:val="00DC617F"/>
    <w:rsid w:val="00DC61E9"/>
    <w:rsid w:val="00DD1269"/>
    <w:rsid w:val="00DD2348"/>
    <w:rsid w:val="00DD2431"/>
    <w:rsid w:val="00DD3FCA"/>
    <w:rsid w:val="00DD4892"/>
    <w:rsid w:val="00DD4D29"/>
    <w:rsid w:val="00DD7BD1"/>
    <w:rsid w:val="00DE1617"/>
    <w:rsid w:val="00DE2818"/>
    <w:rsid w:val="00DE5112"/>
    <w:rsid w:val="00DE591F"/>
    <w:rsid w:val="00DE5B95"/>
    <w:rsid w:val="00DE7920"/>
    <w:rsid w:val="00DF18D6"/>
    <w:rsid w:val="00DF1DC8"/>
    <w:rsid w:val="00DF25B4"/>
    <w:rsid w:val="00DF3822"/>
    <w:rsid w:val="00DF4094"/>
    <w:rsid w:val="00DF62D2"/>
    <w:rsid w:val="00DF7522"/>
    <w:rsid w:val="00E0077D"/>
    <w:rsid w:val="00E02C88"/>
    <w:rsid w:val="00E04253"/>
    <w:rsid w:val="00E04DC0"/>
    <w:rsid w:val="00E0564B"/>
    <w:rsid w:val="00E07A37"/>
    <w:rsid w:val="00E10A87"/>
    <w:rsid w:val="00E135E8"/>
    <w:rsid w:val="00E153EF"/>
    <w:rsid w:val="00E15BD5"/>
    <w:rsid w:val="00E162C3"/>
    <w:rsid w:val="00E16C5F"/>
    <w:rsid w:val="00E174C1"/>
    <w:rsid w:val="00E17641"/>
    <w:rsid w:val="00E225CC"/>
    <w:rsid w:val="00E22E30"/>
    <w:rsid w:val="00E24F00"/>
    <w:rsid w:val="00E267B1"/>
    <w:rsid w:val="00E32470"/>
    <w:rsid w:val="00E3278C"/>
    <w:rsid w:val="00E3610D"/>
    <w:rsid w:val="00E42FB4"/>
    <w:rsid w:val="00E43124"/>
    <w:rsid w:val="00E432A2"/>
    <w:rsid w:val="00E43496"/>
    <w:rsid w:val="00E4463D"/>
    <w:rsid w:val="00E4565E"/>
    <w:rsid w:val="00E461A3"/>
    <w:rsid w:val="00E46989"/>
    <w:rsid w:val="00E4729E"/>
    <w:rsid w:val="00E4784A"/>
    <w:rsid w:val="00E479BB"/>
    <w:rsid w:val="00E529FE"/>
    <w:rsid w:val="00E55EB5"/>
    <w:rsid w:val="00E60A4E"/>
    <w:rsid w:val="00E6151D"/>
    <w:rsid w:val="00E6323F"/>
    <w:rsid w:val="00E64BF9"/>
    <w:rsid w:val="00E66579"/>
    <w:rsid w:val="00E704B9"/>
    <w:rsid w:val="00E70C1D"/>
    <w:rsid w:val="00E72B9B"/>
    <w:rsid w:val="00E732BB"/>
    <w:rsid w:val="00E74FE7"/>
    <w:rsid w:val="00E76B18"/>
    <w:rsid w:val="00E77A14"/>
    <w:rsid w:val="00E80A54"/>
    <w:rsid w:val="00E818D9"/>
    <w:rsid w:val="00E8388E"/>
    <w:rsid w:val="00E83E83"/>
    <w:rsid w:val="00E8542A"/>
    <w:rsid w:val="00E868C3"/>
    <w:rsid w:val="00E87473"/>
    <w:rsid w:val="00E908EB"/>
    <w:rsid w:val="00E910DA"/>
    <w:rsid w:val="00E925A0"/>
    <w:rsid w:val="00E929F0"/>
    <w:rsid w:val="00E931DF"/>
    <w:rsid w:val="00E94412"/>
    <w:rsid w:val="00E946C2"/>
    <w:rsid w:val="00E94ACB"/>
    <w:rsid w:val="00E94B38"/>
    <w:rsid w:val="00E94C05"/>
    <w:rsid w:val="00E96844"/>
    <w:rsid w:val="00E96F96"/>
    <w:rsid w:val="00EA10F0"/>
    <w:rsid w:val="00EA2A2C"/>
    <w:rsid w:val="00EA41DC"/>
    <w:rsid w:val="00EA4355"/>
    <w:rsid w:val="00EA4AEA"/>
    <w:rsid w:val="00EA4EA1"/>
    <w:rsid w:val="00EA4ECE"/>
    <w:rsid w:val="00EA52CC"/>
    <w:rsid w:val="00EA5EFD"/>
    <w:rsid w:val="00EA62C9"/>
    <w:rsid w:val="00EA6688"/>
    <w:rsid w:val="00EA7D3D"/>
    <w:rsid w:val="00EB0078"/>
    <w:rsid w:val="00EB409D"/>
    <w:rsid w:val="00EB4ABB"/>
    <w:rsid w:val="00EB68D0"/>
    <w:rsid w:val="00EB6934"/>
    <w:rsid w:val="00EB6A13"/>
    <w:rsid w:val="00EB6B84"/>
    <w:rsid w:val="00EB6E38"/>
    <w:rsid w:val="00EB7F93"/>
    <w:rsid w:val="00EC0387"/>
    <w:rsid w:val="00EC13A4"/>
    <w:rsid w:val="00EC172A"/>
    <w:rsid w:val="00EC23F8"/>
    <w:rsid w:val="00EC2A47"/>
    <w:rsid w:val="00EC4476"/>
    <w:rsid w:val="00EC511D"/>
    <w:rsid w:val="00EC5D37"/>
    <w:rsid w:val="00EC627C"/>
    <w:rsid w:val="00ED00E2"/>
    <w:rsid w:val="00ED3130"/>
    <w:rsid w:val="00ED3A4B"/>
    <w:rsid w:val="00ED3E75"/>
    <w:rsid w:val="00ED4076"/>
    <w:rsid w:val="00ED501D"/>
    <w:rsid w:val="00ED5801"/>
    <w:rsid w:val="00ED58D7"/>
    <w:rsid w:val="00ED6400"/>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7A7"/>
    <w:rsid w:val="00F05937"/>
    <w:rsid w:val="00F06730"/>
    <w:rsid w:val="00F0712F"/>
    <w:rsid w:val="00F10CC7"/>
    <w:rsid w:val="00F1262E"/>
    <w:rsid w:val="00F1293A"/>
    <w:rsid w:val="00F12BFC"/>
    <w:rsid w:val="00F13718"/>
    <w:rsid w:val="00F1415F"/>
    <w:rsid w:val="00F1646C"/>
    <w:rsid w:val="00F17B01"/>
    <w:rsid w:val="00F221B8"/>
    <w:rsid w:val="00F22DD9"/>
    <w:rsid w:val="00F2333D"/>
    <w:rsid w:val="00F23A3A"/>
    <w:rsid w:val="00F259FD"/>
    <w:rsid w:val="00F2638E"/>
    <w:rsid w:val="00F26D01"/>
    <w:rsid w:val="00F26EA6"/>
    <w:rsid w:val="00F2703D"/>
    <w:rsid w:val="00F31142"/>
    <w:rsid w:val="00F3158F"/>
    <w:rsid w:val="00F316DB"/>
    <w:rsid w:val="00F32A20"/>
    <w:rsid w:val="00F33544"/>
    <w:rsid w:val="00F3600F"/>
    <w:rsid w:val="00F360B8"/>
    <w:rsid w:val="00F40F92"/>
    <w:rsid w:val="00F41A39"/>
    <w:rsid w:val="00F42B29"/>
    <w:rsid w:val="00F4342D"/>
    <w:rsid w:val="00F44611"/>
    <w:rsid w:val="00F45DC7"/>
    <w:rsid w:val="00F45F26"/>
    <w:rsid w:val="00F465F8"/>
    <w:rsid w:val="00F51C85"/>
    <w:rsid w:val="00F5300A"/>
    <w:rsid w:val="00F53FDD"/>
    <w:rsid w:val="00F54971"/>
    <w:rsid w:val="00F56D8F"/>
    <w:rsid w:val="00F56F40"/>
    <w:rsid w:val="00F57536"/>
    <w:rsid w:val="00F60C81"/>
    <w:rsid w:val="00F62314"/>
    <w:rsid w:val="00F64384"/>
    <w:rsid w:val="00F65431"/>
    <w:rsid w:val="00F6549C"/>
    <w:rsid w:val="00F67B7C"/>
    <w:rsid w:val="00F70CCE"/>
    <w:rsid w:val="00F71DEF"/>
    <w:rsid w:val="00F73E8C"/>
    <w:rsid w:val="00F76406"/>
    <w:rsid w:val="00F77483"/>
    <w:rsid w:val="00F80698"/>
    <w:rsid w:val="00F825DC"/>
    <w:rsid w:val="00F84927"/>
    <w:rsid w:val="00F8512F"/>
    <w:rsid w:val="00F85B67"/>
    <w:rsid w:val="00F91681"/>
    <w:rsid w:val="00F917CB"/>
    <w:rsid w:val="00F91E71"/>
    <w:rsid w:val="00F93D62"/>
    <w:rsid w:val="00F942C1"/>
    <w:rsid w:val="00F94938"/>
    <w:rsid w:val="00F949D7"/>
    <w:rsid w:val="00F95071"/>
    <w:rsid w:val="00F9575D"/>
    <w:rsid w:val="00F965BF"/>
    <w:rsid w:val="00F972F4"/>
    <w:rsid w:val="00F97C8D"/>
    <w:rsid w:val="00F97D19"/>
    <w:rsid w:val="00FA03A8"/>
    <w:rsid w:val="00FA04E4"/>
    <w:rsid w:val="00FA05EA"/>
    <w:rsid w:val="00FA1173"/>
    <w:rsid w:val="00FA4062"/>
    <w:rsid w:val="00FA7AD8"/>
    <w:rsid w:val="00FB0D84"/>
    <w:rsid w:val="00FB1840"/>
    <w:rsid w:val="00FB1880"/>
    <w:rsid w:val="00FB2D67"/>
    <w:rsid w:val="00FB39B5"/>
    <w:rsid w:val="00FB3B37"/>
    <w:rsid w:val="00FB465A"/>
    <w:rsid w:val="00FB491E"/>
    <w:rsid w:val="00FB51A6"/>
    <w:rsid w:val="00FB5D20"/>
    <w:rsid w:val="00FB772B"/>
    <w:rsid w:val="00FC0387"/>
    <w:rsid w:val="00FC38AC"/>
    <w:rsid w:val="00FC5E7E"/>
    <w:rsid w:val="00FC645F"/>
    <w:rsid w:val="00FC763B"/>
    <w:rsid w:val="00FD0A5D"/>
    <w:rsid w:val="00FD0C2A"/>
    <w:rsid w:val="00FD1A35"/>
    <w:rsid w:val="00FD1AE6"/>
    <w:rsid w:val="00FD2692"/>
    <w:rsid w:val="00FD279A"/>
    <w:rsid w:val="00FD3270"/>
    <w:rsid w:val="00FD5D21"/>
    <w:rsid w:val="00FD6225"/>
    <w:rsid w:val="00FD69C7"/>
    <w:rsid w:val="00FD799F"/>
    <w:rsid w:val="00FE0AC6"/>
    <w:rsid w:val="00FE2E1A"/>
    <w:rsid w:val="00FE2FF7"/>
    <w:rsid w:val="00FE47BC"/>
    <w:rsid w:val="00FE503A"/>
    <w:rsid w:val="00FE7E2E"/>
    <w:rsid w:val="00FE7F53"/>
    <w:rsid w:val="00FF07DF"/>
    <w:rsid w:val="00FF2E8E"/>
    <w:rsid w:val="00FF2F7E"/>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List Paragraph 1CxSpLast,List Paragraph 1CxSpLastCxSpLast,List Paragraph 1CxSpLastCxSpLastCxSpLast,List Paragraph 1CxSpLastCxSpLastCxSpLastCxSpLast"/>
    <w:basedOn w:val="Normal"/>
    <w:link w:val="ListParagraphChar"/>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 w:type="character" w:customStyle="1" w:styleId="ListParagraphChar">
    <w:name w:val="List Paragraph Char"/>
    <w:aliases w:val="List Paragraph 1 Char,List Paragraph 1CxSpLast Char,List Paragraph 1CxSpLastCxSpLast Char,List Paragraph 1CxSpLastCxSpLastCxSpLast Char,List Paragraph 1CxSpLastCxSpLastCxSpLastCxSpLast Char"/>
    <w:basedOn w:val="DefaultParagraphFont"/>
    <w:link w:val="ListParagraph"/>
    <w:uiPriority w:val="34"/>
    <w:rsid w:val="00CC3ABE"/>
  </w:style>
  <w:style w:type="paragraph" w:customStyle="1" w:styleId="PostBulletList">
    <w:name w:val="Post Bullet List"/>
    <w:basedOn w:val="Normal"/>
    <w:link w:val="PostBulletListChar"/>
    <w:qFormat/>
    <w:rsid w:val="00EB6E38"/>
    <w:pPr>
      <w:spacing w:before="200" w:after="200" w:line="264" w:lineRule="auto"/>
      <w:jc w:val="both"/>
    </w:pPr>
    <w:rPr>
      <w:kern w:val="2"/>
      <w:sz w:val="21"/>
      <w:szCs w:val="24"/>
      <w14:ligatures w14:val="standardContextual"/>
    </w:rPr>
  </w:style>
  <w:style w:type="character" w:customStyle="1" w:styleId="PostBulletListChar">
    <w:name w:val="Post Bullet List Char"/>
    <w:basedOn w:val="DefaultParagraphFont"/>
    <w:link w:val="PostBulletList"/>
    <w:rsid w:val="00EB6E38"/>
    <w:rPr>
      <w:kern w:val="2"/>
      <w:sz w:val="21"/>
      <w:szCs w:val="24"/>
      <w14:ligatures w14:val="standardContextual"/>
    </w:rPr>
  </w:style>
  <w:style w:type="paragraph" w:customStyle="1" w:styleId="ListParagraph2">
    <w:name w:val="List Paragraph 2"/>
    <w:basedOn w:val="ListParagraph"/>
    <w:link w:val="ListParagraph2Char"/>
    <w:uiPriority w:val="9"/>
    <w:qFormat/>
    <w:rsid w:val="00EB6E38"/>
    <w:pPr>
      <w:numPr>
        <w:numId w:val="304"/>
      </w:numPr>
      <w:tabs>
        <w:tab w:val="left" w:pos="288"/>
      </w:tabs>
      <w:spacing w:after="100" w:line="264" w:lineRule="auto"/>
      <w:ind w:left="590" w:hanging="302"/>
      <w:contextualSpacing w:val="0"/>
    </w:pPr>
    <w:rPr>
      <w:rFonts w:ascii="Times New Roman" w:eastAsia="Times New Roman" w:hAnsi="Times New Roman" w:cs="Times New Roman"/>
      <w:kern w:val="2"/>
      <w:sz w:val="21"/>
      <w:szCs w:val="24"/>
      <w14:ligatures w14:val="standardContextual"/>
    </w:rPr>
  </w:style>
  <w:style w:type="character" w:customStyle="1" w:styleId="ListParagraph2Char">
    <w:name w:val="List Paragraph 2 Char"/>
    <w:basedOn w:val="ListParagraphChar"/>
    <w:link w:val="ListParagraph2"/>
    <w:uiPriority w:val="9"/>
    <w:rsid w:val="00EB6E38"/>
    <w:rPr>
      <w:rFonts w:ascii="Times New Roman" w:eastAsia="Times New Roman" w:hAnsi="Times New Roman" w:cs="Times New Roman"/>
      <w:kern w:val="2"/>
      <w:sz w:val="21"/>
      <w:szCs w:val="24"/>
      <w14:ligatures w14:val="standardContextual"/>
    </w:rPr>
  </w:style>
  <w:style w:type="character" w:styleId="BookTitle">
    <w:name w:val="Book Title"/>
    <w:basedOn w:val="DefaultParagraphFont"/>
    <w:uiPriority w:val="33"/>
    <w:rsid w:val="00EB6E38"/>
    <w:rPr>
      <w:b/>
      <w:bCs/>
      <w:i/>
      <w:iCs/>
      <w:spacing w:val="5"/>
    </w:rPr>
  </w:style>
  <w:style w:type="character" w:customStyle="1" w:styleId="t286pc">
    <w:name w:val="t286pc"/>
    <w:basedOn w:val="DefaultParagraphFont"/>
    <w:rsid w:val="008F45FD"/>
  </w:style>
  <w:style w:type="character" w:customStyle="1" w:styleId="vkekvd">
    <w:name w:val="vkekvd"/>
    <w:basedOn w:val="DefaultParagraphFont"/>
    <w:rsid w:val="008F45FD"/>
  </w:style>
  <w:style w:type="paragraph" w:customStyle="1" w:styleId="MainSectionHead">
    <w:name w:val="Main Section Head"/>
    <w:basedOn w:val="Heading2"/>
    <w:link w:val="MainSectionHeadChar"/>
    <w:qFormat/>
    <w:rsid w:val="008F584F"/>
    <w:pPr>
      <w:keepNext w:val="0"/>
      <w:keepLines w:val="0"/>
      <w:spacing w:before="240" w:after="60" w:line="276" w:lineRule="auto"/>
    </w:pPr>
    <w:rPr>
      <w:rFonts w:ascii="Calibri" w:eastAsiaTheme="minorEastAsia" w:hAnsi="Calibri" w:cs="Calibri"/>
      <w:b/>
      <w:bCs/>
      <w:noProof/>
      <w:color w:val="0E425C"/>
      <w:sz w:val="28"/>
      <w:szCs w:val="28"/>
    </w:rPr>
  </w:style>
  <w:style w:type="character" w:customStyle="1" w:styleId="MainSectionHeadChar">
    <w:name w:val="Main Section Head Char"/>
    <w:basedOn w:val="Heading2Char"/>
    <w:link w:val="MainSectionHead"/>
    <w:rsid w:val="008F584F"/>
    <w:rPr>
      <w:rFonts w:ascii="Calibri" w:eastAsiaTheme="minorEastAsia" w:hAnsi="Calibri" w:cs="Calibri"/>
      <w:b/>
      <w:bCs/>
      <w:noProof/>
      <w:color w:val="0E425C"/>
      <w:sz w:val="28"/>
      <w:szCs w:val="28"/>
    </w:rPr>
  </w:style>
  <w:style w:type="character" w:styleId="IntenseEmphasis">
    <w:name w:val="Intense Emphasis"/>
    <w:basedOn w:val="DefaultParagraphFont"/>
    <w:uiPriority w:val="21"/>
    <w:qFormat/>
    <w:rsid w:val="00906C4C"/>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li.virginia.gov/wp-content/uploads/2025/08/Job-Safety-Posters-English-August-2025.pdf" TargetMode="External"/><Relationship Id="rId671" Type="http://schemas.openxmlformats.org/officeDocument/2006/relationships/image" Target="media/image4.png"/><Relationship Id="rId769" Type="http://schemas.openxmlformats.org/officeDocument/2006/relationships/hyperlink" Target="https://www.ilga.gov/legislation/fulltext.asp?DocName=&amp;SessionId=112&amp;GA=103&amp;DocTypeId=HB&amp;DocNum=3733&amp;GAID=17&amp;LegID=&amp;SpecSess=&amp;Session=" TargetMode="External"/><Relationship Id="rId976" Type="http://schemas.openxmlformats.org/officeDocument/2006/relationships/hyperlink" Target="https://www.nysenate.gov/legislation/bills/2023/A3710" TargetMode="External"/><Relationship Id="rId21" Type="http://schemas.openxmlformats.org/officeDocument/2006/relationships/hyperlink" Target="https://www.phila.gov/documents/unpaid-leave-due-to-domestic-or-sexual-violence-poster/" TargetMode="External"/><Relationship Id="rId324" Type="http://schemas.openxmlformats.org/officeDocument/2006/relationships/hyperlink" Target="https://www.e-verify.gov/ead-revocation-guidance-for-e-verify-employers" TargetMode="External"/><Relationship Id="rId531" Type="http://schemas.openxmlformats.org/officeDocument/2006/relationships/hyperlink" Target="https://www.elections.alaska.gov/doc/oep/2024/Ballot%20Measure%201_Eng.pdf" TargetMode="External"/><Relationship Id="rId629" Type="http://schemas.openxmlformats.org/officeDocument/2006/relationships/hyperlink" Target="https://leginfo.legislature.ca.gov/faces/billCompareClient.xhtml?bill_id=202320240AB2499&amp;showamends=false" TargetMode="External"/><Relationship Id="rId170"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836" Type="http://schemas.openxmlformats.org/officeDocument/2006/relationships/hyperlink" Target="https://www.mass.gov/info-details/pfml-workplace-poster-notices-and-rate-sheets-for-massachusetts-employers" TargetMode="External"/><Relationship Id="rId1021" Type="http://schemas.openxmlformats.org/officeDocument/2006/relationships/hyperlink" Target="https://www.legis.state.pa.us/WU01/LI/LI/US/HTM/2005/0/0094..HTM" TargetMode="External"/><Relationship Id="rId268"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475" Type="http://schemas.openxmlformats.org/officeDocument/2006/relationships/hyperlink" Target="https://www.eeocdata.org/eeo1" TargetMode="External"/><Relationship Id="rId682" Type="http://schemas.openxmlformats.org/officeDocument/2006/relationships/hyperlink" Target="https://leg.colorado.gov/bills/sb24-205" TargetMode="External"/><Relationship Id="rId903" Type="http://schemas.openxmlformats.org/officeDocument/2006/relationships/image" Target="media/image5.png"/><Relationship Id="rId32" Type="http://schemas.openxmlformats.org/officeDocument/2006/relationships/hyperlink" Target="https://labor.nv.gov/uploadedFiles/labornvgov/content/Employer/26.06.29%20-%202026%20Minimum%20Wage%20Bulletin.pdf" TargetMode="External"/><Relationship Id="rId128" Type="http://schemas.openxmlformats.org/officeDocument/2006/relationships/hyperlink" Target="http://www.richr.ri.gov/documents/pregnancy.pdf" TargetMode="External"/><Relationship Id="rId335" Type="http://schemas.openxmlformats.org/officeDocument/2006/relationships/hyperlink" Target="https://www.federalregister.gov/documents/2013/11/13/2013-27086/final-rules-under-the-paul-wellstone-and-pete-domenici-mental-health-parity-and-addiction-equity-act" TargetMode="External"/><Relationship Id="rId542" Type="http://schemas.openxmlformats.org/officeDocument/2006/relationships/hyperlink" Target="https://leginfo.legislature.ca.gov/faces/billTextClient.xhtml?bill_id=202520260SB294" TargetMode="External"/><Relationship Id="rId987" Type="http://schemas.openxmlformats.org/officeDocument/2006/relationships/hyperlink" Target="https://apps.oregonlegislature.gov/liz/2026R1/Downloads/MeasureDocument/HB4111/Enrolled" TargetMode="External"/><Relationship Id="rId181" Type="http://schemas.openxmlformats.org/officeDocument/2006/relationships/hyperlink" Target="https://www.dol.gov/sites/dolgov/files/WHD/opinion-letters/FLSA/FLSA2026-5.pdf" TargetMode="External"/><Relationship Id="rId402" Type="http://schemas.openxmlformats.org/officeDocument/2006/relationships/hyperlink" Target="https://www.sos.ca.gov/elections/time-vote-notices" TargetMode="External"/><Relationship Id="rId84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032" Type="http://schemas.openxmlformats.org/officeDocument/2006/relationships/hyperlink" Target="https://www.scstatehouse.gov/sess126_2025-2026/bills/1043.htm" TargetMode="External"/><Relationship Id="rId279" Type="http://schemas.openxmlformats.org/officeDocument/2006/relationships/hyperlink" Target="https://www.greenbergglusker.com/the-laboring-oar/26-has-27-bi-weekly-pay-periods-what-that-means-for-employers/" TargetMode="External"/><Relationship Id="rId486" Type="http://schemas.openxmlformats.org/officeDocument/2006/relationships/hyperlink" Target="https://www.irs.gov/newsroom/frequently-asked-questions-about-work-life-referral-services" TargetMode="External"/><Relationship Id="rId693" Type="http://schemas.openxmlformats.org/officeDocument/2006/relationships/hyperlink" Target="https://legis.delaware.gov/BillDetail?legislationId=141518" TargetMode="External"/><Relationship Id="rId707" Type="http://schemas.openxmlformats.org/officeDocument/2006/relationships/hyperlink" Target="https://data.capitol.hawaii.gov/sessions/session2024/bills/SB2715_CD1_.htm" TargetMode="External"/><Relationship Id="rId914" Type="http://schemas.openxmlformats.org/officeDocument/2006/relationships/hyperlink" Target="https://www.gencourt.state.nh.us/bill_status/billinfo.aspx?id=1204&amp;inflect=2" TargetMode="External"/><Relationship Id="rId43" Type="http://schemas.openxmlformats.org/officeDocument/2006/relationships/hyperlink" Target="https://www.dli.mn.gov/sites/default/files/pdf/minwage_poster.pdf" TargetMode="External"/><Relationship Id="rId139" Type="http://schemas.openxmlformats.org/officeDocument/2006/relationships/hyperlink" Target="https://www.oregon.gov/boli/employers/Documents/BOLI_Printable_FamilyMedLv.pdf" TargetMode="External"/><Relationship Id="rId346" Type="http://schemas.openxmlformats.org/officeDocument/2006/relationships/hyperlink" Target="https://www.eeoc.gov/what-do-if-you-experience-discrimination-related-dei-work" TargetMode="External"/><Relationship Id="rId553" Type="http://schemas.openxmlformats.org/officeDocument/2006/relationships/hyperlink" Target="https://leginfo.legislature.ca.gov/faces/billTextClient.xhtml?bill_id=202520260SB294" TargetMode="External"/><Relationship Id="rId760"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998" Type="http://schemas.openxmlformats.org/officeDocument/2006/relationships/hyperlink" Target="https://olis.oregonlegislature.gov/liz/2025R1/Downloads/MeasureDocument/SB906/Enrolled" TargetMode="External"/><Relationship Id="rId192" Type="http://schemas.openxmlformats.org/officeDocument/2006/relationships/hyperlink" Target="mailto:HR_Help@etctracking.com" TargetMode="External"/><Relationship Id="rId206" Type="http://schemas.openxmlformats.org/officeDocument/2006/relationships/hyperlink" Target="https://www.irs.gov/affordable-care-act/patient-centered-outcomes-research-trust-fund-fee-questions-and-answers" TargetMode="External"/><Relationship Id="rId413" Type="http://schemas.openxmlformats.org/officeDocument/2006/relationships/hyperlink" Target="https://www.irs.gov/affordable-care-act/questions-and-answers-on-information-reporting-by-health-coverage-providers-section-6055" TargetMode="External"/><Relationship Id="rId858" Type="http://schemas.openxmlformats.org/officeDocument/2006/relationships/hyperlink" Target="https://www.michigan.gov/leo/bureaus-agencies/ber/wage-and-hour/paid-medical-leave-act" TargetMode="External"/><Relationship Id="rId1043" Type="http://schemas.openxmlformats.org/officeDocument/2006/relationships/hyperlink" Target="https://legiscan.com/UT/text/SB0111/2026" TargetMode="External"/><Relationship Id="rId497" Type="http://schemas.openxmlformats.org/officeDocument/2006/relationships/hyperlink" Target="https://app.leg.wa.gov/billsummary?BillNumber=5462&amp;Year=2023&amp;Initiative=false" TargetMode="External"/><Relationship Id="rId620" Type="http://schemas.openxmlformats.org/officeDocument/2006/relationships/hyperlink" Target="https://www.dhcs.ca.gov/Budget/Documents/Letter-JLBC-Health-Care-Minimum-Wage-Increases-10012024.pdf" TargetMode="External"/><Relationship Id="rId718" Type="http://schemas.openxmlformats.org/officeDocument/2006/relationships/hyperlink" Target="https://www.ilga.gov/Legislation/BillStatus/FullText?GAID=18&amp;DocNum=2339&amp;DocTypeID=SB&amp;LegId=162276&amp;SessionID=114" TargetMode="External"/><Relationship Id="rId925" Type="http://schemas.openxmlformats.org/officeDocument/2006/relationships/hyperlink" Target="https://www.nj.gov/labor/ea/employer-services/register-update/employeraccess.shtml" TargetMode="External"/><Relationship Id="rId357" Type="http://schemas.openxmlformats.org/officeDocument/2006/relationships/hyperlink" Target="https://www.littler.com/publication-press/publication/gsa-announces-far-deviations-consistent-revocation-executive-order" TargetMode="External"/><Relationship Id="rId1110" Type="http://schemas.openxmlformats.org/officeDocument/2006/relationships/hyperlink" Target="https://paidleave.wa.gov/help-center/employers/" TargetMode="External"/><Relationship Id="rId54" Type="http://schemas.openxmlformats.org/officeDocument/2006/relationships/hyperlink" Target="https://www.dir.ca.gov/wpnodb.html" TargetMode="External"/><Relationship Id="rId217" Type="http://schemas.openxmlformats.org/officeDocument/2006/relationships/hyperlink" Target="https://www.federalregister.gov/public-inspection/2024-08503/health-insurance-portability-and-accountability-act-privacy-rule-to-support-reproductive-health-care" TargetMode="External"/><Relationship Id="rId564" Type="http://schemas.openxmlformats.org/officeDocument/2006/relationships/hyperlink" Target="https://leginfo.legislature.ca.gov/faces/billCompareClient.xhtml?bill_id=202520260AB692&amp;showamends=false" TargetMode="External"/><Relationship Id="rId771" Type="http://schemas.openxmlformats.org/officeDocument/2006/relationships/hyperlink" Target="https://iga.in.gov/pdf-documents/124/2026/senate/bills/SB0076/SB0076.08.ENRH.pdf" TargetMode="External"/><Relationship Id="rId869" Type="http://schemas.openxmlformats.org/officeDocument/2006/relationships/hyperlink" Target="https://mn.gov/deed/assets/paid-leave-equivalent-plan-poster-acc_tcm1045-708093.pdf" TargetMode="External"/><Relationship Id="rId424" Type="http://schemas.openxmlformats.org/officeDocument/2006/relationships/hyperlink" Target="https://www.hhs.gov/sites/default/files/model-attestation.pdf" TargetMode="External"/><Relationship Id="rId631" Type="http://schemas.openxmlformats.org/officeDocument/2006/relationships/hyperlink" Target="https://leginfo.legislature.ca.gov/faces/billNavClient.xhtml?bill_id=202320240AB2499" TargetMode="External"/><Relationship Id="rId729" Type="http://schemas.openxmlformats.org/officeDocument/2006/relationships/hyperlink" Target="https://labor.illinois.gov/content/dam/soi/en/web/idol/laws-rules/conmed/documents/eprc/EPRC%20July2025%20Updates.pdf" TargetMode="External"/><Relationship Id="rId1054" Type="http://schemas.openxmlformats.org/officeDocument/2006/relationships/hyperlink" Target="https://vscc.virginia.gov/sealingfaqs.asp" TargetMode="External"/><Relationship Id="rId270" Type="http://schemas.openxmlformats.org/officeDocument/2006/relationships/hyperlink" Target="https://u4664138.ct.sendgrid.net/ls/click?upn=u001.-2BvR921dwSdNdTO8WsXTOoFwDaFp80ql-2Fn16gWReKkD19tibgckO1lDcE4pHJNkah5mFoFCgx67Z9UEM6ut-2B6PA-2F9OBF3tEV2b5Ctuy1iIOQ-3D25JZ_pZjfBIpLjMFCpu6xHFn7DWABExhsgTHcqiJ060gTkgzEATmBUNXNmW3P5SmbWvnmbIYQfDkrS-2FJBocqEoJt5MEoWZxGI0LRXVt0xU-2BuFEWxv7TYxpa1TbznnyPV7WyCn-2Brni5CAZKZFiPY41YncZ35W-2Btj8i2EF4khpDMYHyJydiMvX9-2Bnf8-2BZ-2B4uNaCalNaiMQZWh59yXgwiuqpUdX9cAL7LKpHFnfBIF3l4CoHvc5m-2FsRY34kisNUsR-2BM39L-2B7rQX2Mu-2F7-2B7T5wenuVWuqSg-3D-3D" TargetMode="External"/><Relationship Id="rId936" Type="http://schemas.openxmlformats.org/officeDocument/2006/relationships/hyperlink" Target="https://legislation.nysenate.gov/pdf/bills/2025/S3072" TargetMode="External"/><Relationship Id="rId65" Type="http://schemas.openxmlformats.org/officeDocument/2006/relationships/hyperlink" Target="https://drive.google.com/file/d/1D2oFYTbY2EkcQt1k29WoGKGY4UMD78qr/view" TargetMode="External"/><Relationship Id="rId130" Type="http://schemas.openxmlformats.org/officeDocument/2006/relationships/hyperlink" Target="https://labor.vermont.gov/document/parental-and-family-leave-poster-mandatory" TargetMode="External"/><Relationship Id="rId368" Type="http://schemas.openxmlformats.org/officeDocument/2006/relationships/hyperlink" Target="https://www.whitehouse.gov/presidential-actions/2025/01/ending-illegal-discrimination-and-restoring-merit-based-opportunity/" TargetMode="External"/><Relationship Id="rId575" Type="http://schemas.openxmlformats.org/officeDocument/2006/relationships/hyperlink" Target="https://www.dir.ca.gov/dlse/minimum_wage.htm" TargetMode="External"/><Relationship Id="rId782" Type="http://schemas.openxmlformats.org/officeDocument/2006/relationships/hyperlink" Target="https://legislature.maine.gov/billtracker/%23Paper/sp282?legislature=132" TargetMode="External"/><Relationship Id="rId228" Type="http://schemas.openxmlformats.org/officeDocument/2006/relationships/hyperlink" Target="https://www.federalregister.gov/public-inspection/2026-03955/2023-standard-for-determining-joint-employer-status" TargetMode="External"/><Relationship Id="rId435" Type="http://schemas.openxmlformats.org/officeDocument/2006/relationships/hyperlink" Target="https://www.uscis.gov/i-9" TargetMode="External"/><Relationship Id="rId642" Type="http://schemas.openxmlformats.org/officeDocument/2006/relationships/hyperlink" Target="https://www.dir.ca.gov/dosh/" TargetMode="External"/><Relationship Id="rId1065" Type="http://schemas.openxmlformats.org/officeDocument/2006/relationships/hyperlink" Target="https://lis.blob.core.windows.net/files/1213726.PDF" TargetMode="External"/><Relationship Id="rId281" Type="http://schemas.openxmlformats.org/officeDocument/2006/relationships/hyperlink" Target="https://www.eeoc.gov/national-origin-discrimination" TargetMode="External"/><Relationship Id="rId502" Type="http://schemas.openxmlformats.org/officeDocument/2006/relationships/hyperlink" Target="https://www.morganlewis.com/pubs/2023/11/nlrb-issues-new-joint-employer-rule-affirming-expansive-joint-employer-status" TargetMode="External"/><Relationship Id="rId947" Type="http://schemas.openxmlformats.org/officeDocument/2006/relationships/hyperlink" Target="https://legistar.council.nyc.gov/LegislationDetail.aspx?ID=6788474&amp;GUID=4100A3E1-33A0-4CC7-B431-E27984179902&amp;Options=ID%7cText%7c&amp;Search=int.+982" TargetMode="External"/><Relationship Id="rId76" Type="http://schemas.openxmlformats.org/officeDocument/2006/relationships/hyperlink" Target="https://flagstaff.az.gov/DocumentCenter/View/91601/2026-MW-Posters_11x17_English" TargetMode="External"/><Relationship Id="rId141" Type="http://schemas.openxmlformats.org/officeDocument/2006/relationships/hyperlink" Target="https://www.laworks.net/Downloads/Posters/Unemployment_Ins_ltr_color.pdf" TargetMode="External"/><Relationship Id="rId379" Type="http://schemas.openxmlformats.org/officeDocument/2006/relationships/hyperlink" Target="https://fincen.gov/boi" TargetMode="External"/><Relationship Id="rId586"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93" Type="http://schemas.openxmlformats.org/officeDocument/2006/relationships/hyperlink" Target="https://paidleave.maryland.gov/files/famli-faqs-april-2026.pdf" TargetMode="External"/><Relationship Id="rId807" Type="http://schemas.openxmlformats.org/officeDocument/2006/relationships/hyperlink" Target="https://mgaleg.maryland.gov/2024RS/Chapters_noln/CH_131_hb0602t.pdf" TargetMode="External"/><Relationship Id="rId7" Type="http://schemas.openxmlformats.org/officeDocument/2006/relationships/endnotes" Target="endnotes.xml"/><Relationship Id="rId239" Type="http://schemas.openxmlformats.org/officeDocument/2006/relationships/hyperlink" Target="https://does.dc.gov/sites/default/files/dc/sites/does/publication/attachments/2026%20Ban%20on%20Non-Compete%20Clauses.pdf" TargetMode="External"/><Relationship Id="rId446" Type="http://schemas.openxmlformats.org/officeDocument/2006/relationships/hyperlink" Target="https://www.eeocdata.org/pdfs/2023_EEO_1_Component_1_Instruction_Booklet.pdf" TargetMode="External"/><Relationship Id="rId653" Type="http://schemas.openxmlformats.org/officeDocument/2006/relationships/hyperlink" Target="https://calcivilrights.ca.gov/paydatareporting/" TargetMode="External"/><Relationship Id="rId1076" Type="http://schemas.openxmlformats.org/officeDocument/2006/relationships/hyperlink" Target="https://www.retirepathva.com/employers" TargetMode="External"/><Relationship Id="rId292"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306" Type="http://schemas.openxmlformats.org/officeDocument/2006/relationships/hyperlink" Target="https://www.mayerbrown.com/en/insights/publications/2025/08/doj-defines-illegal-dei-warns-recipients-of-federal-funds-to-take-notice" TargetMode="External"/><Relationship Id="rId860"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958"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87" Type="http://schemas.openxmlformats.org/officeDocument/2006/relationships/hyperlink" Target="https://dlr.sd.gov/employment_laws/minimum_wage.aspx" TargetMode="External"/><Relationship Id="rId513" Type="http://schemas.openxmlformats.org/officeDocument/2006/relationships/hyperlink" Target="https://www.federalregister.gov/documents/2021/01/07/2020-29274/independent-contractor-status-under-the-fair-labor-standards-act" TargetMode="External"/><Relationship Id="rId597"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720" Type="http://schemas.openxmlformats.org/officeDocument/2006/relationships/hyperlink" Target="https://www.ilga.gov/legislation/PublicActs/View/104-0076" TargetMode="External"/><Relationship Id="rId818" Type="http://schemas.openxmlformats.org/officeDocument/2006/relationships/hyperlink" Target="https://mgaleg.maryland.gov/mgawebsite/Laws/StatuteText?article=gle&amp;section=3-304.2&amp;enactments=false" TargetMode="External"/><Relationship Id="rId152" Type="http://schemas.openxmlformats.org/officeDocument/2006/relationships/hyperlink" Target="https://labor.illinois.gov/content/dam/soi/en/web/idol/employers/posters/vessa/vessa-2025/24_VESSA_English_NewLogo.pdf" TargetMode="External"/><Relationship Id="rId457"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1003" Type="http://schemas.openxmlformats.org/officeDocument/2006/relationships/hyperlink" Target="https://www.oregon.gov/employ/Agency/Documents/2024/2024-12-30-Batch-12-SOS-Final-Filing-Receipt.pdf" TargetMode="External"/><Relationship Id="rId1087" Type="http://schemas.openxmlformats.org/officeDocument/2006/relationships/hyperlink" Target="https://paidleave.wa.gov/employer-roles-responsibilities/" TargetMode="External"/><Relationship Id="rId664" Type="http://schemas.openxmlformats.org/officeDocument/2006/relationships/hyperlink" Target="https://calcivilrights.ca.gov/wp-content/uploads/sites/32/2023/03/Fair-Chance-Act-Sample-Forms-Packet.pdf" TargetMode="External"/><Relationship Id="rId871"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969"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14" Type="http://schemas.openxmlformats.org/officeDocument/2006/relationships/hyperlink" Target="https://www.dol.gov/agencies/ebsa/laws-and-regulations/laws/chipra" TargetMode="External"/><Relationship Id="rId317" Type="http://schemas.openxmlformats.org/officeDocument/2006/relationships/hyperlink" Target="https://www.nbclosangeles.com/news/california-news/camarillo-farm-raids-arrests-immigration/3743241/" TargetMode="External"/><Relationship Id="rId524" Type="http://schemas.openxmlformats.org/officeDocument/2006/relationships/hyperlink" Target="https://www.consumerfinance.gov/compliance/compliance-resources/other-applicable-requirements/fair-credit-reporting-act/model-forms-and-disclosures/" TargetMode="External"/><Relationship Id="rId731" Type="http://schemas.openxmlformats.org/officeDocument/2006/relationships/hyperlink" Target="https://www.govinfo.gov/app/details/USCODE-2010-title26/USCODE-2010-title26-subtitleA-chap1-subchapB-partV-sec152" TargetMode="External"/><Relationship Id="rId98" Type="http://schemas.openxmlformats.org/officeDocument/2006/relationships/hyperlink" Target="https://labor.vermont.gov/document/sexual-harassment-poster" TargetMode="External"/><Relationship Id="rId163" Type="http://schemas.openxmlformats.org/officeDocument/2006/relationships/hyperlink" Target="https://hr.nv.gov/uploadedFiles/hrnvgov/Content/Resources/Forms/Pregnancy/NERC%20Pregnant%20Workers%20Fairness%20Act%20Poster.pdf" TargetMode="External"/><Relationship Id="rId370"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829" Type="http://schemas.openxmlformats.org/officeDocument/2006/relationships/hyperlink" Target="https://www.mass.gov/info-details/pay-transparency-in-massachusetts" TargetMode="External"/><Relationship Id="rId1014" Type="http://schemas.openxmlformats.org/officeDocument/2006/relationships/hyperlink" Target="https://phila.legistar.com/View.ashx?M=F&amp;ID=14237484&amp;GUID=A62FB653-A390-437F-B0E9-284CCD43CEF1" TargetMode="External"/><Relationship Id="rId230" Type="http://schemas.openxmlformats.org/officeDocument/2006/relationships/hyperlink" Target="https://www.federalregister.gov/documents/2025/01/29/2025-01953/ending-radical-and-wasteful-government-dei-programs-and-preferencing" TargetMode="External"/><Relationship Id="rId468" Type="http://schemas.openxmlformats.org/officeDocument/2006/relationships/hyperlink" Target="https://www.dol.gov/sites/dolgov/files/WHD/fab/fab2024_1.pdf" TargetMode="External"/><Relationship Id="rId675" Type="http://schemas.openxmlformats.org/officeDocument/2006/relationships/hyperlink" Target="https://leg.colorado.gov/sites/default/files/2025a_144_signed.pdf" TargetMode="External"/><Relationship Id="rId882" Type="http://schemas.openxmlformats.org/officeDocument/2006/relationships/hyperlink" Target="https://mn.gov/deed/paidleave/employers/premiums/" TargetMode="External"/><Relationship Id="rId1098" Type="http://schemas.openxmlformats.org/officeDocument/2006/relationships/hyperlink" Target="https://app.leg.wa.gov/RCW/default.aspx?cite=49.48" TargetMode="External"/><Relationship Id="rId25" Type="http://schemas.openxmlformats.org/officeDocument/2006/relationships/hyperlink" Target="https://workcomp.virginia.gov/documents/employers-workplace-notice-form-1" TargetMode="External"/><Relationship Id="rId328" Type="http://schemas.openxmlformats.org/officeDocument/2006/relationships/hyperlink" Target="https://regtap.cms.gov/RxDCFAQ" TargetMode="External"/><Relationship Id="rId535" Type="http://schemas.openxmlformats.org/officeDocument/2006/relationships/hyperlink" Target="https://www.sf.gov/information--paid-parental-leave-ordinance" TargetMode="External"/><Relationship Id="rId742" Type="http://schemas.openxmlformats.org/officeDocument/2006/relationships/hyperlink" Target="https://www.ilga.gov/legislation/fulltext.asp?DocName=10300HB3129lv&amp;SessionID=112&amp;GA=103&amp;DocTypeID=HB&amp;DocNum=3129&amp;print=true" TargetMode="External"/><Relationship Id="rId174" Type="http://schemas.openxmlformats.org/officeDocument/2006/relationships/hyperlink" Target="https://www.cms.gov/Medicare/Prescription-Drug-Coverage/CreditableCoverage/Downloads/CCSimplified091809.pdf" TargetMode="External"/><Relationship Id="rId381" Type="http://schemas.openxmlformats.org/officeDocument/2006/relationships/hyperlink" Target="https://www.congress.gov/bill/116th-congress/house-bill/133/actions" TargetMode="External"/><Relationship Id="rId602"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1025" Type="http://schemas.openxmlformats.org/officeDocument/2006/relationships/hyperlink" Target="https://rules.sos.ri.gov/Regulations/part/260-30-05-2" TargetMode="External"/><Relationship Id="rId241" Type="http://schemas.openxmlformats.org/officeDocument/2006/relationships/hyperlink" Target="https://www.ilga.gov/documents/legislation/ilcs/documents/082000900K10.htm" TargetMode="External"/><Relationship Id="rId47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686" Type="http://schemas.openxmlformats.org/officeDocument/2006/relationships/hyperlink" Target="https://www.jacksonlewis.com/sites/default/files/2026-03/Connecticut-298.pdf" TargetMode="External"/><Relationship Id="rId893" Type="http://schemas.openxmlformats.org/officeDocument/2006/relationships/hyperlink" Target="https://labor.mo.gov/dls/proposition-a-paid-sick-time-benefits-faqs" TargetMode="External"/><Relationship Id="rId907" Type="http://schemas.openxmlformats.org/officeDocument/2006/relationships/hyperlink" Target="https://www.leg.state.nv.us/App/NELIS/REL/82nd2023/Bill/10184/Text" TargetMode="External"/><Relationship Id="rId36" Type="http://schemas.openxmlformats.org/officeDocument/2006/relationships/hyperlink" Target="https://www.nj.gov/labor/myleavebenefits/assets/pdfs/NJ_FLI_notice_PR2.pdf?_gl=1*3dw27p*_ga*MTYyNDI3OC4xNzc4NTA4ODM4*_ga_N8RFJ4LE4D*czE3ODExMDE0NTckbzMkZzEkdDE3ODExMDIyMDgkajIkbDAkaDA.*_ga_2F7W0D0NDJ*czE3ODExMDE0NTgkbzMkZzEkdDE3ODExMDIyMDkkajEkbDAkaDA.&amp;_ga=2.233356701.2071097561.1781101459-1624278.1778508838" TargetMode="External"/><Relationship Id="rId339" Type="http://schemas.openxmlformats.org/officeDocument/2006/relationships/hyperlink" Target="https://www.worklaw.com/blog/can-remote-employees-working-outside-massachusetts-sue-employers-violations-massachusetts-employment-laws" TargetMode="External"/><Relationship Id="rId546" Type="http://schemas.openxmlformats.org/officeDocument/2006/relationships/hyperlink" Target="https://www.sf.gov/information/section-i-employer-recordkeeping-requirements-hcso-administrative-guidance" TargetMode="External"/><Relationship Id="rId753" Type="http://schemas.openxmlformats.org/officeDocument/2006/relationships/hyperlink" Target="https://www.ilga.gov/legislation/publicacts/fulltext.asp?Name=103-0804" TargetMode="External"/><Relationship Id="rId101" Type="http://schemas.openxmlformats.org/officeDocument/2006/relationships/hyperlink" Target="https://dlt.ri.gov/employers/required-workplace-posters" TargetMode="External"/><Relationship Id="rId185" Type="http://schemas.openxmlformats.org/officeDocument/2006/relationships/hyperlink" Target="https://www.swlaw.com/publication/exempt-by-day-hourly-by-night-new-dol-guidance-for-when-salaried-employees-pick-up-hourly-shifts/" TargetMode="External"/><Relationship Id="rId406" Type="http://schemas.openxmlformats.org/officeDocument/2006/relationships/hyperlink" Target="https://www.irs.gov/pub/irs-dft/f1094b--dft.pdf" TargetMode="External"/><Relationship Id="rId960" Type="http://schemas.openxmlformats.org/officeDocument/2006/relationships/hyperlink" Target="https://www.nyc.gov/site/cchr/law/lactation.page" TargetMode="External"/><Relationship Id="rId1036" Type="http://schemas.openxmlformats.org/officeDocument/2006/relationships/hyperlink" Target="https://www.texasattorneygeneral.gov/sites/default/files/opinion-files/opinion/2026/kp-0505_0.pdf" TargetMode="External"/><Relationship Id="rId392" Type="http://schemas.openxmlformats.org/officeDocument/2006/relationships/hyperlink" Target="https://www.irs.gov/affordable-care-act/employers/questions-and-answers-about-information-reporting-by-employers-on-form-1094-c-and-form-1095-c" TargetMode="External"/><Relationship Id="rId613" Type="http://schemas.openxmlformats.org/officeDocument/2006/relationships/hyperlink" Target="https://www.sandiegocounty.gov/content/dam/sdc/pds/bldg/adu_info/UnincorporatedMap.pdf" TargetMode="External"/><Relationship Id="rId697" Type="http://schemas.openxmlformats.org/officeDocument/2006/relationships/hyperlink" Target="https://code.dccouncil.gov/us/dc/council/code/titles/32/chapters/5/subchapters/IV" TargetMode="External"/><Relationship Id="rId820" Type="http://schemas.openxmlformats.org/officeDocument/2006/relationships/hyperlink" Target="https://www.mass.gov/info-details/pay-transparency-in-massachusetts?_gl=1*tkmvzm*_ga*NTUyNjAxMTIyLjE3NjE0NzkzMDg.*_ga_MCLPEGW7WM*czE3NjgyMzc0NjIkbzEkZzAkdDE3NjgyMzc0NjIkajYwJGwwJGgw" TargetMode="External"/><Relationship Id="rId918" Type="http://schemas.openxmlformats.org/officeDocument/2006/relationships/hyperlink" Target="https://www.nj.gov/labor/assets/PDFs/Legal%20Notices/Rule%20Adoptions/NJAC_12_11_(notice_of_adoption)_FILED.pdf?od8rsjorjz9" TargetMode="External"/><Relationship Id="rId252" Type="http://schemas.openxmlformats.org/officeDocument/2006/relationships/hyperlink" Target="https://www.federalregister.gov/documents/2026/01/15/2026-00755/annual-update-of-the-hhs-poverty-guidelines" TargetMode="External"/><Relationship Id="rId1103" Type="http://schemas.openxmlformats.org/officeDocument/2006/relationships/hyperlink" Target="https://app.leg.wa.gov/billsummary?BillNumber=1905&amp;Year=2023&amp;Initiative=false" TargetMode="External"/><Relationship Id="rId47" Type="http://schemas.openxmlformats.org/officeDocument/2006/relationships/hyperlink" Target="https://d1o0i0v5q5lp8h.cloudfront.net/paidleave/live/assets/resources/paid-leave-modelnotice-poster-en.pdf" TargetMode="External"/><Relationship Id="rId112" Type="http://schemas.openxmlformats.org/officeDocument/2006/relationships/hyperlink" Target="https://labor.mo.gov/dls/minimum-wage" TargetMode="External"/><Relationship Id="rId557"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64" Type="http://schemas.openxmlformats.org/officeDocument/2006/relationships/hyperlink" Target="https://ides.illinois.gov/employer-resources/taxes-reporting/new-hires.html" TargetMode="External"/><Relationship Id="rId971" Type="http://schemas.openxmlformats.org/officeDocument/2006/relationships/hyperlink" Target="https://www.nysenate.gov/legislation/bills/2023/S8358/amendment/C" TargetMode="External"/><Relationship Id="rId196" Type="http://schemas.openxmlformats.org/officeDocument/2006/relationships/hyperlink" Target="https://www.irs.gov/pub/irs-drop/rp-26-22.pdf" TargetMode="External"/><Relationship Id="rId417" Type="http://schemas.openxmlformats.org/officeDocument/2006/relationships/hyperlink" Target="https://www.irs.gov/pub/irs-drop/rp-24-35.pdf" TargetMode="External"/><Relationship Id="rId624" Type="http://schemas.openxmlformats.org/officeDocument/2006/relationships/hyperlink" Target="https://leginfo.legislature.ca.gov/faces/billCompareClient.xhtml?bill_id=202320240SB1100&amp;showamends=false" TargetMode="External"/><Relationship Id="rId831" Type="http://schemas.openxmlformats.org/officeDocument/2006/relationships/hyperlink" Target="https://www.mass.gov/doc/earned-sick-time-faqs/download" TargetMode="External"/><Relationship Id="rId1047" Type="http://schemas.openxmlformats.org/officeDocument/2006/relationships/hyperlink" Target="https://legislature.vermont.gov/Documents/2026/Docs/ACTS/ACT032/ACT032%20As%20Enacted.pdf" TargetMode="External"/><Relationship Id="rId263" Type="http://schemas.openxmlformats.org/officeDocument/2006/relationships/hyperlink" Target="https://www.dol.gov/sites/dolgov/files/EBSA/about-ebsa/our-activities/resource-center/fact-sheets/mewa-enforcement-guide.pdf" TargetMode="External"/><Relationship Id="rId470" Type="http://schemas.openxmlformats.org/officeDocument/2006/relationships/hyperlink" Target="https://www.whitehouse.gov/briefing-room/statements-releases/2024/05/16/fact-sheet-biden-harris-administration-unveils-critical-steps-to-protect-workers-from-risks-of-artificial-intelligence/" TargetMode="External"/><Relationship Id="rId929" Type="http://schemas.openxmlformats.org/officeDocument/2006/relationships/hyperlink" Target="https://apps.trustmineral.com/hr-compliance/laws/6IOhujtonJJKGxiAkAKtW4/details" TargetMode="External"/><Relationship Id="rId1114" Type="http://schemas.openxmlformats.org/officeDocument/2006/relationships/hyperlink" Target="https://services.statescape.com/ssu/Regs/ss_8584883298112223625.pdf" TargetMode="External"/><Relationship Id="rId58" Type="http://schemas.openxmlformats.org/officeDocument/2006/relationships/hyperlink" Target="https://labor.arkansas.gov/wp-content/uploads/Arkansas-Department-of-Veterans-Affairs.pdf" TargetMode="External"/><Relationship Id="rId123" Type="http://schemas.openxmlformats.org/officeDocument/2006/relationships/hyperlink" Target="https://www.labor.nc.gov/wage-and-hour-poster/open" TargetMode="External"/><Relationship Id="rId330" Type="http://schemas.openxmlformats.org/officeDocument/2006/relationships/hyperlink" Target="https://regtap.cms.gov/reg_librarye.php?&amp;i=3862" TargetMode="External"/><Relationship Id="rId568" Type="http://schemas.openxmlformats.org/officeDocument/2006/relationships/hyperlink" Target="https://leginfo.legislature.ca.gov/faces/billTextClient.xhtml?bill_id=202520260SB294" TargetMode="External"/><Relationship Id="rId775" Type="http://schemas.openxmlformats.org/officeDocument/2006/relationships/hyperlink" Target="https://www.legis.iowa.gov/docs/publications/LGE/91/Attachments/HF248_GovLetter.pdf" TargetMode="External"/><Relationship Id="rId982" Type="http://schemas.openxmlformats.org/officeDocument/2006/relationships/hyperlink" Target="https://nyassembly.gov/leg/?default_fld=&amp;leg_video=&amp;bn=A08805&amp;term=2023&amp;Summary=Y&amp;Actions=Y&amp;Text=Y" TargetMode="External"/><Relationship Id="rId428" Type="http://schemas.openxmlformats.org/officeDocument/2006/relationships/hyperlink" Target="https://www.dol.gov/agencies/ebsa/key-topics/retirement-benefits/cybersecurity/online-security-tips" TargetMode="External"/><Relationship Id="rId635" Type="http://schemas.openxmlformats.org/officeDocument/2006/relationships/hyperlink" Target="https://edd.ca.gov/disability/" TargetMode="External"/><Relationship Id="rId842" Type="http://schemas.openxmlformats.org/officeDocument/2006/relationships/hyperlink" Target="https://malegislature.gov/Bills/193/H4999" TargetMode="External"/><Relationship Id="rId1058" Type="http://schemas.openxmlformats.org/officeDocument/2006/relationships/hyperlink" Target="https://lis.virginia.gov/bill-details/20261/HB238" TargetMode="External"/><Relationship Id="rId274" Type="http://schemas.openxmlformats.org/officeDocument/2006/relationships/hyperlink" Target="https://u4664138.ct.sendgrid.net/ls/click?upn=u001.-2BvR921dwSdNdTO8WsXTOoJElvHSKX8vE9jswJf76NEVJcr-2BnjM-2FMRszAqVg3eaESEjHD_pZjfBIpLjMFCpu6xHFn7DWABExhsgTHcqiJ060gTkgzEATmBUNXNmW3P5SmbWvnmbIYQfDkrS-2FJBocqEoJt5MEoWZxGI0LRXVt0xU-2BuFEWx0T8qgcQjx8BocZNUBP4iyTlavsusMAuYEt0sQEyi6foUzPZTAmsXMEo5ubaXFHhjCBcrut5y883o2rhPncVBE2dluy5Z6M7J98Izh8g3-2FtFaKCRlbiaIbx6w1QdKOjocG3o9RvT-2B1myGvR8UJb7-2BzpO6wctj3zVkSv4m29WB-2B-2Bg-3D-3D" TargetMode="External"/><Relationship Id="rId48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702" Type="http://schemas.openxmlformats.org/officeDocument/2006/relationships/hyperlink" Target="https://lims.dccouncil.gov/Legislation/B25-0194" TargetMode="External"/><Relationship Id="rId69" Type="http://schemas.openxmlformats.org/officeDocument/2006/relationships/hyperlink" Target="https://labor.illinois.gov/content/dam/soi/en/web/idol/2025-updated-chicago-address-forms/25_OSHA_%20JobSafetyAndHealth_NewLogo.pdf" TargetMode="External"/><Relationship Id="rId134" Type="http://schemas.openxmlformats.org/officeDocument/2006/relationships/hyperlink" Target="https://does.dc.gov/sites/default/files/dc/sites/does/publication/attachments/2025%20Universal%20Wage%20Law%20Poster_Updated.pdf" TargetMode="External"/><Relationship Id="rId579" Type="http://schemas.openxmlformats.org/officeDocument/2006/relationships/hyperlink" Target="https://leginfo.legislature.ca.gov/faces/billCompareClient.xhtml?bill_id=202520260SB642&amp;showamends=false" TargetMode="External"/><Relationship Id="rId786" Type="http://schemas.openxmlformats.org/officeDocument/2006/relationships/hyperlink" Target="https://www.maine.gov/paidleave/" TargetMode="External"/><Relationship Id="rId993" Type="http://schemas.openxmlformats.org/officeDocument/2006/relationships/hyperlink" Target="https://www.oregon.gov/boli/pages/index.aspx" TargetMode="External"/><Relationship Id="rId341" Type="http://schemas.openxmlformats.org/officeDocument/2006/relationships/hyperlink" Target="https://www.whitehouse.gov/presidential-actions/2025/04/restoring-equality-of-opportunity-and-meritocracy/" TargetMode="External"/><Relationship Id="rId439" Type="http://schemas.openxmlformats.org/officeDocument/2006/relationships/hyperlink" Target="https://www.dol.gov/sites/dolgov/files/EBSA/employers-and-advisers/plan-administration-and-compliance/form-sar-newwelfare-plan2023.docx" TargetMode="External"/><Relationship Id="rId646" Type="http://schemas.openxmlformats.org/officeDocument/2006/relationships/hyperlink" Target="https://calcivilrights.ca.gov/fair-chance-act/" TargetMode="External"/><Relationship Id="rId1069" Type="http://schemas.openxmlformats.org/officeDocument/2006/relationships/hyperlink" Target="https://law.lis.virginia.gov/vacode/title32.1/chapter5/section32.1-127/" TargetMode="External"/><Relationship Id="rId201" Type="http://schemas.openxmlformats.org/officeDocument/2006/relationships/hyperlink" Target="https://www.irs.gov/newsroom/updates-to-frequently-asked-questions-about-educational-assistance-programs" TargetMode="External"/><Relationship Id="rId285" Type="http://schemas.openxmlformats.org/officeDocument/2006/relationships/hyperlink" Target="https://www.federalregister.gov/documents/2025/09/22/2025-18278/occupations-that-customarily-and-regularly-received-tips-definition-of-qualified-tips" TargetMode="External"/><Relationship Id="rId506" Type="http://schemas.openxmlformats.org/officeDocument/2006/relationships/hyperlink" Target="https://www.morganlewis.com/pubs/2024/03/nlrb-blocked-from-implementing-expansive-joint-employer-rule" TargetMode="External"/><Relationship Id="rId853" Type="http://schemas.openxmlformats.org/officeDocument/2006/relationships/hyperlink" Target="https://www.michigan.gov/leo/bureaus-agencies/ber/wage-and-hour/paid-medical-leave-act/frequently-asked-questions--faqs" TargetMode="External"/><Relationship Id="rId492" Type="http://schemas.openxmlformats.org/officeDocument/2006/relationships/hyperlink" Target="https://legiscan.com/AL/text/SB129/2024" TargetMode="External"/><Relationship Id="rId713" Type="http://schemas.openxmlformats.org/officeDocument/2006/relationships/hyperlink" Target="https://ktslaw.com/-/media/2026/2026-OLS-FWW-RULES_Final_20260514-(1).pdf" TargetMode="External"/><Relationship Id="rId797" Type="http://schemas.openxmlformats.org/officeDocument/2006/relationships/hyperlink" Target="https://govt.westlaw.com/mdc/Browse/Home/Maryland/MarylandCodeCourtRules?guid=N9F08D9209CC111DB9BCF9DAC28345A2A&amp;transitionType=Default&amp;contextData=%28sc.Default%29" TargetMode="External"/><Relationship Id="rId920" Type="http://schemas.openxmlformats.org/officeDocument/2006/relationships/hyperlink" Target="https://pub.njleg.state.nj.us/Bills/2024/A3500/3451_R2.PDF" TargetMode="External"/><Relationship Id="rId145" Type="http://schemas.openxmlformats.org/officeDocument/2006/relationships/hyperlink" Target="https://www.lni.wa.gov/forms-publications/F242-191-909.pdf" TargetMode="External"/><Relationship Id="rId352" Type="http://schemas.openxmlformats.org/officeDocument/2006/relationships/hyperlink" Target="https://www.fincen.gov/sites/default/files/shared/Corporate_Transparency_Act.pdf" TargetMode="External"/><Relationship Id="rId212" Type="http://schemas.openxmlformats.org/officeDocument/2006/relationships/hyperlink" Target="https://www.osha.gov/sites/default/files/enforcement/directives/CPL_03-00-024_0.pdf" TargetMode="External"/><Relationship Id="rId657"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864" Type="http://schemas.openxmlformats.org/officeDocument/2006/relationships/hyperlink" Target="https://dli.mn.gov/sites/default/files/pdf/ESST_adopted_rules_2026.pdf?snt7aptjsbp" TargetMode="External"/><Relationship Id="rId296" Type="http://schemas.openxmlformats.org/officeDocument/2006/relationships/hyperlink" Target="https://www.cms.gov/newsroom/fact-sheets/final-cy-2026-part-d-redesign-program-instructions" TargetMode="External"/><Relationship Id="rId517" Type="http://schemas.openxmlformats.org/officeDocument/2006/relationships/hyperlink" Target="https://www.natlawreview.com/article/strike-baristas-starbucks-stage-one-day-walkout-nationwide" TargetMode="External"/><Relationship Id="rId724" Type="http://schemas.openxmlformats.org/officeDocument/2006/relationships/hyperlink" Target="https://www.morganlewis.com/pubs/2025/08/illinois-workplace-transparency-act-amendments-expand-limitations-employee-protections-regarding-certain-contract-provisions" TargetMode="External"/><Relationship Id="rId931" Type="http://schemas.openxmlformats.org/officeDocument/2006/relationships/hyperlink" Target="https://www.nysenate.gov/legislation/bills/2025/A6453/amendment/A" TargetMode="External"/><Relationship Id="rId60" Type="http://schemas.openxmlformats.org/officeDocument/2006/relationships/hyperlink" Target="https://www.dir.ca.gov/dlse/Know-Your-Rights-Notice/Know-Your-Rights-Notice-English.pdf" TargetMode="External"/><Relationship Id="rId156" Type="http://schemas.openxmlformats.org/officeDocument/2006/relationships/hyperlink" Target="https://dcpaidfamilyleave.dc.gov/announcements/2025-employee-notice-is-now-available/" TargetMode="External"/><Relationship Id="rId363" Type="http://schemas.openxmlformats.org/officeDocument/2006/relationships/hyperlink" Target="https://www.cms.gov/Medicare/Prescription-Drug-Coverage/CreditableCoverage/index.html?redirect=/CreditableCoverage/40_CCDisclosure.asp" TargetMode="External"/><Relationship Id="rId57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1007" Type="http://schemas.openxmlformats.org/officeDocument/2006/relationships/hyperlink" Target="https://www.oregon.gov/boli/about/Documents/BLI_14-2024TrackedChanges.pdf" TargetMode="External"/><Relationship Id="rId223"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430" Type="http://schemas.openxmlformats.org/officeDocument/2006/relationships/hyperlink" Target="https://405d.hhs.gov/Documents/tech-vol1-508.pdf" TargetMode="External"/><Relationship Id="rId668" Type="http://schemas.openxmlformats.org/officeDocument/2006/relationships/hyperlink" Target="https://www.law360.com/articles/2470483/attachments/1" TargetMode="External"/><Relationship Id="rId875" Type="http://schemas.openxmlformats.org/officeDocument/2006/relationships/hyperlink" Target="https://lims.minneapolismn.gov/Download/FileV2/51109/Earned-sick-and-safe-time-updates-presentation.pdf" TargetMode="External"/><Relationship Id="rId1060" Type="http://schemas.openxmlformats.org/officeDocument/2006/relationships/hyperlink" Target="https://lis.virginia.gov/bill-details/20261/SB2/text/SB2ER2" TargetMode="External"/><Relationship Id="rId18" Type="http://schemas.openxmlformats.org/officeDocument/2006/relationships/hyperlink" Target="https://www.njoag.gov/wp-content/uploads/2022/07/Family-Leave-Act.pdf" TargetMode="External"/><Relationship Id="rId528"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735" Type="http://schemas.openxmlformats.org/officeDocument/2006/relationships/hyperlink" Target="https://www.jacksonlewis.com/sites/default/files/2025-04/IL-Mercado-v-S_C-Electric-2025-129526.pdf" TargetMode="External"/><Relationship Id="rId942" Type="http://schemas.openxmlformats.org/officeDocument/2006/relationships/hyperlink" Target="https://www.nysenate.gov/legislation/laws/PBH/3309" TargetMode="External"/><Relationship Id="rId167" Type="http://schemas.openxmlformats.org/officeDocument/2006/relationships/hyperlink" Target="https://labor.illinois.gov/content/dam/soi/en/web/idol/employers/posters/pay-transparency/Pay%20Transparency%20Updates%20to%20the%20Illinois%20Equal%20Pay%20Act%20of%202003.pdf" TargetMode="External"/><Relationship Id="rId374" Type="http://schemas.openxmlformats.org/officeDocument/2006/relationships/hyperlink" Target="https://www.federalregister.gov/documents/2021/10/29/2021-23446/tip-regulations-under-the-fair-labor-standards-act-flsa-partial-withdrawal" TargetMode="External"/><Relationship Id="rId581" Type="http://schemas.openxmlformats.org/officeDocument/2006/relationships/hyperlink" Target="https://leginfo.legislature.ca.gov/faces/billCompareClient.xhtml?bill_id=202520260SB617&amp;showamends=false" TargetMode="External"/><Relationship Id="rId1018" Type="http://schemas.openxmlformats.org/officeDocument/2006/relationships/hyperlink" Target="https://pittsburgh.legistar.com/LegislationDetail.aspx?ID=7300871&amp;GUID=6642B7D1-BF87-4365-B477-257CC512A1CF&amp;Options=&amp;Search=&amp;FullText=1" TargetMode="External"/><Relationship Id="rId71" Type="http://schemas.openxmlformats.org/officeDocument/2006/relationships/hyperlink" Target="https://www.nj.gov/labor/wageandhour/assets/PDFs/minimumwage_postcard.pdf" TargetMode="External"/><Relationship Id="rId234" Type="http://schemas.openxmlformats.org/officeDocument/2006/relationships/hyperlink" Target="https://data.dol.gov/" TargetMode="External"/><Relationship Id="rId679" Type="http://schemas.openxmlformats.org/officeDocument/2006/relationships/hyperlink" Target="https://drive.google.com/file/d/1SXYNOOmCNYMq46RENTmb7yG2q9lCc2W4/view" TargetMode="External"/><Relationship Id="rId802" Type="http://schemas.openxmlformats.org/officeDocument/2006/relationships/hyperlink" Target="https://mgaleg.maryland.gov/2025RS/Chapters_noln/CH_296_sb0785t.pdf" TargetMode="External"/><Relationship Id="rId886" Type="http://schemas.openxmlformats.org/officeDocument/2006/relationships/hyperlink" Target="https://info.paidleave.mn.gov/employers/equivalent/index.jsp" TargetMode="External"/><Relationship Id="rId2" Type="http://schemas.openxmlformats.org/officeDocument/2006/relationships/numbering" Target="numbering.xml"/><Relationship Id="rId29" Type="http://schemas.openxmlformats.org/officeDocument/2006/relationships/hyperlink" Target="https://does.dc.gov/publication/living-wage-act-poster-%E2%80%93-all-languages" TargetMode="External"/><Relationship Id="rId441" Type="http://schemas.openxmlformats.org/officeDocument/2006/relationships/hyperlink" Target="https://www.morganlewis.com/pubs/2024/07/osha-issues-landmark-proposed-heat-rule-for-indoor-and-outdoo" TargetMode="External"/><Relationship Id="rId539" Type="http://schemas.openxmlformats.org/officeDocument/2006/relationships/hyperlink" Target="https://www.dir.ca.gov/dosh/Workplace-Violence.html" TargetMode="External"/><Relationship Id="rId746" Type="http://schemas.openxmlformats.org/officeDocument/2006/relationships/hyperlink" Target="https://www.cookcountyil.gov/sites/g/files/ywwepo161/files/documents/2024-10/2024%2010%2016_ProceduralRules_PaidLeaveOrdinance.pdf" TargetMode="External"/><Relationship Id="rId1071" Type="http://schemas.openxmlformats.org/officeDocument/2006/relationships/hyperlink" Target="https://law.lis.virginia.gov/vacode/title65.2/" TargetMode="External"/><Relationship Id="rId178" Type="http://schemas.openxmlformats.org/officeDocument/2006/relationships/hyperlink" Target="https://www.govinfo.gov/content/pkg/FR-2026-07-23/pdf/2026-14937.pdf" TargetMode="External"/><Relationship Id="rId301" Type="http://schemas.openxmlformats.org/officeDocument/2006/relationships/hyperlink" Target="http://www.irs.gov/pub/irs-drop/rp-25-25.pdf" TargetMode="External"/><Relationship Id="rId953"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1029" Type="http://schemas.openxmlformats.org/officeDocument/2006/relationships/hyperlink" Target="https://webserver.rilegislature.gov/BillText24/HouseText24/H7171Aaa.htm" TargetMode="External"/><Relationship Id="rId82" Type="http://schemas.openxmlformats.org/officeDocument/2006/relationships/hyperlink" Target="https://www.dli.mn.gov/sites/default/files/pdf/minwage_poster_2026.pdf" TargetMode="External"/><Relationship Id="rId385" Type="http://schemas.openxmlformats.org/officeDocument/2006/relationships/hyperlink" Target="https://boiefiling.fincen.gov/fileboir" TargetMode="External"/><Relationship Id="rId592" Type="http://schemas.openxmlformats.org/officeDocument/2006/relationships/hyperlink" Target="https://leginfo.legislature.ca.gov/faces/billCompareClient.xhtml?bill_id=202520260SB617&amp;showamends=false" TargetMode="External"/><Relationship Id="rId606"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813" Type="http://schemas.openxmlformats.org/officeDocument/2006/relationships/hyperlink" Target="https://mgaleg.maryland.gov/mgawebsite/Legislation/Details/hb0238" TargetMode="External"/><Relationship Id="rId245" Type="http://schemas.openxmlformats.org/officeDocument/2006/relationships/hyperlink" Target="https://www.gc.nh.gov/rsa/html/XXIII/275/275-70-a.htm" TargetMode="External"/><Relationship Id="rId452" Type="http://schemas.openxmlformats.org/officeDocument/2006/relationships/hyperlink" Target="https://www.hhs.gov/hipaa/for-professionals/breach-notification/index.html" TargetMode="External"/><Relationship Id="rId897" Type="http://schemas.openxmlformats.org/officeDocument/2006/relationships/hyperlink" Target="https://www.sos.mo.gov/cmsimages/Elections/Petitions/2024-038.pdf" TargetMode="External"/><Relationship Id="rId1082" Type="http://schemas.openxmlformats.org/officeDocument/2006/relationships/hyperlink" Target="https://lawfilesext.leg.wa.gov/biennium/2025-26/htm/Bills/House%20Passed%20Legislature/1747.PL.htm?q=20250422091254" TargetMode="External"/><Relationship Id="rId105" Type="http://schemas.openxmlformats.org/officeDocument/2006/relationships/hyperlink" Target="https://labor.delaware.gov/delaware-paid-leave/employers/" TargetMode="External"/><Relationship Id="rId312" Type="http://schemas.openxmlformats.org/officeDocument/2006/relationships/hyperlink" Target="https://www.laborandemploymentlawinsights.com/2025/07/important-new-reporting-rules-for-overtime-pay-and-tipped-income/" TargetMode="External"/><Relationship Id="rId757" Type="http://schemas.openxmlformats.org/officeDocument/2006/relationships/hyperlink" Target="https://www.chicago.gov/city/en/depts/bacp/supp_info/paidsickleaveinfo.html" TargetMode="External"/><Relationship Id="rId964" Type="http://schemas.openxmlformats.org/officeDocument/2006/relationships/hyperlink" Target="https://www.nyc.gov/assets/cchr/downloads/pdf/publications/Pregnancy_Poster_2017.pdf" TargetMode="External"/><Relationship Id="rId93" Type="http://schemas.openxmlformats.org/officeDocument/2006/relationships/hyperlink" Target="https://labor.vermont.gov/document/workers-compensation-form-31-english" TargetMode="External"/><Relationship Id="rId189" Type="http://schemas.openxmlformats.org/officeDocument/2006/relationships/hyperlink" Target="https://www.swlaw.com/publication/exempt-by-day-hourly-by-night-new-dol-guidance-for-when-salaried-employees-pick-up-hourly-shifts/" TargetMode="External"/><Relationship Id="rId396" Type="http://schemas.openxmlformats.org/officeDocument/2006/relationships/hyperlink" Target="https://www.hhs.gov/sites/default/files/model-attestation.pdf" TargetMode="External"/><Relationship Id="rId617" Type="http://schemas.openxmlformats.org/officeDocument/2006/relationships/hyperlink" Target="https://www.dir.ca.gov/iwc/MW-2024-HC-SUPPLEMENT.pdf" TargetMode="External"/><Relationship Id="rId824" Type="http://schemas.openxmlformats.org/officeDocument/2006/relationships/hyperlink" Target="https://www.mass.gov/info-details/pfml-workplace-poster-notices-and-rate-sheets-for-massachusetts-employers" TargetMode="External"/><Relationship Id="rId256" Type="http://schemas.openxmlformats.org/officeDocument/2006/relationships/hyperlink" Target="https://www.youtube.com/playlist?list=PLY-LCLcsLXVFbB9OsVIiW2t5R9tyvIorx" TargetMode="External"/><Relationship Id="rId463" Type="http://schemas.openxmlformats.org/officeDocument/2006/relationships/hyperlink" Target="https://www.fincen.gov/sites/default/files/shared/BOI_Small_Compliance_Guide.v1.1-FINAL.pdf" TargetMode="External"/><Relationship Id="rId670" Type="http://schemas.openxmlformats.org/officeDocument/2006/relationships/hyperlink" Target="https://cdle.colorado.gov/dlss/labor-laws-rules-resources/labor-rules-proposed-and-adopted?utm_medium=govdelivery&amp;utm_source=email" TargetMode="External"/><Relationship Id="rId1093" Type="http://schemas.openxmlformats.org/officeDocument/2006/relationships/hyperlink" Target="https://secureaccess.wa.gov/myAccess/saw/select.do" TargetMode="External"/><Relationship Id="rId1107" Type="http://schemas.openxmlformats.org/officeDocument/2006/relationships/hyperlink" Target="https://paidleave.wa.gov/updates/" TargetMode="External"/><Relationship Id="rId116" Type="http://schemas.openxmlformats.org/officeDocument/2006/relationships/hyperlink" Target="https://laborcommission.utah.gov/wp-content/uploads/UOSH-Workplace-Safety-Poster-English.pdf" TargetMode="External"/><Relationship Id="rId323" Type="http://schemas.openxmlformats.org/officeDocument/2006/relationships/hyperlink" Target="https://www.irs.gov/affordable-care-act/patient-centered-outreach-research-institute-filing-due-dates-and-applicable-rates" TargetMode="External"/><Relationship Id="rId530" Type="http://schemas.openxmlformats.org/officeDocument/2006/relationships/hyperlink" Target="https://labor.alaska.gov/lss/ballot-1-faq-2025.html" TargetMode="External"/><Relationship Id="rId768" Type="http://schemas.openxmlformats.org/officeDocument/2006/relationships/hyperlink" Target="https://labor.illinois.gov/laws-rules/conmed/eprc.html" TargetMode="External"/><Relationship Id="rId975" Type="http://schemas.openxmlformats.org/officeDocument/2006/relationships/hyperlink" Target="https://www.ny.gov/new-york-state-paid-prenatal-leave/frequently-asked-questions" TargetMode="External"/><Relationship Id="rId20" Type="http://schemas.openxmlformats.org/officeDocument/2006/relationships/hyperlink" Target="https://www.phila.gov/media/20260212125731/Fiyers-15.png" TargetMode="External"/><Relationship Id="rId62" Type="http://schemas.openxmlformats.org/officeDocument/2006/relationships/hyperlink" Target="C://Users/MariciaMeyer/Downloads/Mandatory-poster-2026.pdf" TargetMode="External"/><Relationship Id="rId365" Type="http://schemas.openxmlformats.org/officeDocument/2006/relationships/hyperlink" Target="https://www.dol.gov/sites/dolgov/files/WHD/opinion-letters/FMLA/2025_1_14_1_FMLA.pdf" TargetMode="External"/><Relationship Id="rId572" Type="http://schemas.openxmlformats.org/officeDocument/2006/relationships/hyperlink" Target="https://www.dir.ca.gov/oprl/ComputerSoftware.htm" TargetMode="External"/><Relationship Id="rId628" Type="http://schemas.openxmlformats.org/officeDocument/2006/relationships/hyperlink" Target="https://leginfo.legislature.ca.gov/faces/billTextClient.xhtml?bill_id=202320240SB1105" TargetMode="External"/><Relationship Id="rId835"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225"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267"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432" Type="http://schemas.openxmlformats.org/officeDocument/2006/relationships/hyperlink" Target="https://www.ca5.uscourts.gov/opinions/pub/23/23-50724-CV0.pdf" TargetMode="External"/><Relationship Id="rId474" Type="http://schemas.openxmlformats.org/officeDocument/2006/relationships/hyperlink" Target="https://www.cms.gov/CCIIO/Programs-and-Initiatives/Other-Insurance-Protections/Prescription-Drug-Data-Collection" TargetMode="External"/><Relationship Id="rId877" Type="http://schemas.openxmlformats.org/officeDocument/2006/relationships/hyperlink" Target="https://www.dli.mn.gov/sick-leave" TargetMode="External"/><Relationship Id="rId1020" Type="http://schemas.openxmlformats.org/officeDocument/2006/relationships/hyperlink" Target="https://www.legis.state.pa.us/WU01/LI/LI/US/HTM/2024/0/0033..HTM?39" TargetMode="External"/><Relationship Id="rId1062" Type="http://schemas.openxmlformats.org/officeDocument/2006/relationships/hyperlink" Target="https://lis.blob.core.windows.net/files/1209932.PDF" TargetMode="External"/><Relationship Id="rId1118" Type="http://schemas.openxmlformats.org/officeDocument/2006/relationships/theme" Target="theme/theme1.xml"/><Relationship Id="rId127" Type="http://schemas.openxmlformats.org/officeDocument/2006/relationships/hyperlink" Target="https://labor.nv.gov/uploadedFiles/labornvgov/content/Employer/Rules%20to%20be%20Observed%20by%20Employers%2005.08.2025.pdf" TargetMode="External"/><Relationship Id="rId681"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737" Type="http://schemas.openxmlformats.org/officeDocument/2006/relationships/hyperlink" Target="https://labor.illinois.gov/content/dam/soi/en/web/idol/laws-rules/conmed/documents/eprc/eprc-employee-import-template.xls" TargetMode="External"/><Relationship Id="rId779" Type="http://schemas.openxmlformats.org/officeDocument/2006/relationships/hyperlink" Target="https://www.mainelegislature.org/legis/bills/getPDF.asp?paper=HP0025&amp;item=3&amp;snum=132" TargetMode="External"/><Relationship Id="rId902" Type="http://schemas.openxmlformats.org/officeDocument/2006/relationships/hyperlink" Target="https://sos.nebraska.gov/sites/default/files/doc/elections/2024/2024%20Ballot%20Measures%20Pamphlet.pdf" TargetMode="External"/><Relationship Id="rId944" Type="http://schemas.openxmlformats.org/officeDocument/2006/relationships/hyperlink" Target="https://legislation.nysenate.gov/pdf/bills/2025/A584C" TargetMode="External"/><Relationship Id="rId986" Type="http://schemas.openxmlformats.org/officeDocument/2006/relationships/hyperlink" Target="https://legiscan.com/OH/text/HB106/id/2832964" TargetMode="External"/><Relationship Id="rId31" Type="http://schemas.openxmlformats.org/officeDocument/2006/relationships/hyperlink" Target="https://dol.nebraska.gov/LaborStandards/Compliance/RequiredPosters" TargetMode="External"/><Relationship Id="rId73" Type="http://schemas.openxmlformats.org/officeDocument/2006/relationships/hyperlink" Target="https://www.workerscomp.nm.gov/wp-content/uploads/2025/08/WCA_Poster_2025.pdf" TargetMode="External"/><Relationship Id="rId169" Type="http://schemas.openxmlformats.org/officeDocument/2006/relationships/hyperlink" Target="https://dol.nebraska.gov/LaborStandards/Compliance/RequiredPosters" TargetMode="External"/><Relationship Id="rId334" Type="http://schemas.openxmlformats.org/officeDocument/2006/relationships/hyperlink" Target="https://www.federalregister.gov/public-inspection/2024-20612/requirements-related-to-the-mental-health-parity-and-addiction-equity-act" TargetMode="External"/><Relationship Id="rId376" Type="http://schemas.openxmlformats.org/officeDocument/2006/relationships/hyperlink" Target="https://www.irs.gov/irb/2024-49_IRB" TargetMode="External"/><Relationship Id="rId541"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583" Type="http://schemas.openxmlformats.org/officeDocument/2006/relationships/hyperlink" Target="https://leginfo.legislature.ca.gov/faces/billTextClient.xhtml?bill_id=202520260SB513" TargetMode="External"/><Relationship Id="rId639" Type="http://schemas.openxmlformats.org/officeDocument/2006/relationships/hyperlink" Target="https://leginfo.legislature.ca.gov/faces/billTextClient.xhtml?bill_id=202320240AB2011" TargetMode="External"/><Relationship Id="rId790" Type="http://schemas.openxmlformats.org/officeDocument/2006/relationships/hyperlink" Target="https://mgaleg.maryland.gov/2026RS/bills/sb/sb0417T.pdf" TargetMode="External"/><Relationship Id="rId804" Type="http://schemas.openxmlformats.org/officeDocument/2006/relationships/hyperlink" Target="https://mgaleg.maryland.gov/2024RS/Chapters_noln/CH_271_hb0649t.pdf" TargetMode="External"/><Relationship Id="rId4" Type="http://schemas.openxmlformats.org/officeDocument/2006/relationships/settings" Target="settings.xml"/><Relationship Id="rId180" Type="http://schemas.openxmlformats.org/officeDocument/2006/relationships/hyperlink" Target="https://www.dol.gov/sites/dolgov/files/WHD/opinion-letters/FLSA/FLSA2026-10.pdf" TargetMode="External"/><Relationship Id="rId236" Type="http://schemas.openxmlformats.org/officeDocument/2006/relationships/hyperlink" Target="https://www.irs.gov/instructions/i109495c" TargetMode="External"/><Relationship Id="rId278" Type="http://schemas.openxmlformats.org/officeDocument/2006/relationships/hyperlink" Target="https://www.whitehouse.gov/presidential-actions/2025/12/eliminating-state-law-obstruction-of-national-artificial-intelligence-policy/" TargetMode="External"/><Relationship Id="rId401" Type="http://schemas.openxmlformats.org/officeDocument/2006/relationships/hyperlink" Target="https://elections.cdn.sos.ca.gov/pdfs/tov-english.pdf" TargetMode="External"/><Relationship Id="rId443" Type="http://schemas.openxmlformats.org/officeDocument/2006/relationships/hyperlink" Target="https://storage.courtlistener.com/recap/gov.uscourts.txnd.389064/gov.uscourts.txnd.389064.153.0_1.pdf" TargetMode="External"/><Relationship Id="rId650" Type="http://schemas.openxmlformats.org/officeDocument/2006/relationships/hyperlink" Target="https://www.dir.ca.gov/oshsb/documents/Indoor-Heat-updated-txtbrdconsider.pdf" TargetMode="External"/><Relationship Id="rId846" Type="http://schemas.openxmlformats.org/officeDocument/2006/relationships/hyperlink" Target="https://malegislature.gov/Bills/193/H4890.pdf" TargetMode="External"/><Relationship Id="rId888" Type="http://schemas.openxmlformats.org/officeDocument/2006/relationships/hyperlink" Target="https://www.revisor.mn.gov/laws/2024/0/Session+Law/Chapter/127/" TargetMode="External"/><Relationship Id="rId1031" Type="http://schemas.openxmlformats.org/officeDocument/2006/relationships/hyperlink" Target="https://legiscan.com/RI/bill/S2045/2024" TargetMode="External"/><Relationship Id="rId1073" Type="http://schemas.openxmlformats.org/officeDocument/2006/relationships/hyperlink" Target="https://workcomp.virginia.gov/content/contact-commission" TargetMode="External"/><Relationship Id="rId303" Type="http://schemas.openxmlformats.org/officeDocument/2006/relationships/hyperlink" Target="https://www.justice.gov/ag/media/1409486/dl?inline&amp;utm_medium=email&amp;utm_source=govdelivery" TargetMode="External"/><Relationship Id="rId485" Type="http://schemas.openxmlformats.org/officeDocument/2006/relationships/hyperlink" Target="https://www.irs.gov/affordable-care-act/employers/types-of-employer-payments-and-how-they-are-calculated" TargetMode="External"/><Relationship Id="rId692" Type="http://schemas.openxmlformats.org/officeDocument/2006/relationships/hyperlink" Target="https://www.legis.delaware.gov/json/BillDetail/GenerateHtmlDocument?legislationId=142429&amp;legislationTypeId=6&amp;docTypeId=2&amp;legislationName=HS2forHB105" TargetMode="External"/><Relationship Id="rId706" Type="http://schemas.openxmlformats.org/officeDocument/2006/relationships/hyperlink" Target="https://www.ecfr.gov/current/title-29/subtitle-B/chapter-V/subchapter-C/part-825/subpart-A/section-825.126" TargetMode="External"/><Relationship Id="rId748" Type="http://schemas.openxmlformats.org/officeDocument/2006/relationships/hyperlink" Target="https://www.ilga.gov/legislation/publicacts/103/103-0721.htm" TargetMode="External"/><Relationship Id="rId913" Type="http://schemas.openxmlformats.org/officeDocument/2006/relationships/hyperlink" Target="https://gc.nh.gov/bill_status/billinfo.aspx?id=1188&amp;inflect=2" TargetMode="External"/><Relationship Id="rId955" Type="http://schemas.openxmlformats.org/officeDocument/2006/relationships/hyperlink" Target="https://rules.cityofnewyork.us/wp-content/uploads/2025/06/DCWP-NOA-Paid-Prenatal-Personal-Leave-Final.pdf" TargetMode="External"/><Relationship Id="rId42" Type="http://schemas.openxmlformats.org/officeDocument/2006/relationships/hyperlink" Target="https://labor.alaska.gov/lss/forms/right-to-know.pdf" TargetMode="External"/><Relationship Id="rId84" Type="http://schemas.openxmlformats.org/officeDocument/2006/relationships/hyperlink" Target="https://erd.dli.mt.gov/labor-standards/wage-and-hour-payment-act/state-minimum-wage" TargetMode="External"/><Relationship Id="rId138" Type="http://schemas.openxmlformats.org/officeDocument/2006/relationships/hyperlink" Target="https://www.oregon.gov/boli/employers/Documents/BOLI_Printable_Equal_Pay.pdf" TargetMode="External"/><Relationship Id="rId345" Type="http://schemas.openxmlformats.org/officeDocument/2006/relationships/hyperlink" Target="https://www.federalregister.gov/documents/2025/01/31/2025-02097/ending-illegal-discrimination-and-restoring-merit-based-opportunity" TargetMode="External"/><Relationship Id="rId387" Type="http://schemas.openxmlformats.org/officeDocument/2006/relationships/hyperlink" Target="https://www.irs.gov/pub/irs-drop/n-24-80.pdf" TargetMode="External"/><Relationship Id="rId510" Type="http://schemas.openxmlformats.org/officeDocument/2006/relationships/hyperlink" Target="https://www.morganlewis.com/pubs/2024/03/nlrb-blocked-from-implementing-expansive-joint-employer-rule" TargetMode="External"/><Relationship Id="rId552"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594" Type="http://schemas.openxmlformats.org/officeDocument/2006/relationships/hyperlink" Target="https://calcivilrights.ca.gov/2025/06/30/civil-rights-council-secures-approval-for-regulations-to-protect-against-employment-discrimination-related-to-artificial-intelligence/" TargetMode="External"/><Relationship Id="rId608"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815" Type="http://schemas.openxmlformats.org/officeDocument/2006/relationships/hyperlink" Target="https://www.montgomerycountymd.gov/humanrights/min-wage.html" TargetMode="External"/><Relationship Id="rId997" Type="http://schemas.openxmlformats.org/officeDocument/2006/relationships/hyperlink" Target="https://olis.oregonlegislature.gov/liz/2025R1/Downloads/MeasureDocument/HB3187/Enrolled" TargetMode="External"/><Relationship Id="rId191" Type="http://schemas.openxmlformats.org/officeDocument/2006/relationships/hyperlink" Target="https://www.swlaw.com/publications/?search=Exempt%20by%20Day,%20Hourly%20by%20Night:%20New%20DOL%20Guidance%20for%20When%20Salaried%20Employees%20Pick%20Up%20Hourly%20Shifts" TargetMode="External"/><Relationship Id="rId205" Type="http://schemas.openxmlformats.org/officeDocument/2006/relationships/hyperlink" Target="https://www.irs.gov/newsroom/patient-centered-outcomes-research-institute-fee" TargetMode="External"/><Relationship Id="rId247" Type="http://schemas.openxmlformats.org/officeDocument/2006/relationships/hyperlink" Target="https://www.oregon.gov/boli/employers/pages/noncompetition-agreements.aspx" TargetMode="External"/><Relationship Id="rId412" Type="http://schemas.openxmlformats.org/officeDocument/2006/relationships/hyperlink" Target="https://www.irs.gov/affordable-care-act/employers/information-reporting-by-providers-of-minimum-essential-coverage" TargetMode="External"/><Relationship Id="rId857"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899" Type="http://schemas.openxmlformats.org/officeDocument/2006/relationships/hyperlink" Target="https://bills.legmt.gov/%23/laws/bill/2/LC0941?open_tab=sum" TargetMode="External"/><Relationship Id="rId1000" Type="http://schemas.openxmlformats.org/officeDocument/2006/relationships/hyperlink" Target="https://olis.oregonlegislature.gov/liz/2025R1/Downloads/MeasureDocument/HB3187/Enrolled" TargetMode="External"/><Relationship Id="rId1042" Type="http://schemas.openxmlformats.org/officeDocument/2006/relationships/hyperlink" Target="https://le.utah.gov/~2026/bills/static/HB0270.html" TargetMode="External"/><Relationship Id="rId1084" Type="http://schemas.openxmlformats.org/officeDocument/2006/relationships/hyperlink" Target="https://lawfilesext.leg.wa.gov/biennium/2025-26/Pdf/Bills/Senate%20Passed%20Legislature/6106.PL.pdf?q=20260316140022" TargetMode="External"/><Relationship Id="rId107" Type="http://schemas.openxmlformats.org/officeDocument/2006/relationships/hyperlink" Target="https://floridajobs.org/docs/default-source/business-growth-and-partnerships/for-employers/posters-and-required-notices/2024-minimum-wage/2024-minimum-wage-poster---english.pdf" TargetMode="External"/><Relationship Id="rId289" Type="http://schemas.openxmlformats.org/officeDocument/2006/relationships/hyperlink" Target="https://www.dol.gov/sites/dolgov/files/EBSA/about-ebsa/our-activities/resource-center/faqs/aca-part-57.pdf" TargetMode="External"/><Relationship Id="rId454" Type="http://schemas.openxmlformats.org/officeDocument/2006/relationships/hyperlink" Target="https://www.youtube.com/watch?v=hxfxhokzKEU" TargetMode="External"/><Relationship Id="rId496" Type="http://schemas.openxmlformats.org/officeDocument/2006/relationships/hyperlink" Target="https://www.skadden.com/-/media/files/publications/2024/03/insights-special-edition/hb-158.pdf?rev=8d4078ff3dae4fb095b1ae5ab2b01b82&amp;hash=A37F1ADD1526BDB2EF55ED623ECA19EF" TargetMode="External"/><Relationship Id="rId661" Type="http://schemas.openxmlformats.org/officeDocument/2006/relationships/hyperlink" Target="https://www.dir.ca.gov/dlse/LC_2810.5_Notice.pdf" TargetMode="External"/><Relationship Id="rId717" Type="http://schemas.openxmlformats.org/officeDocument/2006/relationships/hyperlink" Target="https://labor.illinois.gov/laws-rules/conmed/eprc.html" TargetMode="External"/><Relationship Id="rId759"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924" Type="http://schemas.openxmlformats.org/officeDocument/2006/relationships/hyperlink" Target="https://www.nj.gov/oag/newsreleases25/2025-0108_DCR-Guidance-on-Algorithmic-Discrimination.pdf" TargetMode="External"/><Relationship Id="rId966" Type="http://schemas.openxmlformats.org/officeDocument/2006/relationships/hyperlink" Target="https://www.nyc.gov/assets/cchr/downloads/pdf/publications/Pregnancy_InterpretiveGuide_2016.pdf" TargetMode="External"/><Relationship Id="rId11" Type="http://schemas.openxmlformats.org/officeDocument/2006/relationships/hyperlink" Target="https://www.uscis.gov/sites/default/files/document/forms/i-9.pdf" TargetMode="External"/><Relationship Id="rId53" Type="http://schemas.openxmlformats.org/officeDocument/2006/relationships/hyperlink" Target="https://www.dir.ca.gov/IWC/MW-2026.pdf" TargetMode="External"/><Relationship Id="rId149" Type="http://schemas.openxmlformats.org/officeDocument/2006/relationships/hyperlink" Target="https://www.michigan.gov/leo/bureaus-agencies/wd/panel-veterans/resources/veterans-workplace-poster" TargetMode="External"/><Relationship Id="rId314" Type="http://schemas.openxmlformats.org/officeDocument/2006/relationships/hyperlink" Target="https://www.foley.com/p/102kv6k/the-one-big-beautiful-bill-and-workplace-immigration-enforcement/" TargetMode="External"/><Relationship Id="rId356" Type="http://schemas.openxmlformats.org/officeDocument/2006/relationships/hyperlink" Target="https://www.agg.com/news-insights/publications/federal-government-contractors-may-no-longer-have-90-days-to-comply-with-trump-administrations-dei-executive-order/" TargetMode="External"/><Relationship Id="rId398" Type="http://schemas.openxmlformats.org/officeDocument/2006/relationships/hyperlink" Target="http://www.cms.gov/Medicare/Prescription-Drug-Coverage/CreditableCoverage/Downloads/ModelCreditableCoverageDisclosureNotice051711.pdf" TargetMode="External"/><Relationship Id="rId521" Type="http://schemas.openxmlformats.org/officeDocument/2006/relationships/hyperlink" Target="https://hrdailyadvisor.blr.com/podcast/hr-work-break-keeping-employees-engaged/?source=HAC&amp;effort=44&amp;utm_source=BLR&amp;utm_medium=Email&amp;utm_campaign=HRDAEmail" TargetMode="External"/><Relationship Id="rId563" Type="http://schemas.openxmlformats.org/officeDocument/2006/relationships/hyperlink" Target="https://leginfo.legislature.ca.gov/faces/billCompareClient.xhtml?bill_id=202520260SB642&amp;showamends=false" TargetMode="External"/><Relationship Id="rId619" Type="http://schemas.openxmlformats.org/officeDocument/2006/relationships/hyperlink" Target="https://www.dir.ca.gov/dlse/Health-Care-Worker-Minimum-Wage-FAQ.htm" TargetMode="External"/><Relationship Id="rId770" Type="http://schemas.openxmlformats.org/officeDocument/2006/relationships/hyperlink" Target="https://www.ilga.gov/legislation/publicacts/fulltext.asp?Name=103-0291" TargetMode="External"/><Relationship Id="rId95" Type="http://schemas.openxmlformats.org/officeDocument/2006/relationships/hyperlink" Target="https://labor.vermont.gov/document/healthcare-whistleblower-poster" TargetMode="External"/><Relationship Id="rId160" Type="http://schemas.openxmlformats.org/officeDocument/2006/relationships/hyperlink" Target="https://www.michigan.gov/leo/bureaus-agencies/ber/wage-and-hour/poster-wage-and-hour-posting-requirements-for-employers" TargetMode="External"/><Relationship Id="rId216" Type="http://schemas.openxmlformats.org/officeDocument/2006/relationships/hyperlink" Target="https://www.hhs.gov/hipaa/for-professionals/privacy/guidance/model-notices-privacy-practices/index.html" TargetMode="External"/><Relationship Id="rId423" Type="http://schemas.openxmlformats.org/officeDocument/2006/relationships/hyperlink" Target="https://www.hhs.gov/hipaa/for-professionals/special-topics/reproductive-health/final-rule-fact-sheet/index.html" TargetMode="External"/><Relationship Id="rId826" Type="http://schemas.openxmlformats.org/officeDocument/2006/relationships/hyperlink" Target="https://www.mass.gov/info-details/pfml-workplace-poster-notices-and-rate-sheets-for-massachusetts-employers" TargetMode="External"/><Relationship Id="rId868" Type="http://schemas.openxmlformats.org/officeDocument/2006/relationships/hyperlink" Target="https://mn.gov/deed/assets/paid-leave-notice-employee_tcm1045-707783.docx" TargetMode="External"/><Relationship Id="rId1011" Type="http://schemas.openxmlformats.org/officeDocument/2006/relationships/hyperlink" Target="https://secure.sos.state.or.us/oard/viewReceiptPDF.action?filingRsn=56648" TargetMode="External"/><Relationship Id="rId1053" Type="http://schemas.openxmlformats.org/officeDocument/2006/relationships/image" Target="media/image7.png"/><Relationship Id="rId1109" Type="http://schemas.openxmlformats.org/officeDocument/2006/relationships/hyperlink" Target="https://secureaccess.wa.gov/myAccess/saw/select.do" TargetMode="External"/><Relationship Id="rId258" Type="http://schemas.openxmlformats.org/officeDocument/2006/relationships/hyperlink" Target="https://www.dol.gov/agencies/whd/paid" TargetMode="External"/><Relationship Id="rId465" Type="http://schemas.openxmlformats.org/officeDocument/2006/relationships/hyperlink" Target="https://www.eeoc.gov/summary-key-provisions-eeoc-enforcement-guidance-harassment-workplace" TargetMode="External"/><Relationship Id="rId630" Type="http://schemas.openxmlformats.org/officeDocument/2006/relationships/hyperlink" Target="https://leginfo.legislature.ca.gov/faces/billTextClient.xhtml?bill_id=202320240AB2499" TargetMode="External"/><Relationship Id="rId672" Type="http://schemas.openxmlformats.org/officeDocument/2006/relationships/hyperlink" Target="https://sender9.zohoinsights.com/ck1/2d6f.327230a/7fbf4e00-f337-11f0-ae1b-525400d4bb1c/1de535ef35ea09f234ffaa16751649fb7dd14cf9/2?e=IxS38A9WQut25K%2FVurCHTgXo8t5QSsKZYaueZJUtgzM%3D" TargetMode="External"/><Relationship Id="rId728" Type="http://schemas.openxmlformats.org/officeDocument/2006/relationships/hyperlink" Target="https://labor.illinois.gov/laws-rules/conmed/eprc.html" TargetMode="External"/><Relationship Id="rId935" Type="http://schemas.openxmlformats.org/officeDocument/2006/relationships/hyperlink" Target="https://www.littler.com/news-analysis/asap/new-york-city-amends-sick-time-law-require-new-unpaid-leave-and-permit-new" TargetMode="External"/><Relationship Id="rId1095" Type="http://schemas.openxmlformats.org/officeDocument/2006/relationships/hyperlink" Target="https://lawfilesext.leg.wa.gov/biennium/2025-26/htm/Bills/Senate%20Bills/5104-S.htm?q=20250423101056" TargetMode="External"/><Relationship Id="rId22" Type="http://schemas.openxmlformats.org/officeDocument/2006/relationships/hyperlink" Target="https://www.in.gov/dol/files/Youth-Employment-Form-Update-July-1-2026.pdf" TargetMode="External"/><Relationship Id="rId64" Type="http://schemas.openxmlformats.org/officeDocument/2006/relationships/hyperlink" Target="https://cdle.colorado.gov/sites/cdle/files/2026_comps_order_poster_english_%5Baccessible%5D.pdf" TargetMode="External"/><Relationship Id="rId118" Type="http://schemas.openxmlformats.org/officeDocument/2006/relationships/hyperlink" Target="https://labor.vermont.gov/mandatory-workplace-posters-vermont" TargetMode="External"/><Relationship Id="rId325" Type="http://schemas.openxmlformats.org/officeDocument/2006/relationships/hyperlink" Target="https://www.irs.gov/affordable-care-act/patient-centered-outreach-research-institute-filing-due-dates-and-applicable-rates" TargetMode="External"/><Relationship Id="rId367" Type="http://schemas.openxmlformats.org/officeDocument/2006/relationships/hyperlink" Target="https://www.congress.gov/bill/118th-congress/house-bill/3801?s=1&amp;r=1&amp;q=%7B%22search%22%3A%22hr+3801%22%7D" TargetMode="External"/><Relationship Id="rId532" Type="http://schemas.openxmlformats.org/officeDocument/2006/relationships/hyperlink" Target="https://www.elections.alaska.gov/doc/oep/2024/Ballot%20Measure%201_Eng.pdf" TargetMode="External"/><Relationship Id="rId574"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977" Type="http://schemas.openxmlformats.org/officeDocument/2006/relationships/hyperlink" Target="https://paidfamilyleave.ny.gov/2025" TargetMode="External"/><Relationship Id="rId171" Type="http://schemas.openxmlformats.org/officeDocument/2006/relationships/hyperlink" Target="https://www.dir.ca.gov/dlse/whistleblowersnotice.pdf" TargetMode="External"/><Relationship Id="rId227" Type="http://schemas.openxmlformats.org/officeDocument/2006/relationships/hyperlink" Target="https://public-inspection.federalregister.gov/2026-03955.pdf" TargetMode="External"/><Relationship Id="rId781" Type="http://schemas.openxmlformats.org/officeDocument/2006/relationships/hyperlink" Target="https://www.mainelegislature.org/legis/bills/getPDF.asp?paper=HP0025&amp;item=3&amp;snum=132" TargetMode="External"/><Relationship Id="rId837" Type="http://schemas.openxmlformats.org/officeDocument/2006/relationships/hyperlink" Target="https://www.mass.gov/info-details/pfml-workplace-poster-notices-and-rate-sheets-for-massachusetts-employers" TargetMode="External"/><Relationship Id="rId879" Type="http://schemas.openxmlformats.org/officeDocument/2006/relationships/hyperlink" Target="https://www.dli.mn.gov/breaks" TargetMode="External"/><Relationship Id="rId1022" Type="http://schemas.openxmlformats.org/officeDocument/2006/relationships/hyperlink" Target="https://u4664138.ct.sendgrid.net/ls/click?upn=u001.-2BvR921dwSdNdTO8WsXTOoBizBEWBLVOJfbhWpB2aYOdMJn89Zo4CjJ9js5VTBQg0iqvz8nSw-2Fs55V4JG-2BOmWlY9Yk9ByN8ujyPtnfglpn8s-3DbvrG_pZjfBIpLjMFCpu6xHFn7DWABExhsgTHcqiJ060gTkgzEATmBUNXNmW3P5SmbWvnmVTKJj0B22qFfPKXwOWHP8fpkdChIBspMzl2hP4Dd85dWlMSu8O0Iz2MHn72dnr-2B29bRwON6KRqvKjbSJvHzI92RJLyDVVsfws1-2Fng1ASRe223qkmysdLCsYfg34SaFHN6P6-2F9vkPszFXkUwhAwHf-2BpmIjeMyp2ZpC346goj3GRGQu9-2BrhbT2MjT7EakgS-2BoZJHJ9CJ-2FVskF3EGVZrPE7hb9VzUkPFkgO4RVXTJq3WM0-3D" TargetMode="External"/><Relationship Id="rId269"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434" Type="http://schemas.openxmlformats.org/officeDocument/2006/relationships/hyperlink" Target="https://www.osha.gov/severe-injury-reports" TargetMode="External"/><Relationship Id="rId476"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641" Type="http://schemas.openxmlformats.org/officeDocument/2006/relationships/hyperlink" Target="https://www.labor.ca.gov/resources/paga/paga-faqs/" TargetMode="External"/><Relationship Id="rId683" Type="http://schemas.openxmlformats.org/officeDocument/2006/relationships/hyperlink" Target="https://www.cga.ct.gov/asp/cgabillstatus/cgabillstatus.asp?selBillType=Bill&amp;bill_num=SB-472" TargetMode="External"/><Relationship Id="rId739" Type="http://schemas.openxmlformats.org/officeDocument/2006/relationships/hyperlink" Target="https://gov.illinois.gov/news/press-release.30774.html" TargetMode="External"/><Relationship Id="rId890" Type="http://schemas.openxmlformats.org/officeDocument/2006/relationships/hyperlink" Target="https://www.revisor.mn.gov/laws/2024/0/Session+Law/Chapter/127/" TargetMode="External"/><Relationship Id="rId904" Type="http://schemas.openxmlformats.org/officeDocument/2006/relationships/hyperlink" Target="https://sos.nebraska.gov/sites/default/files/doc/elections/2024/2024%20Ballot%20Measures%20Pamphlet.pdf" TargetMode="External"/><Relationship Id="rId1064" Type="http://schemas.openxmlformats.org/officeDocument/2006/relationships/hyperlink" Target="https://lis.virginia.gov/bill-details/20261/HB1489" TargetMode="External"/><Relationship Id="rId33" Type="http://schemas.openxmlformats.org/officeDocument/2006/relationships/hyperlink" Target="https://labor.nv.gov/uploadedFiles/labornvgov/content/Employer/AB%20307%20Q3%20Required%20Posting%2007.01.2026%20(EN).pdf" TargetMode="External"/><Relationship Id="rId129" Type="http://schemas.openxmlformats.org/officeDocument/2006/relationships/hyperlink" Target="https://labor.vermont.gov/document/meals-and-lodging-poster-2025" TargetMode="External"/><Relationship Id="rId280" Type="http://schemas.openxmlformats.org/officeDocument/2006/relationships/hyperlink" Target="https://www.eeoc.gov/discrimination-against-american-workers-against-law" TargetMode="External"/><Relationship Id="rId336" Type="http://schemas.openxmlformats.org/officeDocument/2006/relationships/hyperlink" Target="https://www.dol.gov/newsroom/releases/whd/whd20250501" TargetMode="External"/><Relationship Id="rId501" Type="http://schemas.openxmlformats.org/officeDocument/2006/relationships/hyperlink" Target="https://lims.dccouncil.gov/Legislation/B25-0194" TargetMode="External"/><Relationship Id="rId543" Type="http://schemas.openxmlformats.org/officeDocument/2006/relationships/hyperlink" Target="https://www.dir.ca.gov/dlse/Know-Your-Rights-Notice/Know-Your-Rights-Notice-English.pdf" TargetMode="External"/><Relationship Id="rId946" Type="http://schemas.openxmlformats.org/officeDocument/2006/relationships/hyperlink" Target="https://legistar.council.nyc.gov/LegislationDetail.aspx?ID=6788483&amp;GUID=CDAAC0E3-EEC3-4CBA-8467-476D863BB303" TargetMode="External"/><Relationship Id="rId988" Type="http://schemas.openxmlformats.org/officeDocument/2006/relationships/hyperlink" Target="https://apps.oregonlegislature.gov/liz/2026R1/Downloads/MeasureDocument/HB4111/Enrolled" TargetMode="External"/><Relationship Id="rId75" Type="http://schemas.openxmlformats.org/officeDocument/2006/relationships/hyperlink" Target="https://www.azica.gov/sites/default/files/2025-09/2026%20THE%20FAIR%20WAGES%20AND%20HEALTHY%20FAMILIES%20ACT_1.pdf" TargetMode="External"/><Relationship Id="rId140" Type="http://schemas.openxmlformats.org/officeDocument/2006/relationships/hyperlink" Target="https://www.oregon.gov/boli/employers/Documents/BOLI_Printable_SHDVP.pdf" TargetMode="External"/><Relationship Id="rId182" Type="http://schemas.openxmlformats.org/officeDocument/2006/relationships/hyperlink" Target="https://www.swlaw.com/publication/exempt-by-day-hourly-by-night-new-dol-guidance-for-when-salaried-employees-pick-up-hourly-shifts/" TargetMode="External"/><Relationship Id="rId378" Type="http://schemas.openxmlformats.org/officeDocument/2006/relationships/hyperlink" Target="http://www.gpo.gov/fdsys/pkg/FR-2012-12-06/pdf/2012-29325.pdf" TargetMode="External"/><Relationship Id="rId403" Type="http://schemas.openxmlformats.org/officeDocument/2006/relationships/hyperlink" Target="https://dcboe.org/data,-maps,-forms/forms-and-resources" TargetMode="External"/><Relationship Id="rId585"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50" Type="http://schemas.openxmlformats.org/officeDocument/2006/relationships/hyperlink" Target="https://www.ilga.gov/legislation/publicacts/fulltext.asp?Name=103-0722" TargetMode="External"/><Relationship Id="rId792" Type="http://schemas.openxmlformats.org/officeDocument/2006/relationships/hyperlink" Target="https://paidleave.maryland.gov/files/famli-faqs-april-2026.pdf" TargetMode="External"/><Relationship Id="rId806" Type="http://schemas.openxmlformats.org/officeDocument/2006/relationships/hyperlink" Target="https://mgaleg.maryland.gov/2024RS/Chapters_noln/CH_322_hb0598t.pdf" TargetMode="External"/><Relationship Id="rId848" Type="http://schemas.openxmlformats.org/officeDocument/2006/relationships/hyperlink" Target="https://www.michigan.gov/leo/bureaus-agencies/ber/wage-and-hour/paid-medical-leave-act/frequently-asked-questions--faqs" TargetMode="External"/><Relationship Id="rId1033" Type="http://schemas.openxmlformats.org/officeDocument/2006/relationships/hyperlink" Target="https://wapp.capitol.tn.gov/apps/BillInfo/Default?BillNumber=HB1034" TargetMode="External"/><Relationship Id="rId6" Type="http://schemas.openxmlformats.org/officeDocument/2006/relationships/footnotes" Target="footnotes.xml"/><Relationship Id="rId238" Type="http://schemas.openxmlformats.org/officeDocument/2006/relationships/hyperlink" Target="https://cdle.colorado.gov/sites/cdle/files/proposed_2026_pay_calc_order_7_ccr_1103-14_9.30.25.pdf" TargetMode="External"/><Relationship Id="rId445" Type="http://schemas.openxmlformats.org/officeDocument/2006/relationships/hyperlink" Target="https://www.eeocdata.org/eeo1" TargetMode="External"/><Relationship Id="rId487"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610" Type="http://schemas.openxmlformats.org/officeDocument/2006/relationships/hyperlink" Target="https://leginfo.legislature.ca.gov/faces/codes_displaySection.xhtml?sectionNum=246.5.&amp;nodeTreePath=3.1.1.2&amp;lawCode=LAB" TargetMode="External"/><Relationship Id="rId652" Type="http://schemas.openxmlformats.org/officeDocument/2006/relationships/hyperlink" Target="https://view.officeapps.live.com/op/view.aspx?src=https%3A%2F%2Fwww.dir.ca.gov%2Fdosh%2Fdosh_publications%2FModel-WPV-Plan-General-Industry.docx&amp;wdOrigin=BROWSELINK" TargetMode="External"/><Relationship Id="rId694" Type="http://schemas.openxmlformats.org/officeDocument/2006/relationships/hyperlink" Target="https://labor.delaware.gov/delaware-paid-leave-is-coming/" TargetMode="External"/><Relationship Id="rId708" Type="http://schemas.openxmlformats.org/officeDocument/2006/relationships/hyperlink" Target="https://data.capitol.hawaii.gov/sessions/session2024/bills/GM1275_.PDF" TargetMode="External"/><Relationship Id="rId915" Type="http://schemas.openxmlformats.org/officeDocument/2006/relationships/hyperlink" Target="https://www.gencourt.state.nh.us/bill_status/billinfo.aspx?id=1410&amp;inflect=2" TargetMode="External"/><Relationship Id="rId1075" Type="http://schemas.openxmlformats.org/officeDocument/2006/relationships/hyperlink" Target="https://retirepathva.vestwell.com/register/employer/access-code-request" TargetMode="External"/><Relationship Id="rId291" Type="http://schemas.openxmlformats.org/officeDocument/2006/relationships/hyperlink" Target="https://www.eeoc.gov/poster?utm_content=&amp;utm_medium=email&amp;utm_name=&amp;utm_source=govdelivery&amp;utm_term=" TargetMode="External"/><Relationship Id="rId305" Type="http://schemas.openxmlformats.org/officeDocument/2006/relationships/hyperlink" Target="https://www.mayerbrown.com/en/insights/publications/2025/04/doj-and-eeoc-issue-guidance-regarding-unlawful-dei-related-discrimination" TargetMode="External"/><Relationship Id="rId347" Type="http://schemas.openxmlformats.org/officeDocument/2006/relationships/hyperlink" Target="https://www.eeoc.gov/what-do-if-you-experience-discrimination-related-dei-work" TargetMode="External"/><Relationship Id="rId512" Type="http://schemas.openxmlformats.org/officeDocument/2006/relationships/hyperlink" Target="https://public-inspection.federalregister.gov/2024-00067.pdf" TargetMode="External"/><Relationship Id="rId957" Type="http://schemas.openxmlformats.org/officeDocument/2006/relationships/hyperlink" Target="https://www.nyc.gov/assets/dca/downloads/pdf/about/PaidSafeSickLeave-MandatoryNotice-English.pdf" TargetMode="External"/><Relationship Id="rId999" Type="http://schemas.openxmlformats.org/officeDocument/2006/relationships/hyperlink" Target="https://www.oregon.gov/boli/pages/index.aspx" TargetMode="External"/><Relationship Id="rId1100" Type="http://schemas.openxmlformats.org/officeDocument/2006/relationships/hyperlink" Target="https://app.leg.wa.gov/RCW/default.aspx?cite=9a.36.080" TargetMode="External"/><Relationship Id="rId44" Type="http://schemas.openxmlformats.org/officeDocument/2006/relationships/hyperlink" Target="https://labor.alaska.gov/lss/forms/Summary_of_Alaska_Wage_and_Hour_Act-01-2025.pdf?q=012126" TargetMode="External"/><Relationship Id="rId86" Type="http://schemas.openxmlformats.org/officeDocument/2006/relationships/hyperlink" Target="https://www.pa.gov/content/dam/copapwp-pagov/en/dli/documents/individuals/labor-management-relations/llc/veteran%20benefits%20and%20services_october%202025.pdf" TargetMode="External"/><Relationship Id="rId151" Type="http://schemas.openxmlformats.org/officeDocument/2006/relationships/hyperlink" Target="https://www.nyc.gov/assets/cchr/downloads/pdf/publications/Pregnancy_Poster_2017.pdf" TargetMode="External"/><Relationship Id="rId389" Type="http://schemas.openxmlformats.org/officeDocument/2006/relationships/hyperlink" Target="https://www.irs.gov/affordable-care-act/employers/information-reporting-by-providers-of-minimum-essential-coverage" TargetMode="External"/><Relationship Id="rId554"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96" Type="http://schemas.openxmlformats.org/officeDocument/2006/relationships/hyperlink" Target="https://dof.ca.gov/wp-content/uploads/sites/352/2025/08/Minimum-Wage-Increase-Notification-Governor-and-Legislative-Letter.pdf" TargetMode="External"/><Relationship Id="rId761"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817" Type="http://schemas.openxmlformats.org/officeDocument/2006/relationships/hyperlink" Target="https://legiscan.com/MD/text/HB649/id/2991855" TargetMode="External"/><Relationship Id="rId859" Type="http://schemas.openxmlformats.org/officeDocument/2006/relationships/hyperlink" Target="https://legislature.mi.gov/Laws/MCL?objectName=MCL-ACT-338-OF-2018" TargetMode="External"/><Relationship Id="rId1002" Type="http://schemas.openxmlformats.org/officeDocument/2006/relationships/hyperlink" Target="https://www.oregon.gov/boli/employers/Pages/required-worksite-postings.aspx" TargetMode="External"/><Relationship Id="rId193" Type="http://schemas.openxmlformats.org/officeDocument/2006/relationships/hyperlink" Target="https://public-inspection.federalregister.gov/2026-09839.pdf" TargetMode="External"/><Relationship Id="rId207" Type="http://schemas.openxmlformats.org/officeDocument/2006/relationships/hyperlink" Target="https://www.irs.gov/affordable-care-act/patient-centered-outreach-research-institute-filing-due-dates-and-applicable-rates" TargetMode="External"/><Relationship Id="rId249" Type="http://schemas.openxmlformats.org/officeDocument/2006/relationships/hyperlink" Target="https://doli.virginia.gov/2026/01/06/notice-of-the-average-weekly-wage-for-2026/" TargetMode="External"/><Relationship Id="rId414" Type="http://schemas.openxmlformats.org/officeDocument/2006/relationships/hyperlink" Target="https://www.irs.gov/affordable-care-act/employers/information-reporting-by-applicable-large-employers" TargetMode="External"/><Relationship Id="rId456" Type="http://schemas.openxmlformats.org/officeDocument/2006/relationships/hyperlink" Target="https://www.hhs.gov/hipaa/for-professionals/security/guidance/cybersecurity/ransomware-fact-sheet/index.html" TargetMode="External"/><Relationship Id="rId498" Type="http://schemas.openxmlformats.org/officeDocument/2006/relationships/hyperlink" Target="https://leginfo.legislature.ca.gov/faces/billTextClient.xhtml?bill_id=202320240SB54" TargetMode="External"/><Relationship Id="rId621" Type="http://schemas.openxmlformats.org/officeDocument/2006/relationships/hyperlink" Target="https://leginfo.legislature.ca.gov/faces/billCompareClient.xhtml?bill_id=202320240SB1137&amp;showamends=false" TargetMode="External"/><Relationship Id="rId663" Type="http://schemas.openxmlformats.org/officeDocument/2006/relationships/hyperlink" Target="https://www.dir.ca.gov/dlse/LC_2810.5_Notice.pdf" TargetMode="External"/><Relationship Id="rId870" Type="http://schemas.openxmlformats.org/officeDocument/2006/relationships/hyperlink" Target="https://mn.gov/deed/assets/paid-leave-notice-equivalent_tcm1045-707784.docx" TargetMode="External"/><Relationship Id="rId1044" Type="http://schemas.openxmlformats.org/officeDocument/2006/relationships/hyperlink" Target="https://le.utah.gov/~2024/bills/static/HB0245.html" TargetMode="External"/><Relationship Id="rId1086" Type="http://schemas.openxmlformats.org/officeDocument/2006/relationships/hyperlink" Target="https://esd.wa.gov/about-us/blog/2026/new-law-addresses-irs-guidance-states-paid-family-medical-leave-program?utm_medium=email&amp;utm_source=govdelivery" TargetMode="External"/><Relationship Id="rId13" Type="http://schemas.openxmlformats.org/officeDocument/2006/relationships/hyperlink" Target="https://www.dol.gov/agencies/ebsa/laws-and-regulations/rules-and-regulations/public-comments/2010-2409" TargetMode="External"/><Relationship Id="rId109" Type="http://schemas.openxmlformats.org/officeDocument/2006/relationships/hyperlink" Target="https://www.laworks.net/Downloads/Posters/2025_Earned_Income_Credit.pdf" TargetMode="External"/><Relationship Id="rId260" Type="http://schemas.openxmlformats.org/officeDocument/2006/relationships/hyperlink" Target="https://www.dol.gov/sites/dolgov/files/WHD/opinion-letters/FLSA/FLSA2026-1.pdf" TargetMode="External"/><Relationship Id="rId316" Type="http://schemas.openxmlformats.org/officeDocument/2006/relationships/hyperlink" Target="https://judiciary.house.gov/media/press-releases/big-beautiful-border-security" TargetMode="External"/><Relationship Id="rId523" Type="http://schemas.openxmlformats.org/officeDocument/2006/relationships/hyperlink" Target="https://www.federalregister.gov/documents/2023/03/20/2023-05216/agency-contact-information" TargetMode="External"/><Relationship Id="rId719" Type="http://schemas.openxmlformats.org/officeDocument/2006/relationships/hyperlink" Target="https://www.ilga.gov/Documents/Legislation/PublicActs/104/PDF/104-0161.pdf" TargetMode="External"/><Relationship Id="rId926" Type="http://schemas.openxmlformats.org/officeDocument/2006/relationships/hyperlink" Target="https://pub.njleg.state.nj.us/Bills/2024/S2500/2310_R1.PDF" TargetMode="External"/><Relationship Id="rId968" Type="http://schemas.openxmlformats.org/officeDocument/2006/relationships/hyperlink" Target="https://nyassembly.gov/leg/?term=2025&amp;bn=A01678" TargetMode="External"/><Relationship Id="rId1111" Type="http://schemas.openxmlformats.org/officeDocument/2006/relationships/hyperlink" Target="https://lawfilesext.leg.wa.gov/biennium/2023-24/htm/Bills/Senate%20Passed%20Legislature/5778-S.PL.htm?q=20240401090014" TargetMode="External"/><Relationship Id="rId55" Type="http://schemas.openxmlformats.org/officeDocument/2006/relationships/hyperlink" Target="https://www.nyc.gov/site/dca/about/Paid-Safe-Sick-Leave-Notice-of-Employee-Rights.page" TargetMode="External"/><Relationship Id="rId97" Type="http://schemas.openxmlformats.org/officeDocument/2006/relationships/hyperlink" Target="https://labor.vermont.gov/document/workplace-safety-records-notice-poster" TargetMode="External"/><Relationship Id="rId120" Type="http://schemas.openxmlformats.org/officeDocument/2006/relationships/hyperlink" Target="https://calcivilrights.ca.gov/wp-content/uploads/sites/32/2025/07/Survivors-Right-to-Time-Off_English-B.pdf" TargetMode="External"/><Relationship Id="rId358" Type="http://schemas.openxmlformats.org/officeDocument/2006/relationships/hyperlink" Target="https://www.dol.gov/agencies/ebsa/about-ebsa/our-activities/resource-center/fact-sheets/ebsa-monetary-results" TargetMode="External"/><Relationship Id="rId565" Type="http://schemas.openxmlformats.org/officeDocument/2006/relationships/hyperlink" Target="https://leginfo.legislature.ca.gov/faces/billCompareClient.xhtml?bill_id=202520260SB617&amp;showamends=false" TargetMode="External"/><Relationship Id="rId730" Type="http://schemas.openxmlformats.org/officeDocument/2006/relationships/hyperlink" Target="https://www.ilga.gov/documents/legislation/103/HB/10300HB5258.htm" TargetMode="External"/><Relationship Id="rId772" Type="http://schemas.openxmlformats.org/officeDocument/2006/relationships/hyperlink" Target="https://iga.in.gov/pdf-documents/124/2026/senate/bills/SB0076/SB0076.08.ENRH.pdf" TargetMode="External"/><Relationship Id="rId828" Type="http://schemas.openxmlformats.org/officeDocument/2006/relationships/hyperlink" Target="https://www.sec.state.ma.us/divisions/corporations/eeo-data-reports.htm" TargetMode="External"/><Relationship Id="rId1013" Type="http://schemas.openxmlformats.org/officeDocument/2006/relationships/hyperlink" Target="https://phila.legistar.com/LegislationDetail.aspx?ID=7354278&amp;GUID=E36DCB86-DBEE-4B29-A5A6-F88BFD9A3912&amp;Options=ID%7cText%7c&amp;Search=250373-A&amp;FullText=1" TargetMode="External"/><Relationship Id="rId162" Type="http://schemas.openxmlformats.org/officeDocument/2006/relationships/hyperlink" Target="https://labor.nv.gov/Employer/Employer_Posters/" TargetMode="External"/><Relationship Id="rId218" Type="http://schemas.openxmlformats.org/officeDocument/2006/relationships/hyperlink" Target="https://www.hhs.gov/hipaa/for-professionals/privacy/guidance/model-notices-privacy-practices/index.html" TargetMode="External"/><Relationship Id="rId425" Type="http://schemas.openxmlformats.org/officeDocument/2006/relationships/hyperlink" Target="https://www.dol.gov/agencies/ebsa/key-topics/retirement-benefits/cybersecurity/compliance-assistance-release-2024-01" TargetMode="External"/><Relationship Id="rId467" Type="http://schemas.openxmlformats.org/officeDocument/2006/relationships/hyperlink" Target="https://www.eeoc.gov/small-business-fact-sheet-harassment-workplace" TargetMode="External"/><Relationship Id="rId632" Type="http://schemas.openxmlformats.org/officeDocument/2006/relationships/hyperlink" Target="https://leginfo.legislature.ca.gov/faces/billCompareClient.xhtml?bill_id=202320240SB399&amp;showamends=false" TargetMode="External"/><Relationship Id="rId1055" Type="http://schemas.openxmlformats.org/officeDocument/2006/relationships/hyperlink" Target="https://lis.blob.core.windows.net/files/1225703.PDF" TargetMode="External"/><Relationship Id="rId1097" Type="http://schemas.openxmlformats.org/officeDocument/2006/relationships/hyperlink" Target="https://app.leg.wa.gov/RCW/default.aspx?cite=49.30" TargetMode="External"/><Relationship Id="rId271"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674" Type="http://schemas.openxmlformats.org/officeDocument/2006/relationships/hyperlink" Target="https://u4664138.ct.sendgrid.net/ls/click?upn=u001.-2BvR921dwSdNdTO8WsXTOoDn3PRY0CTgX9jT-2FSIVwJxYwRWfgdkmfAPrUqJNfKhlYuEubAv3rw0HqBfr6u-2FTIHvwTCHnkUE9uJiUw-2BaOFPgI-3DZU-h_pZjfBIpLjMFCpu6xHFn7DWABExhsgTHcqiJ060gTkgzEATmBUNXNmW3P5SmbWvnmN-2BloQV2ABiJ6BlWP2zolcnhBdH6CRUEwe-2B2CS3LX1NsLBjqXP5LJz9WRYcyfmTr93-2B-2FyJww5dgcWoZcCS-2BoXsfV2gAmedpXH2o3k3Os8WFD7VKLyilAQPosHBBOUI-2BYJBqAUf9iXsFMtKWpievbWpG9jImqC7oYFqWQ7GUqzhbEL8k0BG-2FpHxNnlru3g9N4Rl4ePLm-2FmMXQ3akf-2FKRtJIg-3D-3D" TargetMode="External"/><Relationship Id="rId881" Type="http://schemas.openxmlformats.org/officeDocument/2006/relationships/hyperlink" Target="https://www.revisor.mn.gov/laws/2025/1/Session+Law/Chapter/6/" TargetMode="External"/><Relationship Id="rId937" Type="http://schemas.openxmlformats.org/officeDocument/2006/relationships/hyperlink" Target="https://www.nysenate.gov/legislation/bills/2025/A4727" TargetMode="External"/><Relationship Id="rId979" Type="http://schemas.openxmlformats.org/officeDocument/2006/relationships/hyperlink" Target="https://www.nysenate.gov/legislation/bills/2023/S8358/amendment/C" TargetMode="External"/><Relationship Id="rId24" Type="http://schemas.openxmlformats.org/officeDocument/2006/relationships/hyperlink" Target="https://labor.vermont.gov/sites/labor/files/documents/Unemployment%20Insurance%20Poster_Updated%200726.pdf" TargetMode="External"/><Relationship Id="rId66" Type="http://schemas.openxmlformats.org/officeDocument/2006/relationships/hyperlink" Target="https://dcpaidfamilyleave.dc.gov/announcements/2026-employee-notice-is-now-available/" TargetMode="External"/><Relationship Id="rId131" Type="http://schemas.openxmlformats.org/officeDocument/2006/relationships/hyperlink" Target="https://drive.google.com/file/d/1AZKBT_JCGnKI4zW8VNjw6b1-Oqhnsdjv/view" TargetMode="External"/><Relationship Id="rId327" Type="http://schemas.openxmlformats.org/officeDocument/2006/relationships/hyperlink" Target="https://www.cms.gov/marketplace/about/oversight/other-insurance-protections/prescription-drug-data-collection-rxdc" TargetMode="External"/><Relationship Id="rId369" Type="http://schemas.openxmlformats.org/officeDocument/2006/relationships/hyperlink" Target="https://www.akerman.com/en/perspectives/hrdef-best-practices-for-employers-in-managing-uscis-administrative-onsite-inspections-ice-raids-and-form-i-9-audits.html" TargetMode="External"/><Relationship Id="rId534" Type="http://schemas.openxmlformats.org/officeDocument/2006/relationships/hyperlink" Target="https://sfgov.legistar.com/View.ashx?M=F&amp;ID=15753203&amp;GUID=6FAFCA80-6223-4EE8-8C52-64B41CCABABB" TargetMode="External"/><Relationship Id="rId576" Type="http://schemas.openxmlformats.org/officeDocument/2006/relationships/hyperlink" Target="https://laborcenter.berkeley.edu/inventory-of-us-city-and-county-minimum-wage-ordinances/" TargetMode="External"/><Relationship Id="rId741" Type="http://schemas.openxmlformats.org/officeDocument/2006/relationships/hyperlink" Target="https://labor.illinois.gov/faqs/equal-pay-act-salary-transparency-faq.html" TargetMode="External"/><Relationship Id="rId783" Type="http://schemas.openxmlformats.org/officeDocument/2006/relationships/hyperlink" Target="https://legislature.maine.gov/billtracker/%23Paper/hp19?legislature=132" TargetMode="External"/><Relationship Id="rId839" Type="http://schemas.openxmlformats.org/officeDocument/2006/relationships/hyperlink" Target="https://www.mass.gov/info-details/pfml-workplace-poster-notices-and-rate-sheets-for-massachusetts-employers" TargetMode="External"/><Relationship Id="rId990" Type="http://schemas.openxmlformats.org/officeDocument/2006/relationships/hyperlink" Target="https://www.oregon.gov/boli/workers/pages/minimum-wage.aspx" TargetMode="External"/><Relationship Id="rId173" Type="http://schemas.openxmlformats.org/officeDocument/2006/relationships/hyperlink" Target="https://www.dol.gov/agencies/ebsa/employers-and-advisers/guidance/technical-releases/11-03" TargetMode="External"/><Relationship Id="rId229" Type="http://schemas.openxmlformats.org/officeDocument/2006/relationships/hyperlink" Target="https://www.ca4.uscourts.gov/opinions/251189.P.pdf?benlswxhdhu" TargetMode="External"/><Relationship Id="rId380" Type="http://schemas.openxmlformats.org/officeDocument/2006/relationships/hyperlink" Target="https://cta-v-garland-district-court-opinion-preliminary-injunction/" TargetMode="External"/><Relationship Id="rId436" Type="http://schemas.openxmlformats.org/officeDocument/2006/relationships/hyperlink" Target="https://www.uscis.gov/i-9-central/form-i-9-related-news/uscis-extends-form-i-9-expiration-date" TargetMode="External"/><Relationship Id="rId601" Type="http://schemas.openxmlformats.org/officeDocument/2006/relationships/image" Target="media/image3.png"/><Relationship Id="rId643" Type="http://schemas.openxmlformats.org/officeDocument/2006/relationships/hyperlink" Target="https://www.dir.ca.gov/dlse/" TargetMode="External"/><Relationship Id="rId1024" Type="http://schemas.openxmlformats.org/officeDocument/2006/relationships/hyperlink" Target="https://rules.sos.ri.gov/Regulations/part/260-30-05-2" TargetMode="External"/><Relationship Id="rId1066" Type="http://schemas.openxmlformats.org/officeDocument/2006/relationships/hyperlink" Target="https://lis.blob.core.windows.net/files/1221113.PDF" TargetMode="External"/><Relationship Id="rId240" Type="http://schemas.openxmlformats.org/officeDocument/2006/relationships/hyperlink" Target="https://www.leg.state.fl.us/statutes/index.cfm?App_mode=Display_Statute&amp;URL=0500-0599/0542/0542.html" TargetMode="External"/><Relationship Id="rId478"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685" Type="http://schemas.openxmlformats.org/officeDocument/2006/relationships/hyperlink" Target="https://www.littler.com/news-analysis/asap/warehouse-quota-notice-laws-connecticut-joins-club" TargetMode="External"/><Relationship Id="rId850" Type="http://schemas.openxmlformats.org/officeDocument/2006/relationships/hyperlink" Target="https://legislature.mi.gov/documents/2025-2026/billenrolled/House/pdf/2025-HNB-4002.pdf" TargetMode="External"/><Relationship Id="rId892" Type="http://schemas.openxmlformats.org/officeDocument/2006/relationships/hyperlink" Target="https://www.revisor.mn.gov/statutes/cite/181.172" TargetMode="External"/><Relationship Id="rId906" Type="http://schemas.openxmlformats.org/officeDocument/2006/relationships/hyperlink" Target="https://www.leg.state.nv.us/App/NELIS/REL/83rd2025/Bill/12217/Overview" TargetMode="External"/><Relationship Id="rId948" Type="http://schemas.openxmlformats.org/officeDocument/2006/relationships/hyperlink" Target="https://www.nysenate.gov/legislation/bills/2025/S5294/amendment/A" TargetMode="External"/><Relationship Id="rId35" Type="http://schemas.openxmlformats.org/officeDocument/2006/relationships/hyperlink" Target="https://www.maine.gov/labor/docs/2026/posters/MaineBLSSexualHarassmentPreventionChecklist.pdf" TargetMode="External"/><Relationship Id="rId77" Type="http://schemas.openxmlformats.org/officeDocument/2006/relationships/hyperlink" Target="https://www.tucsonaz.gov/files/sharedassets/public/v/1/bsd/documents/minimum-wage-materials/cot_minimum_wage_eng_2026.pdf" TargetMode="External"/><Relationship Id="rId100" Type="http://schemas.openxmlformats.org/officeDocument/2006/relationships/hyperlink" Target="https://labor.vermont.gov/document/wc-9-employers-reinstatement-poster-0" TargetMode="External"/><Relationship Id="rId282" Type="http://schemas.openxmlformats.org/officeDocument/2006/relationships/hyperlink" Target="https://www.akerman.com/en/perspectives/hrdef-what-employers-need-to-know-about-no-tax-on-tips-and-no-tax-on-overtime.html" TargetMode="External"/><Relationship Id="rId338" Type="http://schemas.openxmlformats.org/officeDocument/2006/relationships/hyperlink" Target="https://www.constangy.com/employment-labor-insider/court-scraps-eeoc-guidance-on-pronouns-restrooms-and-dress" TargetMode="External"/><Relationship Id="rId503" Type="http://schemas.openxmlformats.org/officeDocument/2006/relationships/hyperlink" Target="https://www.morganlewis.com/pubs/2024/03/nlrb-blocked-from-implementing-expansive-joint-employer-rule" TargetMode="External"/><Relationship Id="rId545" Type="http://schemas.openxmlformats.org/officeDocument/2006/relationships/hyperlink" Target="https://sf.gov/information/health-care-security-ordinance" TargetMode="External"/><Relationship Id="rId587" Type="http://schemas.openxmlformats.org/officeDocument/2006/relationships/hyperlink" Target="https://www.dir.ca.gov/oprl/ComputerSoftware.htm" TargetMode="External"/><Relationship Id="rId710" Type="http://schemas.openxmlformats.org/officeDocument/2006/relationships/hyperlink" Target="https://www.ilga.gov/Legislation/BillStatus?DocNum=4844&amp;GAID=18&amp;DocTypeID=HB&amp;LegId=166108&amp;SessionID=114" TargetMode="External"/><Relationship Id="rId752" Type="http://schemas.openxmlformats.org/officeDocument/2006/relationships/hyperlink" Target="https://labor.illinois.gov/laws-rules/fls/child-labor-law.html" TargetMode="External"/><Relationship Id="rId808" Type="http://schemas.openxmlformats.org/officeDocument/2006/relationships/hyperlink" Target="https://mgaleg.maryland.gov/2024RS/Chapters_noln/CH_377_hb1397e.pdf" TargetMode="External"/><Relationship Id="rId8" Type="http://schemas.openxmlformats.org/officeDocument/2006/relationships/image" Target="media/image1.png"/><Relationship Id="rId142" Type="http://schemas.openxmlformats.org/officeDocument/2006/relationships/hyperlink" Target="https://www.mass.gov/doc/mcad-fair-employment-law-poster-0/download" TargetMode="External"/><Relationship Id="rId184" Type="http://schemas.openxmlformats.org/officeDocument/2006/relationships/hyperlink" Target="https://www.swlaw.com/publication/exempt-by-day-hourly-by-night-new-dol-guidance-for-when-salaried-employees-pick-up-hourly-shifts/" TargetMode="External"/><Relationship Id="rId391" Type="http://schemas.openxmlformats.org/officeDocument/2006/relationships/hyperlink" Target="https://www.irs.gov/affordable-care-act/employers/information-reporting-by-applicable-large-employers" TargetMode="External"/><Relationship Id="rId405" Type="http://schemas.openxmlformats.org/officeDocument/2006/relationships/hyperlink" Target="https://elections.ny.gov/system/files/documents/2023/08/timeofftovotenotice.pdf" TargetMode="External"/><Relationship Id="rId447" Type="http://schemas.openxmlformats.org/officeDocument/2006/relationships/hyperlink" Target="https://www.eeocdata.org/pdfs/FAILURE_TO_FILE.pdf" TargetMode="External"/><Relationship Id="rId612" Type="http://schemas.openxmlformats.org/officeDocument/2006/relationships/hyperlink" Target="https://leginfo.legislature.ca.gov/faces/billNavClient.xhtml?bill_id=202320240AB636" TargetMode="External"/><Relationship Id="rId794" Type="http://schemas.openxmlformats.org/officeDocument/2006/relationships/hyperlink" Target="https://paidleave.maryland.gov/" TargetMode="External"/><Relationship Id="rId1035" Type="http://schemas.openxmlformats.org/officeDocument/2006/relationships/hyperlink" Target="https://www.dol.gov/agencies/whd/fmla" TargetMode="External"/><Relationship Id="rId1077" Type="http://schemas.openxmlformats.org/officeDocument/2006/relationships/hyperlink" Target="https://www.retirepathva.com/resources/program-resources" TargetMode="External"/><Relationship Id="rId251" Type="http://schemas.openxmlformats.org/officeDocument/2006/relationships/hyperlink" Target="https://www.federalregister.gov/documents/2025/01/17/2025-01377/annual-update-of-the-hhs-poverty-guidelines" TargetMode="External"/><Relationship Id="rId489" Type="http://schemas.openxmlformats.org/officeDocument/2006/relationships/hyperlink" Target="https://www.eeoc.gov/pregnancy-discrimination" TargetMode="External"/><Relationship Id="rId654" Type="http://schemas.openxmlformats.org/officeDocument/2006/relationships/hyperlink" Target="https://calcivilrights.ca.gov/paydatareporting/faqs/" TargetMode="External"/><Relationship Id="rId696" Type="http://schemas.openxmlformats.org/officeDocument/2006/relationships/hyperlink" Target="https://dcpaidfamilyleave.dc.gov/announcements/2025-employee-notice-is-now-available/" TargetMode="External"/><Relationship Id="rId861"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917" Type="http://schemas.openxmlformats.org/officeDocument/2006/relationships/hyperlink" Target="https://www.nj.gov/labor/lwdhome/press/2026/20260505_ABC.shtml" TargetMode="External"/><Relationship Id="rId959" Type="http://schemas.openxmlformats.org/officeDocument/2006/relationships/hyperlink" Target="https://legistar.council.nyc.gov/LegislationDetail.aspx?ID=6695239&amp;GUID=31C2A1CC-05F6-439A-BFC6-B7159AECAF66&amp;Options=ID%7cText%7c&amp;Search=lactation" TargetMode="External"/><Relationship Id="rId1102" Type="http://schemas.openxmlformats.org/officeDocument/2006/relationships/hyperlink" Target="https://lawfilesext.leg.wa.gov/biennium/2025-26/htm/Bills/House%20Passed%20Legislature/1747.PL.htm?q=20250422091254" TargetMode="External"/><Relationship Id="rId46" Type="http://schemas.openxmlformats.org/officeDocument/2006/relationships/hyperlink" Target="https://labor.alaska.gov/lss/forms/child-labor-law-summary.pdf?q=032426" TargetMode="External"/><Relationship Id="rId293"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307" Type="http://schemas.openxmlformats.org/officeDocument/2006/relationships/hyperlink" Target="https://www.congress.gov/crs-product/R42713" TargetMode="External"/><Relationship Id="rId349" Type="http://schemas.openxmlformats.org/officeDocument/2006/relationships/hyperlink" Target="https://www.hklaw.com/en/insights/publications/2025/03/acting-national-labor-relations-board-general-counsel-rescinds" TargetMode="External"/><Relationship Id="rId514" Type="http://schemas.openxmlformats.org/officeDocument/2006/relationships/hyperlink" Target="https://public-inspection.federalregister.gov/2022-21454.pdf" TargetMode="External"/><Relationship Id="rId556" Type="http://schemas.openxmlformats.org/officeDocument/2006/relationships/hyperlink" Target="https://www.dir.ca.gov/oprl/ComputerSoftware.htm" TargetMode="External"/><Relationship Id="rId721" Type="http://schemas.openxmlformats.org/officeDocument/2006/relationships/hyperlink" Target="https://aboutbtax.com/bjkw" TargetMode="External"/><Relationship Id="rId763" Type="http://schemas.openxmlformats.org/officeDocument/2006/relationships/hyperlink" Target="mailto:DOL.EPRC@illinois.gov" TargetMode="External"/><Relationship Id="rId88" Type="http://schemas.openxmlformats.org/officeDocument/2006/relationships/hyperlink" Target="https://labor.vermont.gov/sites/labor/files/documents/Min%20Wage%20Poster%202026.pdf" TargetMode="External"/><Relationship Id="rId111" Type="http://schemas.openxmlformats.org/officeDocument/2006/relationships/hyperlink" Target="https://labor.maryland.gov/labor/mosh/pdf/moshprivatesectorposter.pdf" TargetMode="External"/><Relationship Id="rId153"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95" Type="http://schemas.openxmlformats.org/officeDocument/2006/relationships/hyperlink" Target="https://www.federalregister.gov/documents/2024/04/26/2024-08038/defining-and-delimiting-the-exemptions-for-executive-administrative-professional-outside-sales-and" TargetMode="External"/><Relationship Id="rId209" Type="http://schemas.openxmlformats.org/officeDocument/2006/relationships/hyperlink" Target="https://www.ice.gov/factsheets/i9-inspection" TargetMode="External"/><Relationship Id="rId360" Type="http://schemas.openxmlformats.org/officeDocument/2006/relationships/hyperlink" Target="https://www.dol.gov/agencies/ebsa/about-ebsa/our-activities/resource-center/fact-sheets/ebsa-monetary-results-archive" TargetMode="External"/><Relationship Id="rId416" Type="http://schemas.openxmlformats.org/officeDocument/2006/relationships/hyperlink" Target="https://www.irs.gov/affordable-care-act/employers/questions-and-answers-on-reporting-of-offers-of-health-insurance-coverage-by-employers-section-6056" TargetMode="External"/><Relationship Id="rId598"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819" Type="http://schemas.openxmlformats.org/officeDocument/2006/relationships/hyperlink" Target="https://malegislature.gov/Bills/194/H5620" TargetMode="External"/><Relationship Id="rId970" Type="http://schemas.openxmlformats.org/officeDocument/2006/relationships/hyperlink" Target="https://www.nysenate.gov/legislation/bills/2025/S808" TargetMode="External"/><Relationship Id="rId1004" Type="http://schemas.openxmlformats.org/officeDocument/2006/relationships/hyperlink" Target="https://olis.oregonlegislature.gov/liz/2024R1/Downloads/MeasureDocument/HB4127/Enrolled" TargetMode="External"/><Relationship Id="rId1046" Type="http://schemas.openxmlformats.org/officeDocument/2006/relationships/hyperlink" Target="https://www.vtsaves.vermont.gov/" TargetMode="External"/><Relationship Id="rId220" Type="http://schemas.openxmlformats.org/officeDocument/2006/relationships/hyperlink" Target="https://www.federalregister.gov/documents/2023/02/23/2023-03710/electronic-filing-requirements-for-specified-returns-and-other-documents" TargetMode="External"/><Relationship Id="rId458"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623" Type="http://schemas.openxmlformats.org/officeDocument/2006/relationships/hyperlink" Target="https://leginfo.legislature.ca.gov/faces/billTextClient.xhtml?bill_id=202320240SB1137" TargetMode="External"/><Relationship Id="rId665" Type="http://schemas.openxmlformats.org/officeDocument/2006/relationships/hyperlink" Target="https://calcivilrights.ca.gov/wp-content/uploads/sites/32/2023/07/Final-Text-of-Modifications-to-Employment-Regulations-Regarding-Criminal-History.pdf" TargetMode="External"/><Relationship Id="rId830" Type="http://schemas.openxmlformats.org/officeDocument/2006/relationships/hyperlink" Target="https://www.mass.gov/doc/earned-sick-time-faqs/download" TargetMode="External"/><Relationship Id="rId872" Type="http://schemas.openxmlformats.org/officeDocument/2006/relationships/hyperlink" Target="https://lims.minneapolismn.gov/Download/MetaData/40652/SignedAct.pdf" TargetMode="External"/><Relationship Id="rId928" Type="http://schemas.openxmlformats.org/officeDocument/2006/relationships/hyperlink" Target="https://www.nj.gov/treasury/securechoiceprogram/" TargetMode="External"/><Relationship Id="rId1088" Type="http://schemas.openxmlformats.org/officeDocument/2006/relationships/hyperlink" Target="https://paidleave.wa.gov/app/uploads/2026/01/Job-Protection-Employer-Notice_Job-Protection-Rights-2026.01.14.pdf" TargetMode="External"/><Relationship Id="rId15" Type="http://schemas.openxmlformats.org/officeDocument/2006/relationships/hyperlink" Target="https://www.uscis.gov/sites/default/files/document/forms/i-9.pdf" TargetMode="External"/><Relationship Id="rId57" Type="http://schemas.openxmlformats.org/officeDocument/2006/relationships/hyperlink" Target="https://paidleave.wa.gov/app/uploads/2026/01/Job-Protection-Employer-Notice_Job-Protection-Rights-2026.01.14.pdf" TargetMode="External"/><Relationship Id="rId262" Type="http://schemas.openxmlformats.org/officeDocument/2006/relationships/hyperlink" Target="https://www.dol.gov/newsroom/releases/ebsa/ebsa20260115" TargetMode="External"/><Relationship Id="rId318" Type="http://schemas.openxmlformats.org/officeDocument/2006/relationships/hyperlink" Target="https://www.semafor.com/article/06/12/2025/trump-will-target-us-employers-in-next-phase-of-immigration-crackdown-homan-says" TargetMode="External"/><Relationship Id="rId525" Type="http://schemas.openxmlformats.org/officeDocument/2006/relationships/hyperlink" Target="https://www.irs.gov/pub/irs-drop/rp-23-34.pdf" TargetMode="External"/><Relationship Id="rId567" Type="http://schemas.openxmlformats.org/officeDocument/2006/relationships/hyperlink" Target="https://www.littler.com/news-analysis/asap/los-angeles-updates-freelance-worker-protections-ordinance" TargetMode="External"/><Relationship Id="rId732"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1113" Type="http://schemas.openxmlformats.org/officeDocument/2006/relationships/hyperlink" Target="https://lawfilesext.leg.wa.gov/biennium/2023-24/Pdf/Bills/Senate%20Passed%20Legislature/5793-S.PL.pdf?q=20240401083028" TargetMode="External"/><Relationship Id="rId99" Type="http://schemas.openxmlformats.org/officeDocument/2006/relationships/hyperlink" Target="https://labor.vermont.gov/document/earned-sick-time-poster-english" TargetMode="External"/><Relationship Id="rId122" Type="http://schemas.openxmlformats.org/officeDocument/2006/relationships/hyperlink" Target="https://mn.gov/deed/assets/paid-leave-mandatory-employer-poster-acc_tcm1045-700342.pdf" TargetMode="External"/><Relationship Id="rId164" Type="http://schemas.openxmlformats.org/officeDocument/2006/relationships/hyperlink" Target="https://dir.nv.gov/uploadedFiles/dirnvgov/content/Governance/NV%20OSHA%20Poster%20-%20English%20(9-2024).pdf" TargetMode="External"/><Relationship Id="rId371"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774" Type="http://schemas.openxmlformats.org/officeDocument/2006/relationships/hyperlink" Target="https://www.legis.iowa.gov/legislation/BillBook?ba=SF2218&amp;ga=91" TargetMode="External"/><Relationship Id="rId981" Type="http://schemas.openxmlformats.org/officeDocument/2006/relationships/hyperlink" Target="https://www.nysenate.gov/legislation/laws/LAB/206-C" TargetMode="External"/><Relationship Id="rId1015" Type="http://schemas.openxmlformats.org/officeDocument/2006/relationships/hyperlink" Target="https://codelibrary.amlegal.com/codes/philadelphia/latest/philadelphia_pa/0-0-0-280496" TargetMode="External"/><Relationship Id="rId1057" Type="http://schemas.openxmlformats.org/officeDocument/2006/relationships/hyperlink" Target="https://lis.blob.core.windows.net/files/1225699.PDF" TargetMode="External"/><Relationship Id="rId427" Type="http://schemas.openxmlformats.org/officeDocument/2006/relationships/hyperlink" Target="https://www.dol.gov/agencies/ebsa/key-topics/retirement-benefits/cybersecurity/best-practices" TargetMode="External"/><Relationship Id="rId469" Type="http://schemas.openxmlformats.org/officeDocument/2006/relationships/hyperlink" Target="https://www.workplaceprivacyreport.com/2022/10/articles/artificial-intelligence/white-house-weighs-in-on-the-use-of-ai-by-businesses/" TargetMode="External"/><Relationship Id="rId634" Type="http://schemas.openxmlformats.org/officeDocument/2006/relationships/hyperlink" Target="https://leginfo.legislature.ca.gov/faces/billCompareClient.xhtml?bill_id=202320240AB2499&amp;showamends=false" TargetMode="External"/><Relationship Id="rId676" Type="http://schemas.openxmlformats.org/officeDocument/2006/relationships/hyperlink" Target="https://leg.colorado.gov/sites/default/files/2025a_1001_signed.pdf" TargetMode="External"/><Relationship Id="rId841" Type="http://schemas.openxmlformats.org/officeDocument/2006/relationships/hyperlink" Target="https://malegislature.gov/Laws/GeneralLaws/PartI/TitleXXI/Chapter149/Section148c" TargetMode="External"/><Relationship Id="rId883" Type="http://schemas.openxmlformats.org/officeDocument/2006/relationships/hyperlink" Target="https://legiscan.com/MN/text/SF17/2025/X1" TargetMode="External"/><Relationship Id="rId1099" Type="http://schemas.openxmlformats.org/officeDocument/2006/relationships/hyperlink" Target="https://lawfilesext.leg.wa.gov/biennium/2025-26/htm/Bills/Senate%20Bills/5101-S.htm?q=20250423101052" TargetMode="External"/><Relationship Id="rId26" Type="http://schemas.openxmlformats.org/officeDocument/2006/relationships/hyperlink" Target="https://doli.virginia.gov/wp-content/uploads/2026/05/Job-Safety-Posters-English_May_2026.pdf.pdf" TargetMode="External"/><Relationship Id="rId231" Type="http://schemas.openxmlformats.org/officeDocument/2006/relationships/hyperlink" Target="https://www.federalregister.gov/documents/2025/01/31/2025-02097/ending-illegal-discrimination-and-restoring-merit-based-opportunity" TargetMode="External"/><Relationship Id="rId273" Type="http://schemas.openxmlformats.org/officeDocument/2006/relationships/hyperlink" Target="https://u4664138.ct.sendgrid.net/ls/click?upn=u001.-2BvR921dwSdNdTO8WsXTOoGoPesf8C4c9TsHRg0QxT16BAb-2F4M1X7-2F-2FGCz-2FmDdxmJVtEC_pZjfBIpLjMFCpu6xHFn7DWABExhsgTHcqiJ060gTkgzEATmBUNXNmW3P5SmbWvnmbIYQfDkrS-2FJBocqEoJt5MEoWZxGI0LRXVt0xU-2BuFEWxZLF5qcKG1RI-2FVHVa2E81-2FboP7FveSnWNQwgZoKKffKZMXR2uwid5W50bDShDX40DJIcOAeRxWe0IChTXfZc5-2Fy8Lxo5hHhoG6Z1Y08VJjGCA2P-2BVRmJcth6XXwYqsPhjn-2BQZKEWMY4eSGNhDY-2B7zRDB-2Bvcnm-2FfujPWk7T9KJ75w-3D-3D" TargetMode="External"/><Relationship Id="rId329" Type="http://schemas.openxmlformats.org/officeDocument/2006/relationships/hyperlink" Target="https://regtap.cms.gov/reg_librarye.php?i=3860" TargetMode="External"/><Relationship Id="rId48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536" Type="http://schemas.openxmlformats.org/officeDocument/2006/relationships/hyperlink" Target="https://sfgov.legistar.com/Legislation.aspx" TargetMode="External"/><Relationship Id="rId701"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939" Type="http://schemas.openxmlformats.org/officeDocument/2006/relationships/hyperlink" Target="https://www.nysenate.gov/legislation/bills/2025/S5922/amendment/A" TargetMode="External"/><Relationship Id="rId68" Type="http://schemas.openxmlformats.org/officeDocument/2006/relationships/hyperlink" Target="https://labor.illinois.gov/content/dam/soi/en/web/idol/employers/posters/vessa/2026/26_VESSA_English_NewLogo.pdf" TargetMode="External"/><Relationship Id="rId133" Type="http://schemas.openxmlformats.org/officeDocument/2006/relationships/hyperlink" Target="https://does.dc.gov/sites/default/files/dc/sites/does/publication/attachments/Final%202025%20Living%20Wage%20Poster%202.6.2025.pdf" TargetMode="External"/><Relationship Id="rId175" Type="http://schemas.openxmlformats.org/officeDocument/2006/relationships/hyperlink" Target="https://www.irs.gov/pub/irs-irbs/irb26-29.pdf?prodddocc7" TargetMode="External"/><Relationship Id="rId340" Type="http://schemas.openxmlformats.org/officeDocument/2006/relationships/hyperlink" Target="https://ww3.ca2.uscourts.gov/decisions/isysquery/059b42af-2a54-48a5-96ae-4881228286fc/5/doc/23-665_opn.pdf" TargetMode="External"/><Relationship Id="rId578" Type="http://schemas.openxmlformats.org/officeDocument/2006/relationships/hyperlink" Target="https://leginfo.legislature.ca.gov/faces/billCompareClient.xhtml?bill_id=202520260SB464&amp;showamends=false" TargetMode="External"/><Relationship Id="rId743" Type="http://schemas.openxmlformats.org/officeDocument/2006/relationships/hyperlink" Target="https://labor.illinois.gov/faqs/right-to-privacy-in-the-workplace-e-verify.html" TargetMode="External"/><Relationship Id="rId785" Type="http://schemas.openxmlformats.org/officeDocument/2006/relationships/hyperlink" Target="https://www.maine.gov/labor/docs/2024/posters/pfml/PaidFamilyMedicalLeave.pdf" TargetMode="External"/><Relationship Id="rId950" Type="http://schemas.openxmlformats.org/officeDocument/2006/relationships/hyperlink" Target="https://www.nysenate.gov/legislation/laws/WKC/203" TargetMode="External"/><Relationship Id="rId992" Type="http://schemas.openxmlformats.org/officeDocument/2006/relationships/hyperlink" Target="https://olis.oregonlegislature.gov/liz/2025R1/Downloads/MeasureDocument/SB906/Enrolled" TargetMode="External"/><Relationship Id="rId1026" Type="http://schemas.openxmlformats.org/officeDocument/2006/relationships/hyperlink" Target="https://legiscan.com/RI/text/H6161/2025" TargetMode="External"/><Relationship Id="rId200" Type="http://schemas.openxmlformats.org/officeDocument/2006/relationships/hyperlink" Target="https://apps.trustmineral.com/hr-compliance/laws/N5Bwa8MZrsOsloa4KHPiC/details" TargetMode="External"/><Relationship Id="rId382" Type="http://schemas.openxmlformats.org/officeDocument/2006/relationships/hyperlink" Target="https://www.dol.gov/sites/dolgov/files/EBSA/about-ebsa/our-activities/resource-center/faqs/aca-part-57.pdf" TargetMode="External"/><Relationship Id="rId438" Type="http://schemas.openxmlformats.org/officeDocument/2006/relationships/hyperlink" Target="https://www.govinfo.gov/content/pkg/FR-2024-08-08/pdf/2024-17466.pdf" TargetMode="External"/><Relationship Id="rId603"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645" Type="http://schemas.openxmlformats.org/officeDocument/2006/relationships/hyperlink" Target="https://leginfo.legislature.ca.gov/faces/billTextClient.xhtml?bill_id=202320240AB3234" TargetMode="External"/><Relationship Id="rId687" Type="http://schemas.openxmlformats.org/officeDocument/2006/relationships/hyperlink" Target="https://www.jacksonlewis.com/sites/default/files/2026-03/Connecticut-Bill-Notification-2026-2.pdf" TargetMode="External"/><Relationship Id="rId810" Type="http://schemas.openxmlformats.org/officeDocument/2006/relationships/hyperlink" Target="https://mgaleg.maryland.gov/2022RS/bills/sb/sb0275E.pdf" TargetMode="External"/><Relationship Id="rId852"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908" Type="http://schemas.openxmlformats.org/officeDocument/2006/relationships/hyperlink" Target="https://www.leg.state.nv.us/Register/2024Register/R131-24AP.pdf" TargetMode="External"/><Relationship Id="rId1068" Type="http://schemas.openxmlformats.org/officeDocument/2006/relationships/hyperlink" Target="https://www.vec.virginia.gov/employer-alert-new-consequences-late-claim-responses-starting-july-1" TargetMode="External"/><Relationship Id="rId242" Type="http://schemas.openxmlformats.org/officeDocument/2006/relationships/hyperlink" Target="https://legislature.maine.gov/statutes/26/title26sec599-A.html" TargetMode="External"/><Relationship Id="rId284" Type="http://schemas.openxmlformats.org/officeDocument/2006/relationships/hyperlink" Target="https://www.irs.gov/newsroom/treasury-irs-provide-penalty-relief-for-tax-year-2025-for-information-reporting-on-tips-and-overtime-under-the-one-big-beautiful-bill" TargetMode="External"/><Relationship Id="rId491" Type="http://schemas.openxmlformats.org/officeDocument/2006/relationships/hyperlink" Target="https://vimeo.com/927144428" TargetMode="External"/><Relationship Id="rId505" Type="http://schemas.openxmlformats.org/officeDocument/2006/relationships/hyperlink" Target="https://www.morganlewis.com/pubs/2024/03/nlrb-blocked-from-implementing-expansive-joint-employer-rule" TargetMode="External"/><Relationship Id="rId712" Type="http://schemas.openxmlformats.org/officeDocument/2006/relationships/hyperlink" Target="https://www.chicago.gov/city/en/depts/bacp/supp_info/paidsickleaveinfo.html" TargetMode="External"/><Relationship Id="rId894" Type="http://schemas.openxmlformats.org/officeDocument/2006/relationships/hyperlink" Target="https://www.sos.mo.gov/cmsimages/Elections/Petitions/2024-038.pdf" TargetMode="External"/><Relationship Id="rId37" Type="http://schemas.openxmlformats.org/officeDocument/2006/relationships/hyperlink" Target="https://www.oregon.gov/boli/employers/Documents/BOLI_Printable_MinWage.pdf" TargetMode="External"/><Relationship Id="rId79" Type="http://schemas.openxmlformats.org/officeDocument/2006/relationships/hyperlink" Target="https://www.mass.gov/doc/2026-pfml-mandatory-workplace-poster-english/download" TargetMode="External"/><Relationship Id="rId102" Type="http://schemas.openxmlformats.org/officeDocument/2006/relationships/hyperlink" Target="https://dlt.ri.gov/employers/required-workplace-posters" TargetMode="External"/><Relationship Id="rId144" Type="http://schemas.openxmlformats.org/officeDocument/2006/relationships/hyperlink" Target="https://law.lis.virginia.gov/vacode/title40.1/chapter3/section40.1-28.7:8/" TargetMode="External"/><Relationship Id="rId547" Type="http://schemas.openxmlformats.org/officeDocument/2006/relationships/hyperlink" Target="https://www.sf.gov/sites/default/files/2024-07/HCSO%20Rules%20Final.pdf" TargetMode="External"/><Relationship Id="rId589" Type="http://schemas.openxmlformats.org/officeDocument/2006/relationships/hyperlink" Target="https://leginfo.legislature.ca.gov/faces/billCompareClient.xhtml?bill_id=202520260SB464&amp;showamends=false" TargetMode="External"/><Relationship Id="rId754" Type="http://schemas.openxmlformats.org/officeDocument/2006/relationships/hyperlink" Target="https://www.ilga.gov/legislation/publicacts/fulltext.asp?Name=103-0769" TargetMode="External"/><Relationship Id="rId796" Type="http://schemas.openxmlformats.org/officeDocument/2006/relationships/hyperlink" Target="https://mgaleg.maryland.gov/2025RS/Chapters_noln/CH_5_sb0279t.pdf" TargetMode="External"/><Relationship Id="rId961" Type="http://schemas.openxmlformats.org/officeDocument/2006/relationships/hyperlink" Target="https://www.nyc.gov/assets/cchr/downloads/pdf/lactationroomrequestform.docx" TargetMode="External"/><Relationship Id="rId90" Type="http://schemas.openxmlformats.org/officeDocument/2006/relationships/hyperlink" Target="https://labor.vermont.gov/document/accommodations-pregnant-employees-poster" TargetMode="External"/><Relationship Id="rId186" Type="http://schemas.openxmlformats.org/officeDocument/2006/relationships/hyperlink" Target="https://www.swlaw.com/publication/exempt-by-day-hourly-by-night-new-dol-guidance-for-when-salaried-employees-pick-up-hourly-shifts/" TargetMode="External"/><Relationship Id="rId351" Type="http://schemas.openxmlformats.org/officeDocument/2006/relationships/hyperlink" Target="https://home.treasury.gov/news/press-releases/sb0038" TargetMode="External"/><Relationship Id="rId393" Type="http://schemas.openxmlformats.org/officeDocument/2006/relationships/hyperlink" Target="https://www.irs.gov/affordable-care-act/employers/questions-and-answers-on-reporting-of-offers-of-health-insurance-coverage-by-employers-section-6056" TargetMode="External"/><Relationship Id="rId407" Type="http://schemas.openxmlformats.org/officeDocument/2006/relationships/hyperlink" Target="https://www.irs.gov/pub/irs-dft/f1095b--dft.pdf" TargetMode="External"/><Relationship Id="rId449" Type="http://schemas.openxmlformats.org/officeDocument/2006/relationships/hyperlink" Target="https://www.hhs.gov/hipaa/for-professionals/special-topics/change-healthcare-cybersecurity-incident-frequently-asked-questions/index.html" TargetMode="External"/><Relationship Id="rId614" Type="http://schemas.openxmlformats.org/officeDocument/2006/relationships/hyperlink" Target="https://calcivilrights.ca.gov/fair-chance-act/" TargetMode="External"/><Relationship Id="rId656"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821" Type="http://schemas.openxmlformats.org/officeDocument/2006/relationships/hyperlink" Target="https://www.mass.gov/doc/ago-wage-transparency-act-guidance-revised-1152026/download" TargetMode="External"/><Relationship Id="rId863" Type="http://schemas.openxmlformats.org/officeDocument/2006/relationships/hyperlink" Target="https://www.dli.mn.gov/sick-leave" TargetMode="External"/><Relationship Id="rId1037" Type="http://schemas.openxmlformats.org/officeDocument/2006/relationships/hyperlink" Target="https://capitol.texas.gov/tlodocs/89R/billtext/pdf/HB00149F.pdf" TargetMode="External"/><Relationship Id="rId1079" Type="http://schemas.openxmlformats.org/officeDocument/2006/relationships/hyperlink" Target="https://agportal-s3bucket.s3.us-west-2.amazonaws.com/Civil%20Rights%20Division/Fair%20Chance%20Act/FCA-Flyer_June%202026_English_Update.pdf?VersionId=mmfHLJ9an2.w58wsyA2a.Buxej.FZ06Y" TargetMode="External"/><Relationship Id="rId211" Type="http://schemas.openxmlformats.org/officeDocument/2006/relationships/hyperlink" Target="https://www.congress.gov/bill/119th-congress/house-bill/1/text/eas" TargetMode="External"/><Relationship Id="rId253" Type="http://schemas.openxmlformats.org/officeDocument/2006/relationships/hyperlink" Target="https://enforcedata.dol.gov/views/data_catalogs.php" TargetMode="External"/><Relationship Id="rId295" Type="http://schemas.openxmlformats.org/officeDocument/2006/relationships/hyperlink" Target="https://www.cms.gov/medicare/employers-plan-sponsors/creditable-coverage" TargetMode="External"/><Relationship Id="rId309" Type="http://schemas.openxmlformats.org/officeDocument/2006/relationships/hyperlink" Target="https://www.nlrb.gov/about-nlrb/rights-we-protect/the-law/interfering-with-employee-rights-section-7-8a1" TargetMode="External"/><Relationship Id="rId460" Type="http://schemas.openxmlformats.org/officeDocument/2006/relationships/hyperlink" Target="https://www.fincen.gov/boi" TargetMode="External"/><Relationship Id="rId516" Type="http://schemas.openxmlformats.org/officeDocument/2006/relationships/hyperlink" Target="https://apps.nlrb.gov/link/document.aspx/09031d4583c4ba43" TargetMode="External"/><Relationship Id="rId698"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919" Type="http://schemas.openxmlformats.org/officeDocument/2006/relationships/hyperlink" Target="https://pub.njleg.state.nj.us/Bills/2024/A3500/3451_R2.PDF" TargetMode="External"/><Relationship Id="rId1090" Type="http://schemas.openxmlformats.org/officeDocument/2006/relationships/hyperlink" Target="https://lawfilesext.leg.wa.gov/biennium/2025-26/Pdf/Bills/House%20Passed%20Legislature/1162-S2.PL.pdf?q=20251217082900" TargetMode="External"/><Relationship Id="rId1104" Type="http://schemas.openxmlformats.org/officeDocument/2006/relationships/hyperlink" Target="https://app.leg.wa.gov/billsummary?BillNumber=5408&amp;Year=2025&amp;Initiative=false" TargetMode="External"/><Relationship Id="rId48" Type="http://schemas.openxmlformats.org/officeDocument/2006/relationships/hyperlink" Target="https://paidleave.oregon.gov/resources/resources.html" TargetMode="External"/><Relationship Id="rId113" Type="http://schemas.openxmlformats.org/officeDocument/2006/relationships/hyperlink" Target="https://www.nj.gov/labor/wageandhour/assets/PDFs/Employer%20Poster%20Packet/PR-2%20(9-25).pdf" TargetMode="External"/><Relationship Id="rId320" Type="http://schemas.openxmlformats.org/officeDocument/2006/relationships/hyperlink" Target="https://www.miamiherald.com/news/local/immigration/article307453871.html" TargetMode="External"/><Relationship Id="rId558"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23" Type="http://schemas.openxmlformats.org/officeDocument/2006/relationships/hyperlink" Target="https://ilga.gov/legislation/PublicActs/View/104-0320" TargetMode="External"/><Relationship Id="rId765" Type="http://schemas.openxmlformats.org/officeDocument/2006/relationships/hyperlink" Target="https://www.ilga.gov/legislation/publicacts/fulltext.asp?Name=103-0343" TargetMode="External"/><Relationship Id="rId930" Type="http://schemas.openxmlformats.org/officeDocument/2006/relationships/hyperlink" Target="https://www.njoag.gov/about/divisions-and-offices/division-on-civil-rights-home/njfla-faq/" TargetMode="External"/><Relationship Id="rId972" Type="http://schemas.openxmlformats.org/officeDocument/2006/relationships/hyperlink" Target="https://nyassembly.gov/leg/?default_fld=&amp;leg_video=&amp;bn=A08947&amp;term=2023&amp;Summary=Y&amp;Actions=Y&amp;Committee%26nbspVotes=Y&amp;Floor%26nbspVotes=Y&amp;Memo=Y&amp;Text=Y" TargetMode="External"/><Relationship Id="rId1006"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155" Type="http://schemas.openxmlformats.org/officeDocument/2006/relationships/hyperlink" Target="https://calcivilrights.ca.gov/wp-content/uploads/sites/32/2023/01/CFRA-and-Pregnancy-Leave_ENG.pdf" TargetMode="External"/><Relationship Id="rId197" Type="http://schemas.openxmlformats.org/officeDocument/2006/relationships/hyperlink" Target="https://public-inspection.federalregister.gov/2026-10050.pdf" TargetMode="External"/><Relationship Id="rId362" Type="http://schemas.openxmlformats.org/officeDocument/2006/relationships/hyperlink" Target="https://www.cms.gov/Medicare/Prescription-Drug-Coverage/CreditableCoverage/CCDisclosure.html" TargetMode="External"/><Relationship Id="rId418" Type="http://schemas.openxmlformats.org/officeDocument/2006/relationships/image" Target="media/image2.png"/><Relationship Id="rId625" Type="http://schemas.openxmlformats.org/officeDocument/2006/relationships/hyperlink" Target="https://leginfo.legislature.ca.gov/faces/billCompareClient.xhtml?bill_id=202320240SB1100&amp;showamends=false" TargetMode="External"/><Relationship Id="rId832" Type="http://schemas.openxmlformats.org/officeDocument/2006/relationships/hyperlink" Target="https://www.sec.state.ma.us/divisions/corporations/eeo-data-reports.htm" TargetMode="External"/><Relationship Id="rId1048" Type="http://schemas.openxmlformats.org/officeDocument/2006/relationships/hyperlink" Target="https://ago.vermont.gov/sites/ago/files/2024-12/Final%20Version%20of%20H%20704%20Guidance%20(12-31-24).pdf" TargetMode="External"/><Relationship Id="rId222" Type="http://schemas.openxmlformats.org/officeDocument/2006/relationships/hyperlink" Target="https://www.irs.gov/newsroom/questions-and-answers-about-the-new-deduction-for-qualified-overtime-compensation" TargetMode="External"/><Relationship Id="rId264" Type="http://schemas.openxmlformats.org/officeDocument/2006/relationships/hyperlink" Target="https://www.osha.gov/news/newsreleases/osha-national-news-release/20251210" TargetMode="External"/><Relationship Id="rId471" Type="http://schemas.openxmlformats.org/officeDocument/2006/relationships/hyperlink" Target="https://www.irs.gov/pub/irs-drop/rp-24-25.pdf" TargetMode="External"/><Relationship Id="rId667" Type="http://schemas.openxmlformats.org/officeDocument/2006/relationships/hyperlink" Target="https://www.ropesgray.com/en/insights/alerts/2026/06/connecticut-enacts-sweeping-ai-law-covering-employment-healthcare-and-online-safety" TargetMode="External"/><Relationship Id="rId874" Type="http://schemas.openxmlformats.org/officeDocument/2006/relationships/hyperlink" Target="https://www.dli.mn.gov/sick-leave" TargetMode="External"/><Relationship Id="rId1115" Type="http://schemas.openxmlformats.org/officeDocument/2006/relationships/header" Target="header1.xml"/><Relationship Id="rId17" Type="http://schemas.openxmlformats.org/officeDocument/2006/relationships/hyperlink" Target="https://media.api.sf.gov/documents/FCO_Poster_2026_Aug2026_q9Z03CC.pdf" TargetMode="External"/><Relationship Id="rId59" Type="http://schemas.openxmlformats.org/officeDocument/2006/relationships/hyperlink" Target="https://www.dir.ca.gov/dlse/Publications/Paid_Sick_Days_Poster_Template_(11_2014).pdf" TargetMode="External"/><Relationship Id="rId124" Type="http://schemas.openxmlformats.org/officeDocument/2006/relationships/hyperlink" Target="https://www.labor.nc.gov/wage-and-hour-poster/open" TargetMode="External"/><Relationship Id="rId527" Type="http://schemas.openxmlformats.org/officeDocument/2006/relationships/hyperlink" Target="https://www.dol.gov/agencies/ebsa/laws-and-regulations/laws/affordable-care-act/for-employers-and-advisers/coverage-options-notice" TargetMode="External"/><Relationship Id="rId569" Type="http://schemas.openxmlformats.org/officeDocument/2006/relationships/hyperlink" Target="https://leginfo.legislature.ca.gov/faces/billTextClient.xhtml?bill_id=202520260SB513" TargetMode="External"/><Relationship Id="rId734" Type="http://schemas.openxmlformats.org/officeDocument/2006/relationships/hyperlink" Target="https://www.cookcountyil.gov/sites/g/files/ywwepo161/files/documents/2025-04/2025%2004%2010%20Procedural%20Rules%20-%20Paid%20Leave%20Ordinance%20Redline.pdf" TargetMode="External"/><Relationship Id="rId776" Type="http://schemas.openxmlformats.org/officeDocument/2006/relationships/hyperlink" Target="https://aboutbtax.com/blrE" TargetMode="External"/><Relationship Id="rId941" Type="http://schemas.openxmlformats.org/officeDocument/2006/relationships/hyperlink" Target="https://www.osha.gov/laws-regs/regulations/standardnumber/1910/1910.151" TargetMode="External"/><Relationship Id="rId983"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70" Type="http://schemas.openxmlformats.org/officeDocument/2006/relationships/hyperlink" Target="https://www.laworks.net/Downloads/Posters/Unemployment_Ins_ltr_bw.pdf" TargetMode="External"/><Relationship Id="rId166" Type="http://schemas.openxmlformats.org/officeDocument/2006/relationships/hyperlink" Target="https://labor.illinois.gov/content/dam/soi/en/web/idol/employers/posters/your-rights/2025/25_YourRights_English_NewLogo.pdf" TargetMode="External"/><Relationship Id="rId331" Type="http://schemas.openxmlformats.org/officeDocument/2006/relationships/hyperlink" Target="https://www.whitehouse.gov/presidential-actions/2025/05/delivering-most-favored-nation-prescription-drug-pricing-to-american-patients/" TargetMode="External"/><Relationship Id="rId373" Type="http://schemas.openxmlformats.org/officeDocument/2006/relationships/hyperlink" Target="https://s3.documentcloud.org/documents/25071841/us_app_ca5_23_50562_d434422819e2850_published_opinion_filed_23_50562_reversed_judge_jw.pdf" TargetMode="External"/><Relationship Id="rId429" Type="http://schemas.openxmlformats.org/officeDocument/2006/relationships/hyperlink" Target="https://405d.hhs.gov/Documents/HICP-Main-508.pdf" TargetMode="External"/><Relationship Id="rId580" Type="http://schemas.openxmlformats.org/officeDocument/2006/relationships/hyperlink" Target="https://leginfo.legislature.ca.gov/faces/billCompareClient.xhtml?bill_id=202520260AB692&amp;showamends=false" TargetMode="External"/><Relationship Id="rId636" Type="http://schemas.openxmlformats.org/officeDocument/2006/relationships/hyperlink" Target="https://leginfo.legislature.ca.gov/faces/billTextClient.xhtml?bill_id=202320240AB2123" TargetMode="External"/><Relationship Id="rId801" Type="http://schemas.openxmlformats.org/officeDocument/2006/relationships/hyperlink" Target="https://www.montgomerycountymd.gov/humanrights/min-wage.html" TargetMode="External"/><Relationship Id="rId1017" Type="http://schemas.openxmlformats.org/officeDocument/2006/relationships/hyperlink" Target="https://codelibrary.amlegal.com/codes/philadelphia/latest/philadelphia_pa/0-0-0-280600" TargetMode="External"/><Relationship Id="rId1059" Type="http://schemas.openxmlformats.org/officeDocument/2006/relationships/hyperlink" Target="https://lis.virginia.gov/bill-details/20261/HB5/text/HB5ER" TargetMode="External"/><Relationship Id="rId1" Type="http://schemas.openxmlformats.org/officeDocument/2006/relationships/customXml" Target="../customXml/item1.xml"/><Relationship Id="rId233" Type="http://schemas.openxmlformats.org/officeDocument/2006/relationships/hyperlink" Target="https://www.federalregister.gov/documents/2014/02/20/2014-03805/establishing-a-minimum-wage-for-contractors" TargetMode="External"/><Relationship Id="rId440" Type="http://schemas.openxmlformats.org/officeDocument/2006/relationships/hyperlink" Target="https://www.osha.gov/sites/default/files/Heat-NPRM-Final-Reg-Text.pdf" TargetMode="External"/><Relationship Id="rId678" Type="http://schemas.openxmlformats.org/officeDocument/2006/relationships/hyperlink" Target="https://leg.colorado.gov/sites/default/files/2025a_1001_signed.pdf" TargetMode="External"/><Relationship Id="rId843" Type="http://schemas.openxmlformats.org/officeDocument/2006/relationships/hyperlink" Target="https://www.mass.gov/info-details/paid-family-and-medical-leave-employer-contribution-rates-and-calculator" TargetMode="External"/><Relationship Id="rId885" Type="http://schemas.openxmlformats.org/officeDocument/2006/relationships/hyperlink" Target="https://www.littler.com/news-analysis/asap/minneapolis-minnesota-amends-its-anti-discrimination-ordinance" TargetMode="External"/><Relationship Id="rId1070" Type="http://schemas.openxmlformats.org/officeDocument/2006/relationships/hyperlink" Target="https://lis.virginia.gov/cgi-bin/legp604.exe?241+ful+CHAP0584" TargetMode="External"/><Relationship Id="rId28" Type="http://schemas.openxmlformats.org/officeDocument/2006/relationships/hyperlink" Target="https://does.dc.gov/sites/default/files/dc/sites/does/publication/attachments/2026%20Minimum%20Wage%20Poster_0.pdf" TargetMode="External"/><Relationship Id="rId275" Type="http://schemas.openxmlformats.org/officeDocument/2006/relationships/hyperlink" Target="http://infinisource.net/Newsroom/post/2011/05/24/IRS-Provides-Guidance-for-HSAs-in-2012.aspx" TargetMode="External"/><Relationship Id="rId300" Type="http://schemas.openxmlformats.org/officeDocument/2006/relationships/hyperlink" Target="https://www.littler.com/news-analysis/asap/treasury-department-releases-preliminary-list-no-tax-tips-occupations" TargetMode="External"/><Relationship Id="rId48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538" Type="http://schemas.openxmlformats.org/officeDocument/2006/relationships/hyperlink" Target="https://www.sf.gov/information/fair-chance-ordinance-fco" TargetMode="External"/><Relationship Id="rId703" Type="http://schemas.openxmlformats.org/officeDocument/2006/relationships/hyperlink" Target="https://www.capitol.hawaii.gov/session/measure_indiv.aspx?billtype=SB&amp;billnumber=3082&amp;year=2026" TargetMode="External"/><Relationship Id="rId745" Type="http://schemas.openxmlformats.org/officeDocument/2006/relationships/hyperlink" Target="https://www.cookcountyil.gov/sites/g/files/ywwepo161/files/documents/2024-10/UPDATED%20Paid%20Leave%20FAQs_102024.pdf" TargetMode="External"/><Relationship Id="rId910" Type="http://schemas.openxmlformats.org/officeDocument/2006/relationships/hyperlink" Target="https://dir.nv.gov/uploadedFiles/dirnvgov/content/OSHA/Guidance/2025-01-29%20(Heat%20Illness%20Prevention%20Guidance).pdf" TargetMode="External"/><Relationship Id="rId952" Type="http://schemas.openxmlformats.org/officeDocument/2006/relationships/hyperlink" Target="https://legiscan.com/NY/text/S08034/2025" TargetMode="External"/><Relationship Id="rId81" Type="http://schemas.openxmlformats.org/officeDocument/2006/relationships/hyperlink" Target="https://mn.gov/deed/paidleave/employers/posters-notices/" TargetMode="External"/><Relationship Id="rId135" Type="http://schemas.openxmlformats.org/officeDocument/2006/relationships/hyperlink" Target="https://www.nyc.gov/assets/dca/downloads/pdf/about/PaidSafeSickLeave-MandatoryNotice-English.pdf" TargetMode="External"/><Relationship Id="rId177" Type="http://schemas.openxmlformats.org/officeDocument/2006/relationships/hyperlink" Target="https://www.eeoc.gov/newsroom/eeoc-votes-rescind-affirmative-action-interpretive-guidelines-and-related-compliance" TargetMode="External"/><Relationship Id="rId342" Type="http://schemas.openxmlformats.org/officeDocument/2006/relationships/hyperlink" Target="https://www.law.cornell.edu/supremecourt/text/401/424" TargetMode="External"/><Relationship Id="rId384" Type="http://schemas.openxmlformats.org/officeDocument/2006/relationships/hyperlink" Target="https://www.cms.gov/marketplace/about/oversight/other-insurance-protections/gag-clause-prohibition-compliance-attestation" TargetMode="External"/><Relationship Id="rId591" Type="http://schemas.openxmlformats.org/officeDocument/2006/relationships/hyperlink" Target="https://leginfo.legislature.ca.gov/faces/billCompareClient.xhtml?bill_id=202520260AB692&amp;showamends=false" TargetMode="External"/><Relationship Id="rId605"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787" Type="http://schemas.openxmlformats.org/officeDocument/2006/relationships/hyperlink" Target="https://apps.trustmineral.com/hr-compliance/laws/mAkPzbJE9Ud30peVBJJZr/details" TargetMode="External"/><Relationship Id="rId812" Type="http://schemas.openxmlformats.org/officeDocument/2006/relationships/hyperlink" Target="https://dsd.maryland.gov/MDRIssues/5115/Assembled.aspx" TargetMode="External"/><Relationship Id="rId994" Type="http://schemas.openxmlformats.org/officeDocument/2006/relationships/hyperlink" Target="https://olis.oregonlegislature.gov/liz/2025R1/Measures/Analysis/SB1108" TargetMode="External"/><Relationship Id="rId1028" Type="http://schemas.openxmlformats.org/officeDocument/2006/relationships/hyperlink" Target="https://legiscan.com/RI/text/H5679/2025" TargetMode="External"/><Relationship Id="rId202" Type="http://schemas.openxmlformats.org/officeDocument/2006/relationships/hyperlink" Target="https://www.irs.gov/newsroom/frequently-asked-questions-about-educational-assistance-programs" TargetMode="External"/><Relationship Id="rId244" Type="http://schemas.openxmlformats.org/officeDocument/2006/relationships/hyperlink" Target="https://malegislature.gov/Laws/GeneralLaws/PartI/TitleXXI/Chapter149/Section24l" TargetMode="External"/><Relationship Id="rId647" Type="http://schemas.openxmlformats.org/officeDocument/2006/relationships/hyperlink" Target="https://opportunity.lacounty.gov/wp-content/uploads/2024/03/FCO-FAQ-Final-Updated-with-Recommendations.pdf" TargetMode="External"/><Relationship Id="rId689" Type="http://schemas.openxmlformats.org/officeDocument/2006/relationships/hyperlink" Target="https://portal.ct.gov/dol/knowledge-base/articles/wage-and-workplace-standards/paid-sick-leave?language=en_US" TargetMode="External"/><Relationship Id="rId854" Type="http://schemas.openxmlformats.org/officeDocument/2006/relationships/hyperlink" Target="https://legislature.mi.gov/documents/2025-2026/billenrolled/House/pdf/2025-HNB-4002.pdf" TargetMode="External"/><Relationship Id="rId896" Type="http://schemas.openxmlformats.org/officeDocument/2006/relationships/hyperlink" Target="https://labor.mo.gov/dls/proposition-a-paid-sick-time-benefits-faqs" TargetMode="External"/><Relationship Id="rId1081" Type="http://schemas.openxmlformats.org/officeDocument/2006/relationships/hyperlink" Target="https://www.seyfarth.com/news-insights/upcoming-washington-state-legislative-changes-you-need-to-know.html" TargetMode="External"/><Relationship Id="rId39" Type="http://schemas.openxmlformats.org/officeDocument/2006/relationships/hyperlink" Target="https://www.oregon.gov/boli/employers/Documents/BOLI_Printable_SHDVP.pdf" TargetMode="External"/><Relationship Id="rId286" Type="http://schemas.openxmlformats.org/officeDocument/2006/relationships/hyperlink" Target="https://www.irs.gov/newsroom/irs-announces-no-changes-to-individual-information-returns-or-withholding-tables-for-2025-under-the-one-big-beautiful-bill-act" TargetMode="External"/><Relationship Id="rId451" Type="http://schemas.openxmlformats.org/officeDocument/2006/relationships/hyperlink" Target="https://www.hhs.gov/hipaa/for-professionals/security/laws-regulations/index.html" TargetMode="External"/><Relationship Id="rId493" Type="http://schemas.openxmlformats.org/officeDocument/2006/relationships/hyperlink" Target="https://le.utah.gov/~2024/bills/static/HB0261.html" TargetMode="External"/><Relationship Id="rId507" Type="http://schemas.openxmlformats.org/officeDocument/2006/relationships/hyperlink" Target="https://www.morganlewis.com/pubs/2024/03/nlrb-blocked-from-implementing-expansive-joint-employer-rule" TargetMode="External"/><Relationship Id="rId549" Type="http://schemas.openxmlformats.org/officeDocument/2006/relationships/hyperlink" Target="https://calcivilrights.ca.gov/paydatareporting/preliminarytemplates/" TargetMode="External"/><Relationship Id="rId714" Type="http://schemas.openxmlformats.org/officeDocument/2006/relationships/hyperlink" Target="https://aboutbtax.com/bjkw" TargetMode="External"/><Relationship Id="rId756" Type="http://schemas.openxmlformats.org/officeDocument/2006/relationships/hyperlink" Target="https://labor.illinois.gov/faqs/freelance-worker-protection-act.html" TargetMode="External"/><Relationship Id="rId921" Type="http://schemas.openxmlformats.org/officeDocument/2006/relationships/hyperlink" Target="https://www.njoag.gov/about/divisions-and-offices/division-on-civil-rights-home/know-the-law/new-jersey-family-leave-act/" TargetMode="External"/><Relationship Id="rId50" Type="http://schemas.openxmlformats.org/officeDocument/2006/relationships/hyperlink" Target="https://www.nyc.gov/site/dca/about/Paid-Safe-Sick-Leave-Notice-of-Employee-Rights.page" TargetMode="External"/><Relationship Id="rId104" Type="http://schemas.openxmlformats.org/officeDocument/2006/relationships/hyperlink" Target="https://mn.gov/deed/assets/paid-leave-mandatory-employer-poster-acc_tcm1045-700342.pdf" TargetMode="External"/><Relationship Id="rId146" Type="http://schemas.openxmlformats.org/officeDocument/2006/relationships/hyperlink" Target="https://www.lni.wa.gov/forms-publications/f207-037-909.pdf" TargetMode="External"/><Relationship Id="rId188" Type="http://schemas.openxmlformats.org/officeDocument/2006/relationships/hyperlink" Target="https://www.swlaw.com/publication/exempt-by-day-hourly-by-night-new-dol-guidance-for-when-salaried-employees-pick-up-hourly-shifts/" TargetMode="External"/><Relationship Id="rId311" Type="http://schemas.openxmlformats.org/officeDocument/2006/relationships/hyperlink" Target="https://www.vedderprice.com/one-big-beautiful-bill-acts-no-tax-on-tips-and-overtime-provisions-prompt-important-questions-and-considerations-for-both-employers-and-workers" TargetMode="External"/><Relationship Id="rId353" Type="http://schemas.openxmlformats.org/officeDocument/2006/relationships/hyperlink" Target="https://fincen.gov/sites/default/files/shared/FinCEN-BOI-Notice-Deadline-Extension-508FINAL.pdf" TargetMode="External"/><Relationship Id="rId395" Type="http://schemas.openxmlformats.org/officeDocument/2006/relationships/hyperlink" Target="https://www.hhs.gov/hipaa/for-professionals/special-topics/reproductive-health/final-rule-fact-sheet/index.html" TargetMode="External"/><Relationship Id="rId409" Type="http://schemas.openxmlformats.org/officeDocument/2006/relationships/hyperlink" Target="https://www.irs.gov/pub/irs-dft/f1094c--dft.pdf" TargetMode="External"/><Relationship Id="rId560" Type="http://schemas.openxmlformats.org/officeDocument/2006/relationships/hyperlink" Target="https://laborcenter.berkeley.edu/inventory-of-us-city-and-county-minimum-wage-ordinances/" TargetMode="External"/><Relationship Id="rId798" Type="http://schemas.openxmlformats.org/officeDocument/2006/relationships/hyperlink" Target="https://govt.westlaw.com/mdc/Browse/Home/Maryland/MarylandCodeCourtRules?guid=N9F08D9209CC111DB9BCF9DAC28345A2A&amp;transitionType=Default&amp;contextData=%28sc.Default%29" TargetMode="External"/><Relationship Id="rId963" Type="http://schemas.openxmlformats.org/officeDocument/2006/relationships/hyperlink" Target="https://www.nyc.gov/assets/cchr/downloads/pdf/publications/Pregnancy_InterpretiveGuide_2021.pdf" TargetMode="External"/><Relationship Id="rId1039" Type="http://schemas.openxmlformats.org/officeDocument/2006/relationships/hyperlink" Target="https://statutes.capitol.texas.gov/Docs/BC/htm/BC.15.htm" TargetMode="External"/><Relationship Id="rId92" Type="http://schemas.openxmlformats.org/officeDocument/2006/relationships/hyperlink" Target="https://labor.vermont.gov/document/child-labor-poster" TargetMode="External"/><Relationship Id="rId213" Type="http://schemas.openxmlformats.org/officeDocument/2006/relationships/hyperlink" Target="https://www.cdc.gov/niosh/heat-stress/communication-resources/app.html" TargetMode="External"/><Relationship Id="rId420" Type="http://schemas.openxmlformats.org/officeDocument/2006/relationships/hyperlink" Target="https://www.peatworks.org/ai-inclusive-hiring-framework/" TargetMode="External"/><Relationship Id="rId616" Type="http://schemas.openxmlformats.org/officeDocument/2006/relationships/hyperlink" Target="https://bosagenda.sandiegocounty.gov/cobservice/cosd/cob/content?id=0901127e8110d91d" TargetMode="External"/><Relationship Id="rId658" Type="http://schemas.openxmlformats.org/officeDocument/2006/relationships/hyperlink" Target="https://www.californiaworkplacelawblog.com/2024/03/articles/hiring-and-background-checks/los-angeles-county-passes-fair-chance-ordinance-that-applies-to-unincorporated-areas-of-the-county/" TargetMode="External"/><Relationship Id="rId823" Type="http://schemas.openxmlformats.org/officeDocument/2006/relationships/hyperlink" Target="https://www.sec.state.ma.us/divisions/corporations/eeo-data-reports.htm?_cldee=vx-4skTOlyozBKoGAwYo9AGwJxHnDTNkjFxv6jFPs4qq4ooG09jTTQoV3CcWQnQs&amp;recipientid=contact-c207944f75dbee11904d000d3a578542-5ee5a74ad0ed4bf888d925224f92af46&amp;esid=4d9b3bc5-e7e7-f011-8544-7c1e5218805e" TargetMode="External"/><Relationship Id="rId865" Type="http://schemas.openxmlformats.org/officeDocument/2006/relationships/hyperlink" Target="https://ogletree.com/insights-resources/blog-posts/minnesota-doli-issues-final-earned-sick-and-safe-time-administrative-rules/?_gl=1*1wsr58x*_up*MQ..*_ga*MTc5MDAzMTk3Ny4xNzg0NTgyMTY4*_ga_V4WT9JNBFT*czE3ODQ1ODIxNjckbzEkZzEkdDE3ODQ1ODIxODEkajQ2JGwwJGgw" TargetMode="External"/><Relationship Id="rId1050" Type="http://schemas.openxmlformats.org/officeDocument/2006/relationships/hyperlink" Target="https://legislature.vermont.gov/Documents/2024/Docs/BILLS/S-0102/S-0102%20As%20Passed%20by%20Both%20House%20and%20Senate%20Official.pdf" TargetMode="External"/><Relationship Id="rId255" Type="http://schemas.openxmlformats.org/officeDocument/2006/relationships/hyperlink" Target="https://www.dol.gov/agencies/whd/flsa/videos?lang=en" TargetMode="External"/><Relationship Id="rId297"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462" Type="http://schemas.openxmlformats.org/officeDocument/2006/relationships/hyperlink" Target="https://www.fincen.gov/boi-faqs" TargetMode="External"/><Relationship Id="rId518" Type="http://schemas.openxmlformats.org/officeDocument/2006/relationships/hyperlink" Target="https://www.natlawreview.com/article/uaw-goes-medieval-big-three-what-does-it-mean" TargetMode="External"/><Relationship Id="rId725" Type="http://schemas.openxmlformats.org/officeDocument/2006/relationships/hyperlink" Target="https://www.beneschlaw.com/resources/illinois-employers-take-note-expanded-requirements-under-the-illinois-workplace-transparency-act-go-into-effect-in-2026.html" TargetMode="External"/><Relationship Id="rId932" Type="http://schemas.openxmlformats.org/officeDocument/2006/relationships/hyperlink" Target="https://www.nysenate.gov/legislation/bills/2025/S8822" TargetMode="External"/><Relationship Id="rId1092" Type="http://schemas.openxmlformats.org/officeDocument/2006/relationships/hyperlink" Target="https://paidleave.wa.gov/updates/" TargetMode="External"/><Relationship Id="rId1106" Type="http://schemas.openxmlformats.org/officeDocument/2006/relationships/hyperlink" Target="https://lawfilesext.leg.wa.gov/biennium/2025-26/Pdf/Amendments/House/5408-S%20AMH%20FOSS%20H2247.1.pdf" TargetMode="External"/><Relationship Id="rId115" Type="http://schemas.openxmlformats.org/officeDocument/2006/relationships/hyperlink" Target="https://dlt.ri.gov/employers/required-workplace-posters" TargetMode="External"/><Relationship Id="rId157" Type="http://schemas.openxmlformats.org/officeDocument/2006/relationships/hyperlink" Target="https://www.mass.gov/doc/massachusetts-workplace-veteran-services/download" TargetMode="External"/><Relationship Id="rId322" Type="http://schemas.openxmlformats.org/officeDocument/2006/relationships/hyperlink" Target="https://www.e-verify.gov/ead-revocation-guidance-for-e-verify-employers" TargetMode="External"/><Relationship Id="rId364" Type="http://schemas.openxmlformats.org/officeDocument/2006/relationships/hyperlink" Target="https://www.cms.gov/inflation-reduction-act-and-medicare/part-d-improvements" TargetMode="External"/><Relationship Id="rId767" Type="http://schemas.openxmlformats.org/officeDocument/2006/relationships/hyperlink" Target="https://www.ilga.gov/legislation/fulltext.asp?DocName=&amp;SessionId=112&amp;GA=103&amp;DocTypeId=HB&amp;DocNum=3733&amp;GAID=17&amp;LegID=&amp;SpecSess=&amp;Session=" TargetMode="External"/><Relationship Id="rId974" Type="http://schemas.openxmlformats.org/officeDocument/2006/relationships/hyperlink" Target="https://assembly.state.ny.us/leg/?default_fld=&amp;Text=Y&amp;term=2023&amp;bn=S5081" TargetMode="External"/><Relationship Id="rId1008" Type="http://schemas.openxmlformats.org/officeDocument/2006/relationships/hyperlink" Target="https://www.oregonlegislature.gov/bills_laws/ors/ors659a.html" TargetMode="External"/><Relationship Id="rId61" Type="http://schemas.openxmlformats.org/officeDocument/2006/relationships/hyperlink" Target="https://does.dc.gov/sites/default/files/dc/sites/does/publication/attachments/2026%20Minimum%20Wage%20Poster.pdf" TargetMode="External"/><Relationship Id="rId199" Type="http://schemas.openxmlformats.org/officeDocument/2006/relationships/hyperlink" Target="https://apps.trustmineral.com/hr-compliance/laws/5sztgnpMjr0Ze9xDAYjBWG/details" TargetMode="External"/><Relationship Id="rId57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27" Type="http://schemas.openxmlformats.org/officeDocument/2006/relationships/hyperlink" Target="https://leginfo.legislature.ca.gov/faces/billCompareClient.xhtml?bill_id=202320240SB988&amp;showamends=false" TargetMode="External"/><Relationship Id="rId669" Type="http://schemas.openxmlformats.org/officeDocument/2006/relationships/hyperlink" Target="https://leg.colorado.gov/bills/SB26-189" TargetMode="External"/><Relationship Id="rId834" Type="http://schemas.openxmlformats.org/officeDocument/2006/relationships/hyperlink" Target="https://www.mass.gov/doc/h4890-signing/download" TargetMode="External"/><Relationship Id="rId876" Type="http://schemas.openxmlformats.org/officeDocument/2006/relationships/hyperlink" Target="https://stpaul.legistar.com/LegislationDetail.aspx?ID=7663970&amp;GUID=8CE66840-E156-4D30-AFB3-FB8FBABC2592&amp;Options=&amp;Search=" TargetMode="External"/><Relationship Id="rId19" Type="http://schemas.openxmlformats.org/officeDocument/2006/relationships/hyperlink" Target="https://www.phila.gov/documents/fair-chance-hiring-law-poster/" TargetMode="External"/><Relationship Id="rId224"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266" Type="http://schemas.openxmlformats.org/officeDocument/2006/relationships/hyperlink" Target="http://infinisource.net/Newsroom/post/2011/05/24/IRS-Provides-Guidance-for-HSAs-in-2012.aspx" TargetMode="External"/><Relationship Id="rId431" Type="http://schemas.openxmlformats.org/officeDocument/2006/relationships/hyperlink" Target="https://405d.hhs.gov/Documents/tech-vol2-508.pdf" TargetMode="External"/><Relationship Id="rId473" Type="http://schemas.openxmlformats.org/officeDocument/2006/relationships/hyperlink" Target="https://regtap.cms.gov/reg_librarye.php?i=3860" TargetMode="External"/><Relationship Id="rId529" Type="http://schemas.openxmlformats.org/officeDocument/2006/relationships/hyperlink" Target="https://www.elections.alaska.gov/doc/oep/2024/Ballot%20Measure%201_Eng.pdf" TargetMode="External"/><Relationship Id="rId680" Type="http://schemas.openxmlformats.org/officeDocument/2006/relationships/hyperlink" Target="https://www.coloradojudicial.gov/sites/default/files/2024-09/24SA12.pdf" TargetMode="External"/><Relationship Id="rId736" Type="http://schemas.openxmlformats.org/officeDocument/2006/relationships/hyperlink" Target="https://labor.illinois.gov/laws-rules/conmed/eprc.html" TargetMode="External"/><Relationship Id="rId901" Type="http://schemas.openxmlformats.org/officeDocument/2006/relationships/hyperlink" Target="https://sos.nebraska.gov/sites/default/files/doc/elections/2024/2024%20Ballot%20Measures%20Pamphlet.pdf" TargetMode="External"/><Relationship Id="rId1061" Type="http://schemas.openxmlformats.org/officeDocument/2006/relationships/hyperlink" Target="https://lis.virginia.gov/bill-details/20261/SB215/text/SB215ER2" TargetMode="External"/><Relationship Id="rId1117" Type="http://schemas.openxmlformats.org/officeDocument/2006/relationships/fontTable" Target="fontTable.xml"/><Relationship Id="rId30" Type="http://schemas.openxmlformats.org/officeDocument/2006/relationships/hyperlink" Target="https://does.dc.gov/sites/default/files/dc/sites/does/publication/attachments/2025%20Universal%20Wage%20Law%20Poster_Updated_1.pdf" TargetMode="External"/><Relationship Id="rId126" Type="http://schemas.openxmlformats.org/officeDocument/2006/relationships/hyperlink" Target="https://labor.nv.gov/uploadedFiles/labornvgov/content/Employer/25.06.23%20Annual%20Bulletin%20-%20Daily%20Overtime.pdf" TargetMode="External"/><Relationship Id="rId168" Type="http://schemas.openxmlformats.org/officeDocument/2006/relationships/hyperlink" Target="https://labor.illinois.gov/content/dam/soi/en/web/idol/laws-rules/legal/documents/e-verification-facts-poster.pdf" TargetMode="External"/><Relationship Id="rId333" Type="http://schemas.openxmlformats.org/officeDocument/2006/relationships/hyperlink" Target="https://www.dol.gov/agencies/ebsa/laws-and-regulations/laws/mental-health-parity/statement-regarding-enforcement-of-the-final-rule-on-requirements-related-to-mhpaea" TargetMode="External"/><Relationship Id="rId540"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778" Type="http://schemas.openxmlformats.org/officeDocument/2006/relationships/hyperlink" Target="https://legislature.maine.gov/legis/bills/getPDF.asp?paper=HP0018&amp;item=7&amp;snum=132" TargetMode="External"/><Relationship Id="rId943" Type="http://schemas.openxmlformats.org/officeDocument/2006/relationships/hyperlink" Target="https://www.health.ny.gov/diseases/aids/general/opioid_overdose_prevention/good_samaritan_law.htm" TargetMode="External"/><Relationship Id="rId985" Type="http://schemas.openxmlformats.org/officeDocument/2006/relationships/hyperlink" Target="https://www.clevelandcitycouncil.org/pdf/web/viewer.html?file=/sites/default/files/2025-05/City%20Record%205-9-25.pdf" TargetMode="External"/><Relationship Id="rId1019" Type="http://schemas.openxmlformats.org/officeDocument/2006/relationships/hyperlink" Target="https://www.legis.state.pa.us/cfdocs/legis/PN/Public/btCheck.cfm?txtType=PDF&amp;sessYr=2023&amp;sessInd=0&amp;billBody=S&amp;billTyp=B&amp;billNbr=1232&amp;pn=1949" TargetMode="External"/><Relationship Id="rId72" Type="http://schemas.openxmlformats.org/officeDocument/2006/relationships/hyperlink" Target="https://www.ny.gov/new-york-states-minimum-wage/new-york-states-minimum-wage" TargetMode="External"/><Relationship Id="rId375" Type="http://schemas.openxmlformats.org/officeDocument/2006/relationships/hyperlink" Target="https://www.dol.gov/agencies/whd/flsa/tips" TargetMode="External"/><Relationship Id="rId582" Type="http://schemas.openxmlformats.org/officeDocument/2006/relationships/hyperlink" Target="https://leginfo.legislature.ca.gov/faces/billNavClient.xhtml?bill_id=202520260SB261" TargetMode="External"/><Relationship Id="rId638" Type="http://schemas.openxmlformats.org/officeDocument/2006/relationships/hyperlink" Target="https://legiscan.com/CA/text/SB1090/2023" TargetMode="External"/><Relationship Id="rId803" Type="http://schemas.openxmlformats.org/officeDocument/2006/relationships/hyperlink" Target="https://mgaleg.maryland.gov/mgawebsite/Laws/StatuteText?article=gle&amp;section=3-1201&amp;enactments=False&amp;archived=False" TargetMode="External"/><Relationship Id="rId845" Type="http://schemas.openxmlformats.org/officeDocument/2006/relationships/hyperlink" Target="https://www.mass.gov/info-details/paid-family-and-medical-leave-pfml-overview-and-benefits" TargetMode="External"/><Relationship Id="rId1030" Type="http://schemas.openxmlformats.org/officeDocument/2006/relationships/hyperlink" Target="https://dlt.ri.gov/individuals/temporary-disability-caregiver-insurance/employers" TargetMode="External"/><Relationship Id="rId3" Type="http://schemas.openxmlformats.org/officeDocument/2006/relationships/styles" Target="styles.xml"/><Relationship Id="rId235" Type="http://schemas.openxmlformats.org/officeDocument/2006/relationships/hyperlink" Target="https://data.dol.gov/datasets/10289" TargetMode="External"/><Relationship Id="rId277" Type="http://schemas.openxmlformats.org/officeDocument/2006/relationships/hyperlink" Target="https://public-inspection.federalregister.gov/2025-20740.pdf" TargetMode="External"/><Relationship Id="rId400" Type="http://schemas.openxmlformats.org/officeDocument/2006/relationships/hyperlink" Target="https://www.cms.gov/Medicare/Prescription-Drug-Coverage/CreditableCoverage/Model-Notice-Letters.html" TargetMode="External"/><Relationship Id="rId442" Type="http://schemas.openxmlformats.org/officeDocument/2006/relationships/hyperlink" Target="https://public-inspection.federalregister.gov/2023-23573.pdf" TargetMode="External"/><Relationship Id="rId484" Type="http://schemas.openxmlformats.org/officeDocument/2006/relationships/hyperlink" Target="https://www.irs.gov/affordable-care-act/employers/employer-shared-responsibility-provisions" TargetMode="External"/><Relationship Id="rId705" Type="http://schemas.openxmlformats.org/officeDocument/2006/relationships/hyperlink" Target="https://www.capitol.hawaii.gov/session/measure_indiv.aspx?billtype=SB&amp;billnumber=3082&amp;year=2026" TargetMode="External"/><Relationship Id="rId887" Type="http://schemas.openxmlformats.org/officeDocument/2006/relationships/hyperlink" Target="https://paidleave.mn.gov/employers/faq/index.jsp" TargetMode="External"/><Relationship Id="rId1072" Type="http://schemas.openxmlformats.org/officeDocument/2006/relationships/hyperlink" Target="https://law.lis.virginia.gov/vacode/title65.2/chapter3/section65.2-302/" TargetMode="External"/><Relationship Id="rId137" Type="http://schemas.openxmlformats.org/officeDocument/2006/relationships/hyperlink" Target="https://www.oregon.gov/boli/employers/Documents/BOLI_Printable_Break_Pay.pdf" TargetMode="External"/><Relationship Id="rId302" Type="http://schemas.openxmlformats.org/officeDocument/2006/relationships/hyperlink" Target="https://www.justice.gov/ag/media/1409486/dl?inline&amp;utm_medium=email&amp;utm_source=govdelivery" TargetMode="External"/><Relationship Id="rId344" Type="http://schemas.openxmlformats.org/officeDocument/2006/relationships/hyperlink" Target="https://www.federalregister.gov/documents/2025/01/29/2025-01953/ending-radical-and-wasteful-government-dei-programs-and-preferencing" TargetMode="External"/><Relationship Id="rId691" Type="http://schemas.openxmlformats.org/officeDocument/2006/relationships/hyperlink" Target="https://u4664138.ct.sendgrid.net/ls/click?upn=u001.-2BvR921dwSdNdTO8WsXTOoMDcgD3lmppw4SQK-2Fh-2BpCjxZSgOsnlkyYHgKbhgW-2FWG0Geru6Wc7PXINRaCjQEk-2FEg-3D-3DpgQQ_pZjfBIpLjMFCpu6xHFn7DWABExhsgTHcqiJ060gTkgzEATmBUNXNmW3P5SmbWvnmq2rtnd6DFFkxriptAbrbluypSXj3qbAsF-2FlHBKYv18mpuJoFCP8x8nMCf2URh7syMNt0FCX-2F9uR8lmpQ6dxOaUK2OsFOkFNE0xJsvhvv-2BGfuy7hacVt61moMGrcH8Nz0omMXtXQHKR5l2p2A3VFKSCo5-2BqfSn8gIvrIeY5DDA6de0nAcnpS2nXbkAuuRtSa-2BDGbI13wCtbpAoL4DgO6t8w-3D-3D" TargetMode="External"/><Relationship Id="rId747" Type="http://schemas.openxmlformats.org/officeDocument/2006/relationships/hyperlink" Target="https://www.ilga.gov/legislation/publicacts/fulltext.asp?Name=103-0722" TargetMode="External"/><Relationship Id="rId789" Type="http://schemas.openxmlformats.org/officeDocument/2006/relationships/hyperlink" Target="https://mgaleg.maryland.gov/mgawebsite/Legislation/Details/hb0721/?ys=2026rs" TargetMode="External"/><Relationship Id="rId912" Type="http://schemas.openxmlformats.org/officeDocument/2006/relationships/hyperlink" Target="https://gc.nh.gov/bill_status/billinfo.aspx?id=223&amp;inflect=2" TargetMode="External"/><Relationship Id="rId954"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996" Type="http://schemas.openxmlformats.org/officeDocument/2006/relationships/hyperlink" Target="https://paidleave.oregon.gov/" TargetMode="External"/><Relationship Id="rId41" Type="http://schemas.openxmlformats.org/officeDocument/2006/relationships/hyperlink" Target="https://www.phila.gov/media/20260428133610/Fair-Criminal-Records-Screening-Standards-Ordinance-amendments-2026.pdf?4id5dl26yx" TargetMode="External"/><Relationship Id="rId83" Type="http://schemas.openxmlformats.org/officeDocument/2006/relationships/hyperlink" Target="https://labor.mo.gov/dls/minimum-wage" TargetMode="External"/><Relationship Id="rId179" Type="http://schemas.openxmlformats.org/officeDocument/2006/relationships/hyperlink" Target="https://www.federalregister.gov/documents/2026/07/23/2026-14917/electronic-disclosure-by-group-health-plans-under-erisa" TargetMode="External"/><Relationship Id="rId386" Type="http://schemas.openxmlformats.org/officeDocument/2006/relationships/hyperlink" Target="https://www.fincen.gov/boi" TargetMode="External"/><Relationship Id="rId551"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593" Type="http://schemas.openxmlformats.org/officeDocument/2006/relationships/hyperlink" Target="https://leginfo.legislature.ca.gov/faces/billNavClient.xhtml?bill_id=202520260SB261" TargetMode="External"/><Relationship Id="rId607"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649" Type="http://schemas.openxmlformats.org/officeDocument/2006/relationships/hyperlink" Target="https://www.sf.gov/information/health-care-security-ordinance" TargetMode="External"/><Relationship Id="rId814"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856"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190" Type="http://schemas.openxmlformats.org/officeDocument/2006/relationships/hyperlink" Target="https://www.swlaw.com/publication/exempt-by-day-hourly-by-night-new-dol-guidance-for-when-salaried-employees-pick-up-hourly-shifts/" TargetMode="External"/><Relationship Id="rId204" Type="http://schemas.openxmlformats.org/officeDocument/2006/relationships/hyperlink" Target="https://www.irs.gov/irb/2025-45_IRB" TargetMode="External"/><Relationship Id="rId246" Type="http://schemas.openxmlformats.org/officeDocument/2006/relationships/hyperlink" Target="https://www.leg.state.nv.us/nrs/nrs-613.html" TargetMode="External"/><Relationship Id="rId288" Type="http://schemas.openxmlformats.org/officeDocument/2006/relationships/hyperlink" Target="https://links-2.govdelivery.com/CL0/https:%2F%2Fwww.uscis.gov%2Fi-765/1/0101019a30377f5e-184e1e3a-dc7d-4a7d-bd8f-29c9958a5640-000000/1CWQM3xC5WKzZQzi-EHGSkMTUGAfHOkHg4rN9vKfVCs=429" TargetMode="External"/><Relationship Id="rId411" Type="http://schemas.openxmlformats.org/officeDocument/2006/relationships/hyperlink" Target="https://www.irs.gov/pub/irs-dft/i109495c--dft.pdf" TargetMode="External"/><Relationship Id="rId453" Type="http://schemas.openxmlformats.org/officeDocument/2006/relationships/hyperlink" Target="https://www.hhs.gov/hipaa/for-professionals/security/guidance/index.html?language=es" TargetMode="External"/><Relationship Id="rId509" Type="http://schemas.openxmlformats.org/officeDocument/2006/relationships/hyperlink" Target="https://www.morganlewis.com/pubs/2024/03/nlrb-blocked-from-implementing-expansive-joint-employer-rule" TargetMode="External"/><Relationship Id="rId660" Type="http://schemas.openxmlformats.org/officeDocument/2006/relationships/hyperlink" Target="https://www.mwe.com/pdf/california-imposes-new-workplace-violence-prevention-mandate/" TargetMode="External"/><Relationship Id="rId898" Type="http://schemas.openxmlformats.org/officeDocument/2006/relationships/hyperlink" Target="https://www.sos.mo.gov/CMSImages/Elections/Petitions/2024-038.pdf" TargetMode="External"/><Relationship Id="rId1041" Type="http://schemas.openxmlformats.org/officeDocument/2006/relationships/hyperlink" Target="https://le.utah.gov/~2026/bills/static/HB0380.html" TargetMode="External"/><Relationship Id="rId1083" Type="http://schemas.openxmlformats.org/officeDocument/2006/relationships/hyperlink" Target="https://lawfilesext.leg.wa.gov/biennium/2025-26/Pdf/Bills/Session%20Laws/House/2105-S2.SL.pdf" TargetMode="External"/><Relationship Id="rId106" Type="http://schemas.openxmlformats.org/officeDocument/2006/relationships/hyperlink" Target="https://labor.arkansas.gov/wp-content/uploads/Arkansas-Department-of-Veterans-Affairs.pdf" TargetMode="External"/><Relationship Id="rId313" Type="http://schemas.openxmlformats.org/officeDocument/2006/relationships/hyperlink" Target="https://www.bradley.com/insights/publications/2025/07/employee-benefits-under-the-one-big-beautiful-bill-act-what-employers-need-to-know" TargetMode="External"/><Relationship Id="rId495" Type="http://schemas.openxmlformats.org/officeDocument/2006/relationships/hyperlink" Target="https://www.skadden.com/-/media/files/publications/2024/03/insights-special-edition/senate-bill-sb-17.pdf?rev=964ecfc65e694a08a593b8eed1173a15&amp;hash=5CD4CFFF9BB7FE0553A89C6E9823019E" TargetMode="External"/><Relationship Id="rId716" Type="http://schemas.openxmlformats.org/officeDocument/2006/relationships/hyperlink" Target="https://labor.illinois.gov/laws-rules/conmed/eprc-faqs.html" TargetMode="External"/><Relationship Id="rId758"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923" Type="http://schemas.openxmlformats.org/officeDocument/2006/relationships/hyperlink" Target="https://pub.njleg.state.nj.us/Bills/2024/A3500/3451_R2.PDF" TargetMode="External"/><Relationship Id="rId965" Type="http://schemas.openxmlformats.org/officeDocument/2006/relationships/hyperlink" Target="https://www.nyc.gov/assets/cchr/downloads/pdf/materials/Pregnancy_Notice-Sp.pdf" TargetMode="External"/><Relationship Id="rId10" Type="http://schemas.openxmlformats.org/officeDocument/2006/relationships/hyperlink" Target="https://www.osha.gov/publications/poster" TargetMode="External"/><Relationship Id="rId52" Type="http://schemas.openxmlformats.org/officeDocument/2006/relationships/hyperlink" Target="https://www.dli.mn.gov/sites/default/files/pdf/workerscomp_poster.pdf" TargetMode="External"/><Relationship Id="rId94" Type="http://schemas.openxmlformats.org/officeDocument/2006/relationships/hyperlink" Target="https://labor.vermont.gov/document/crime-victims-rights-poster" TargetMode="External"/><Relationship Id="rId148" Type="http://schemas.openxmlformats.org/officeDocument/2006/relationships/hyperlink" Target="https://www.maine.gov/labor/docs/2025/posters/SexualHarrassmentEducationandTraining.pdf" TargetMode="External"/><Relationship Id="rId355" Type="http://schemas.openxmlformats.org/officeDocument/2006/relationships/hyperlink" Target="https://www.naacpldf.org/wp-content/uploads/2025.02.19-ECF-1-Complaint.pdf" TargetMode="External"/><Relationship Id="rId397" Type="http://schemas.openxmlformats.org/officeDocument/2006/relationships/hyperlink" Target="https://www.cms.gov/Medicare/Prescription-Drug-Coverage/CreditableCoverage/Model-Notice-Letters.html" TargetMode="External"/><Relationship Id="rId520" Type="http://schemas.openxmlformats.org/officeDocument/2006/relationships/hyperlink" Target="https://www.natlawreview.com/article/labor-law-recap-2022-was-year-strike" TargetMode="External"/><Relationship Id="rId562" Type="http://schemas.openxmlformats.org/officeDocument/2006/relationships/hyperlink" Target="https://leginfo.legislature.ca.gov/faces/billCompareClient.xhtml?bill_id=202520260SB464&amp;showamends=false" TargetMode="External"/><Relationship Id="rId618" Type="http://schemas.openxmlformats.org/officeDocument/2006/relationships/hyperlink" Target="https://www.dir.ca.gov/iwc/MW-2024-HC-SUPPLEMENT.pdf" TargetMode="External"/><Relationship Id="rId825" Type="http://schemas.openxmlformats.org/officeDocument/2006/relationships/hyperlink" Target="https://www.mass.gov/info-details/pfml-workplace-poster-notices-and-rate-sheets-for-massachusetts-employers" TargetMode="External"/><Relationship Id="rId215" Type="http://schemas.openxmlformats.org/officeDocument/2006/relationships/hyperlink" Target="https://www.cms.gov/marketplace/about/oversight/other-insurance-protections/prescription-drug-data-collection-rxdc" TargetMode="External"/><Relationship Id="rId257" Type="http://schemas.openxmlformats.org/officeDocument/2006/relationships/hyperlink" Target="https://www.dol.gov/agencies/whd/opinion-letters/request" TargetMode="External"/><Relationship Id="rId422" Type="http://schemas.openxmlformats.org/officeDocument/2006/relationships/hyperlink" Target="https://www.whitehouse.gov/briefing-room/presidential-actions/2023/10/30/executive-order-on-the-safe-secure-and-trustworthy-development-and-use-of-artificial-intelligence/" TargetMode="External"/><Relationship Id="rId464" Type="http://schemas.openxmlformats.org/officeDocument/2006/relationships/hyperlink" Target="https://www.eeoc.gov/laws/guidance/enforcement-guidance-harassment-workplace" TargetMode="External"/><Relationship Id="rId867" Type="http://schemas.openxmlformats.org/officeDocument/2006/relationships/hyperlink" Target="https://mn.gov/deed/assets/paid-leave-mandatory-employer-poster-acc_tcm1045-700342.pdf" TargetMode="External"/><Relationship Id="rId1010" Type="http://schemas.openxmlformats.org/officeDocument/2006/relationships/hyperlink" Target="https://olis.oregonlegislature.gov/liz/2024R1/Measures/Overview/SB1515" TargetMode="External"/><Relationship Id="rId1052" Type="http://schemas.openxmlformats.org/officeDocument/2006/relationships/image" Target="media/image6.png"/><Relationship Id="rId1094" Type="http://schemas.openxmlformats.org/officeDocument/2006/relationships/hyperlink" Target="https://www.seyfarth.com/news-insights/upcoming-washington-state-legislative-changes-you-need-to-know.html" TargetMode="External"/><Relationship Id="rId1108" Type="http://schemas.openxmlformats.org/officeDocument/2006/relationships/hyperlink" Target="https://esd.wa.gov/about-us/press-release/2024/paid-family-medical-leave-premiums-increase-2025" TargetMode="External"/><Relationship Id="rId299" Type="http://schemas.openxmlformats.org/officeDocument/2006/relationships/hyperlink" Target="https://www.dol.gov/agencies/whd/fact-sheets/15-tipped-employees-flsa" TargetMode="External"/><Relationship Id="rId727" Type="http://schemas.openxmlformats.org/officeDocument/2006/relationships/hyperlink" Target="https://labor.illinois.gov/laws-rules/conmed/eprc-faqs.html" TargetMode="External"/><Relationship Id="rId934" Type="http://schemas.openxmlformats.org/officeDocument/2006/relationships/hyperlink" Target="https://www.nyc.gov/site/dca/about/Paid-Safe-Sick-Leave-Notice-of-Employee-Rights.page" TargetMode="External"/><Relationship Id="rId63" Type="http://schemas.openxmlformats.org/officeDocument/2006/relationships/hyperlink" Target="https://www.dir.ca.gov/wpnodb.html" TargetMode="External"/><Relationship Id="rId159"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366" Type="http://schemas.openxmlformats.org/officeDocument/2006/relationships/hyperlink" Target="https://www.dol.gov/sites/dolgov/files/WHD/opinion-letters/FLSA/2025_1_14_1_FLSA.pdf" TargetMode="External"/><Relationship Id="rId57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80" Type="http://schemas.openxmlformats.org/officeDocument/2006/relationships/hyperlink" Target="https://legislature.maine.gov/legis/bills/getPDF.asp?paper=HP0018&amp;item=7&amp;snum=132" TargetMode="External"/><Relationship Id="rId226"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433" Type="http://schemas.openxmlformats.org/officeDocument/2006/relationships/hyperlink" Target="https://www.dol.gov/sites/dolgov/files/WHD/flsa/ot-541-final-rule.pdf" TargetMode="External"/><Relationship Id="rId878" Type="http://schemas.openxmlformats.org/officeDocument/2006/relationships/hyperlink" Target="https://www.dli.mn.gov/sick-leave" TargetMode="External"/><Relationship Id="rId1063" Type="http://schemas.openxmlformats.org/officeDocument/2006/relationships/hyperlink" Target="https://lis.blob.core.windows.net/files/1198795.PDF" TargetMode="External"/><Relationship Id="rId640" Type="http://schemas.openxmlformats.org/officeDocument/2006/relationships/hyperlink" Target="https://calcivilrights.ca.gov/disputeresolution/small-employer-family-leave-mediation-program/" TargetMode="External"/><Relationship Id="rId738" Type="http://schemas.openxmlformats.org/officeDocument/2006/relationships/hyperlink" Target="https://labor.illinois.gov/laws-rules/conmed/eprc.html" TargetMode="External"/><Relationship Id="rId945" Type="http://schemas.openxmlformats.org/officeDocument/2006/relationships/hyperlink" Target="https://legislation.nysenate.gov/pdf/bills/2025/A584C" TargetMode="External"/><Relationship Id="rId74" Type="http://schemas.openxmlformats.org/officeDocument/2006/relationships/hyperlink" Target="https://doli.virginia.gov/wp-content/uploads/2025/10/2026-Virginia-Minimum-Wage-Poster.pdf" TargetMode="External"/><Relationship Id="rId377" Type="http://schemas.openxmlformats.org/officeDocument/2006/relationships/hyperlink" Target="https://www.irs.gov/forms-pubs/about-form-720" TargetMode="External"/><Relationship Id="rId500" Type="http://schemas.openxmlformats.org/officeDocument/2006/relationships/hyperlink" Target="https://www.revisor.mn.gov/statutes/cite/181.172" TargetMode="External"/><Relationship Id="rId584" Type="http://schemas.openxmlformats.org/officeDocument/2006/relationships/hyperlink" Target="https://leginfo.legislature.ca.gov/faces/billCompareClient.xhtml?bill_id=202520260SB590&amp;showamends=false" TargetMode="External"/><Relationship Id="rId805" Type="http://schemas.openxmlformats.org/officeDocument/2006/relationships/hyperlink" Target="https://mgaleg.maryland.gov/2024RS/Chapters_noln/CH_306_hb0385t.pdf" TargetMode="External"/><Relationship Id="rId5" Type="http://schemas.openxmlformats.org/officeDocument/2006/relationships/webSettings" Target="webSettings.xml"/><Relationship Id="rId237" Type="http://schemas.openxmlformats.org/officeDocument/2006/relationships/hyperlink" Target="https://www.irs.gov/newsroom/questions-and-answers-about-the-new-deduction-for-qualified-overtime-compensation" TargetMode="External"/><Relationship Id="rId791" Type="http://schemas.openxmlformats.org/officeDocument/2006/relationships/hyperlink" Target="https://regs.maryland.gov/us/md/exec/comar/09.42" TargetMode="External"/><Relationship Id="rId889" Type="http://schemas.openxmlformats.org/officeDocument/2006/relationships/hyperlink" Target="https://www.dli.mn.gov/sick-leave" TargetMode="External"/><Relationship Id="rId1074" Type="http://schemas.openxmlformats.org/officeDocument/2006/relationships/hyperlink" Target="https://www.retirepathva.com/" TargetMode="External"/><Relationship Id="rId444" Type="http://schemas.openxmlformats.org/officeDocument/2006/relationships/hyperlink" Target="https://sidebar.btlaw.com/post/102jc61/flsas-white-collar-exemption-texas-judge-suspends-dols-ability-to-enforce-new" TargetMode="External"/><Relationship Id="rId651" Type="http://schemas.openxmlformats.org/officeDocument/2006/relationships/hyperlink" Target="https://www.dir.ca.gov/dosh/Workplace-Violence.html" TargetMode="External"/><Relationship Id="rId749" Type="http://schemas.openxmlformats.org/officeDocument/2006/relationships/hyperlink" Target="https://labor.illinois.gov/laws-rules/fls/child-labor-law.html" TargetMode="External"/><Relationship Id="rId290" Type="http://schemas.openxmlformats.org/officeDocument/2006/relationships/hyperlink" Target="https://www.federalregister.gov/documents/2025/09/30/2025-18972/2025-adjustment-of-the-penalty-for-violation-of-notice-posting-requirements" TargetMode="External"/><Relationship Id="rId304" Type="http://schemas.openxmlformats.org/officeDocument/2006/relationships/hyperlink" Target="https://www.mayerbrown.com/en/insights/publications/2025/05/deputy-ag-blanche-establishes-doj-civil-rights-fraud-initiative-to-target-dei-and-deia-using-the-false-claims-act" TargetMode="External"/><Relationship Id="rId388" Type="http://schemas.openxmlformats.org/officeDocument/2006/relationships/hyperlink" Target="https://www.irs.gov/pub/irs-drop/rp-24-40.pdf" TargetMode="External"/><Relationship Id="rId511" Type="http://schemas.openxmlformats.org/officeDocument/2006/relationships/hyperlink" Target="https://www.morganlewis.com/pubs/2024/03/nlrb-blocked-from-implementing-expansive-joint-employer-rule" TargetMode="External"/><Relationship Id="rId609" Type="http://schemas.openxmlformats.org/officeDocument/2006/relationships/hyperlink" Target="https://www.dir.ca.gov/dlse/Paid_Sick_Leave.htm" TargetMode="External"/><Relationship Id="rId956" Type="http://schemas.openxmlformats.org/officeDocument/2006/relationships/hyperlink" Target="https://www.ny.gov/programs/new-york-state-paid-prenatal-leave" TargetMode="External"/><Relationship Id="rId85" Type="http://schemas.openxmlformats.org/officeDocument/2006/relationships/hyperlink" Target="https://dam.assets.ohio.gov/image/upload/com.ohio.gov/DICO/WageAndHour/2026_Minumum_Wage_Poster.pdf" TargetMode="External"/><Relationship Id="rId150" Type="http://schemas.openxmlformats.org/officeDocument/2006/relationships/hyperlink" Target="https://labor.mo.gov/media/pdf/earned-paid-sick-time-ls-121" TargetMode="External"/><Relationship Id="rId595" Type="http://schemas.openxmlformats.org/officeDocument/2006/relationships/hyperlink" Target="https://calcivilrights.ca.gov/wp-content/uploads/sites/32/2025/06/Final-Text-regulations-automated-employment-decision-systems.pdf" TargetMode="External"/><Relationship Id="rId816" Type="http://schemas.openxmlformats.org/officeDocument/2006/relationships/hyperlink" Target="https://paidleave.maryland.gov/employers/Pages/home.aspx" TargetMode="External"/><Relationship Id="rId1001" Type="http://schemas.openxmlformats.org/officeDocument/2006/relationships/hyperlink" Target="https://olis.oregonlegislature.gov/liz/2025R1/Measures/Analysis/SB1108" TargetMode="External"/><Relationship Id="rId248" Type="http://schemas.openxmlformats.org/officeDocument/2006/relationships/hyperlink" Target="https://webserver.rilegislature.gov/Statutes/TITLE28/28-59/28-59-2.htm" TargetMode="External"/><Relationship Id="rId455" Type="http://schemas.openxmlformats.org/officeDocument/2006/relationships/hyperlink" Target="https://www.healthit.gov/topic/privacy-security-and-hipaa/security-risk-assessment-tool" TargetMode="External"/><Relationship Id="rId662" Type="http://schemas.openxmlformats.org/officeDocument/2006/relationships/hyperlink" Target="https://leginfo.legislature.ca.gov/faces/billTextClient.xhtml?bill_id=202320240AB636" TargetMode="External"/><Relationship Id="rId1085" Type="http://schemas.openxmlformats.org/officeDocument/2006/relationships/hyperlink" Target="https://lawfilesext.leg.wa.gov/biennium/2025-26/Pdf/Bills/House%20Passed%20Legislature/2345-S2.PL.pdf" TargetMode="External"/><Relationship Id="rId12" Type="http://schemas.openxmlformats.org/officeDocument/2006/relationships/hyperlink" Target="https://www.dol.gov/agencies/ebsa/laws-and-regulations/laws/chipra" TargetMode="External"/><Relationship Id="rId108" Type="http://schemas.openxmlformats.org/officeDocument/2006/relationships/hyperlink" Target="https://elc.ky.gov/workplace-standards/Documents/KY%20OSH%20Poster%20English.pdf" TargetMode="External"/><Relationship Id="rId315" Type="http://schemas.openxmlformats.org/officeDocument/2006/relationships/hyperlink" Target="https://www.congress.gov/bill/119th-congress/house-bill/1/text" TargetMode="External"/><Relationship Id="rId522" Type="http://schemas.openxmlformats.org/officeDocument/2006/relationships/hyperlink" Target="https://www.gallup.com/workplace/391922/employee-engagement-slump-continues.aspx" TargetMode="External"/><Relationship Id="rId967" Type="http://schemas.openxmlformats.org/officeDocument/2006/relationships/hyperlink" Target="https://www.nyc.gov/site/cchr/law/lactation-faqs.page" TargetMode="External"/><Relationship Id="rId96" Type="http://schemas.openxmlformats.org/officeDocument/2006/relationships/hyperlink" Target="https://labor.vermont.gov/document/parental-and-family-leave-poster-mandatory" TargetMode="External"/><Relationship Id="rId161" Type="http://schemas.openxmlformats.org/officeDocument/2006/relationships/hyperlink" Target="https://dlt.ri.gov/employers/required-workplace-posters" TargetMode="External"/><Relationship Id="rId399" Type="http://schemas.openxmlformats.org/officeDocument/2006/relationships/hyperlink" Target="http://www.cms.gov/Medicare/Prescription-Drug-Coverage/CreditableCoverage/Downloads/ModelNonCreditableCoverageDisclosureNotice051711.pdf" TargetMode="External"/><Relationship Id="rId827" Type="http://schemas.openxmlformats.org/officeDocument/2006/relationships/hyperlink" Target="https://www.mass.gov/doc/2026-pfml-mandatory-workplace-poster-english/download" TargetMode="External"/><Relationship Id="rId1012" Type="http://schemas.openxmlformats.org/officeDocument/2006/relationships/hyperlink" Target="https://www.palegis.us/legislation/bills/text/PDF/2025/0/HB0439/PN0996" TargetMode="External"/><Relationship Id="rId259" Type="http://schemas.openxmlformats.org/officeDocument/2006/relationships/hyperlink" Target="https://www.dol.gov/sites/dolgov/files/WHD/opinion-letters/FLSA/FLSA2026-4.pdf" TargetMode="External"/><Relationship Id="rId466" Type="http://schemas.openxmlformats.org/officeDocument/2006/relationships/hyperlink" Target="https://www.eeoc.gov/questions-and-answers-employees-harassment-work" TargetMode="External"/><Relationship Id="rId673" Type="http://schemas.openxmlformats.org/officeDocument/2006/relationships/hyperlink" Target="https://nam12.safelinks.protection.outlook.com/?url=https%3A%2F%2Flinks-2.govdelivery.com%2FCL0%2Fhttps%3A%252F%252Fdrive.google.com%252Ffile%252Fd%252F1D2oFYTbY2EkcQt1k29WoGKGY4UMD78qr%252Fview%253Fusp%3Dsharing%2526utm_medium%3Dgovdelivery%2526utm_source%3Demail%2F1%2F0101019bc393bd17-bf13cdb5-bb99-42df-a3a4-bec4b8e69672-000000%2FYbYPPztVUunxPt7FLNhxj8iAJiH7m3fQ6O3rviP3wFg%3D440&amp;data=05%7C02%7Cmiriam.kelliher%40zywave.com%7Ca960df4ffe404a78603808de547db32a%7Cbd0c095f5d664273a20964796ae91974%7C0%7C0%7C639041096543135926%7CUnknown%7CTWFpbGZsb3d8eyJFbXB0eU1hcGkiOnRydWUsIlYiOiIwLjAuMDAwMCIsIlAiOiJXaW4zMiIsIkFOIjoiTWFpbCIsIldUIjoyfQ%3D%3D%7C0%7C%7C%7C&amp;sdata=howujswrvDHYMk5S2rvkpTsRHrC2%2BKorb1nX6CBjOrQ%3D&amp;reserved=0" TargetMode="External"/><Relationship Id="rId880" Type="http://schemas.openxmlformats.org/officeDocument/2006/relationships/hyperlink" Target="https://mn.gov/deed/paidleave/about/events/" TargetMode="External"/><Relationship Id="rId1096" Type="http://schemas.openxmlformats.org/officeDocument/2006/relationships/hyperlink" Target="https://app.leg.wa.gov/RCW/default.aspx?cite=49.12" TargetMode="External"/><Relationship Id="rId23" Type="http://schemas.openxmlformats.org/officeDocument/2006/relationships/hyperlink" Target="https://jobs.utah.gov/ui/employer/Public/UINoticePosterEnglish.pdf" TargetMode="External"/><Relationship Id="rId119" Type="http://schemas.openxmlformats.org/officeDocument/2006/relationships/hyperlink" Target="https://www.lni.wa.gov/forms-publications/F416-081-909.pdf" TargetMode="External"/><Relationship Id="rId326" Type="http://schemas.openxmlformats.org/officeDocument/2006/relationships/hyperlink" Target="http://www.eeocdata.org/eeo1" TargetMode="External"/><Relationship Id="rId533" Type="http://schemas.openxmlformats.org/officeDocument/2006/relationships/hyperlink" Target="https://www.azleg.gov/legtext/57leg/2R/laws/0104.pdf" TargetMode="External"/><Relationship Id="rId978" Type="http://schemas.openxmlformats.org/officeDocument/2006/relationships/hyperlink" Target="https://www.nysenate.gov/legislation/laws/WKC/203" TargetMode="External"/><Relationship Id="rId740" Type="http://schemas.openxmlformats.org/officeDocument/2006/relationships/hyperlink" Target="https://www.ilga.gov/legislation/publicacts/fulltext.asp?Name=103-0867" TargetMode="External"/><Relationship Id="rId838" Type="http://schemas.openxmlformats.org/officeDocument/2006/relationships/hyperlink" Target="https://www.mass.gov/info-details/pfml-workplace-poster-notices-and-rate-sheets-for-massachusetts-employers" TargetMode="External"/><Relationship Id="rId1023" Type="http://schemas.openxmlformats.org/officeDocument/2006/relationships/hyperlink" Target="https://legiscan.com/RI/text/H5679/2025" TargetMode="External"/><Relationship Id="rId172" Type="http://schemas.openxmlformats.org/officeDocument/2006/relationships/hyperlink" Target="https://www.cms.gov/medicare/employers-plan-sponsors/creditable-coverage/model-notice-letters" TargetMode="External"/><Relationship Id="rId47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600" Type="http://schemas.openxmlformats.org/officeDocument/2006/relationships/hyperlink" Target="https://www.gtlaw.com/en/insights/2025/7/beyond-bias-california-sets-a-new-standard-for-regulating-ai-in-the-workplace" TargetMode="External"/><Relationship Id="rId684" Type="http://schemas.openxmlformats.org/officeDocument/2006/relationships/hyperlink" Target="https://www.cga.ct.gov/2026/ACT/PA/PDF/2026PA-00012-R00HB-05003-PA.PDF" TargetMode="External"/><Relationship Id="rId337" Type="http://schemas.openxmlformats.org/officeDocument/2006/relationships/hyperlink" Target="https://www.constangy.com/employment-labor-insider/eeoc-guidance-on-workplace-harassment-what-employers-need-to-know" TargetMode="External"/><Relationship Id="rId891" Type="http://schemas.openxmlformats.org/officeDocument/2006/relationships/hyperlink" Target="https://www.revisor.mn.gov/laws/2024/0/Session+Law/Chapter/110/" TargetMode="External"/><Relationship Id="rId905" Type="http://schemas.openxmlformats.org/officeDocument/2006/relationships/hyperlink" Target="https://www.leg.state.nv.us/App/NELIS/REL/83rd2025/Bill/12609/Text" TargetMode="External"/><Relationship Id="rId989" Type="http://schemas.openxmlformats.org/officeDocument/2006/relationships/hyperlink" Target="https://www.oregon.gov/boli/workers/pages/minimum-wage-schedule.aspx" TargetMode="External"/><Relationship Id="rId34" Type="http://schemas.openxmlformats.org/officeDocument/2006/relationships/hyperlink" Target="https://labor.nv.gov/uploadedFiles/labornvgov/content/Employer/Rules%20to%20be%20Observed%20by%20Employers%2005.08.2025.pdf" TargetMode="External"/><Relationship Id="rId544" Type="http://schemas.openxmlformats.org/officeDocument/2006/relationships/hyperlink" Target="https://www.sf.gov/information/health-care-security-ordinance" TargetMode="External"/><Relationship Id="rId751" Type="http://schemas.openxmlformats.org/officeDocument/2006/relationships/hyperlink" Target="https://www.ilga.gov/legislation/publicacts/103/103-0721.htm" TargetMode="External"/><Relationship Id="rId849" Type="http://schemas.openxmlformats.org/officeDocument/2006/relationships/hyperlink" Target="https://legislature.mi.gov/documents/2025-2026/billenrolled/Senate/pdf/2025-SNB-0008.pdf" TargetMode="External"/><Relationship Id="rId183" Type="http://schemas.openxmlformats.org/officeDocument/2006/relationships/hyperlink" Target="https://www.swlaw.com/publication/exempt-by-day-hourly-by-night-new-dol-guidance-for-when-salaried-employees-pick-up-hourly-shifts/" TargetMode="External"/><Relationship Id="rId390" Type="http://schemas.openxmlformats.org/officeDocument/2006/relationships/hyperlink" Target="https://www.irs.gov/affordable-care-act/questions-and-answers-on-information-reporting-by-health-coverage-providers-section-6055" TargetMode="External"/><Relationship Id="rId404" Type="http://schemas.openxmlformats.org/officeDocument/2006/relationships/hyperlink" Target="https://dcboe.org/" TargetMode="External"/><Relationship Id="rId611" Type="http://schemas.openxmlformats.org/officeDocument/2006/relationships/hyperlink" Target="https://www.caloes.ca.gov/wp-content/uploads/Legal-Affairs/Documents/Proclamations/12.18.2024__SOE_Bird_Flu_GGN_Signed.02.pdf" TargetMode="External"/><Relationship Id="rId1034" Type="http://schemas.openxmlformats.org/officeDocument/2006/relationships/hyperlink" Target="https://capitol.tn.gov/Bills/114/Amend/HA0617.pdf" TargetMode="External"/><Relationship Id="rId250" Type="http://schemas.openxmlformats.org/officeDocument/2006/relationships/hyperlink" Target="https://www.lni.wa.gov/workers-rights/workplace-policies/non-compete-agreements" TargetMode="External"/><Relationship Id="rId488" Type="http://schemas.openxmlformats.org/officeDocument/2006/relationships/hyperlink" Target="https://www.eeoc.gov/wysk/what-you-should-know-about-pregnant-workers-fairness-act" TargetMode="External"/><Relationship Id="rId695" Type="http://schemas.openxmlformats.org/officeDocument/2006/relationships/hyperlink" Target="https://regulations.delaware.gov/register/march2024/final/27%20DE%20Reg%20683%2003-01-24.pdf" TargetMode="External"/><Relationship Id="rId709" Type="http://schemas.openxmlformats.org/officeDocument/2006/relationships/hyperlink" Target="https://www.ilga.gov/legislation/PublicActs/View/104-0744" TargetMode="External"/><Relationship Id="rId916" Type="http://schemas.openxmlformats.org/officeDocument/2006/relationships/hyperlink" Target="https://www.gencourt.state.nh.us/bill_status/billinfo.aspx?id=1810&amp;inflect=2" TargetMode="External"/><Relationship Id="rId1101" Type="http://schemas.openxmlformats.org/officeDocument/2006/relationships/hyperlink" Target="https://lawfilesext.leg.wa.gov/biennium/2025-26/Pdf/Bills/Session%20Laws/House/1875-S.SL.pdf?q=20250430122352" TargetMode="External"/><Relationship Id="rId45" Type="http://schemas.openxmlformats.org/officeDocument/2006/relationships/hyperlink" Target="https://labor.alaska.gov/wc/forms/wc6120.pdf" TargetMode="External"/><Relationship Id="rId110" Type="http://schemas.openxmlformats.org/officeDocument/2006/relationships/hyperlink" Target="https://dol.nebraska.gov/webdocs/Resources/Items/Paid%20Sick%20Time%20Notice%20(2).pdf" TargetMode="External"/><Relationship Id="rId348" Type="http://schemas.openxmlformats.org/officeDocument/2006/relationships/hyperlink" Target="https://www.eeoc.gov/wysk/what-you-should-know-about-dei-related-discrimination-work" TargetMode="External"/><Relationship Id="rId555"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62" Type="http://schemas.openxmlformats.org/officeDocument/2006/relationships/hyperlink" Target="https://labor.illinois.gov/content/dam/soi/en/web/idol/laws-rules/conmed/documents/EPRC%20Exemption-Business%20Name%20Change%20Form.pdf" TargetMode="External"/><Relationship Id="rId194" Type="http://schemas.openxmlformats.org/officeDocument/2006/relationships/hyperlink" Target="https://www.dol.gov/sites/dolgov/files/WHD/flsa/ot-541-final-rule.pdf" TargetMode="External"/><Relationship Id="rId208" Type="http://schemas.openxmlformats.org/officeDocument/2006/relationships/hyperlink" Target="https://www.irs.gov/newsroom/application-of-the-patient-centered-outcomes-research-trust-fund-fee-to-common-types-of-health-coverage-or-arrangements" TargetMode="External"/><Relationship Id="rId415" Type="http://schemas.openxmlformats.org/officeDocument/2006/relationships/hyperlink" Target="https://www.irs.gov/affordable-care-act/employers/questions-and-answers-about-information-reporting-by-employers-on-form-1094-c-and-form-1095-c" TargetMode="External"/><Relationship Id="rId622" Type="http://schemas.openxmlformats.org/officeDocument/2006/relationships/hyperlink" Target="https://leginfo.legislature.ca.gov/faces/billCompareClient.xhtml?bill_id=202320240AB1815&amp;showamends=false" TargetMode="External"/><Relationship Id="rId1045" Type="http://schemas.openxmlformats.org/officeDocument/2006/relationships/hyperlink" Target="https://le.utah.gov/~2024/bills/static/HB0055.html" TargetMode="External"/><Relationship Id="rId261" Type="http://schemas.openxmlformats.org/officeDocument/2006/relationships/hyperlink" Target="https://s3.documentcloud.org/documents/25944538/us-dis-txnd-2-24cv173-d211711029e3152-memorandum-opinion-and-order-re-29-motion-for-summ.pdf" TargetMode="External"/><Relationship Id="rId499" Type="http://schemas.openxmlformats.org/officeDocument/2006/relationships/hyperlink" Target="https://columbus.legistar.com/LegislationDetail.aspx?ID=6049069&amp;GUID=5751054E-6C9F-4B8C-8CB9-12703D38024F&amp;FullText=1" TargetMode="External"/><Relationship Id="rId927" Type="http://schemas.openxmlformats.org/officeDocument/2006/relationships/hyperlink" Target="https://www.nj.gov/labor/myworkrights/wages/pay-transparency/" TargetMode="External"/><Relationship Id="rId1112" Type="http://schemas.openxmlformats.org/officeDocument/2006/relationships/hyperlink" Target="https://www.littler.com/publication-press/publication/washington-state-legislative-updates" TargetMode="External"/><Relationship Id="rId56" Type="http://schemas.openxmlformats.org/officeDocument/2006/relationships/hyperlink" Target="https://www.nyc.gov/site/dca/about/Paid-Safe-Sick-Leave-Notice-of-Employee-Rights.page" TargetMode="External"/><Relationship Id="rId359" Type="http://schemas.openxmlformats.org/officeDocument/2006/relationships/hyperlink" Target="https://www.dol.gov/agencies/ebsa/about-ebsa/our-activities/enforcement" TargetMode="External"/><Relationship Id="rId566" Type="http://schemas.openxmlformats.org/officeDocument/2006/relationships/hyperlink" Target="https://leginfo.legislature.ca.gov/faces/billNavClient.xhtml?bill_id=202520260SB261" TargetMode="External"/><Relationship Id="rId773" Type="http://schemas.openxmlformats.org/officeDocument/2006/relationships/hyperlink" Target="https://iga.in.gov/pdf-documents/124/2025/senate/bills/SB0409/SB0409.06.ENRH.pdf" TargetMode="External"/><Relationship Id="rId121" Type="http://schemas.openxmlformats.org/officeDocument/2006/relationships/hyperlink" Target="chrome-extension://efaidnbmnnnibpcajpcglclefindmkaj/https:/dial.iowa.gov/media/8749/download?inline=" TargetMode="External"/><Relationship Id="rId219" Type="http://schemas.openxmlformats.org/officeDocument/2006/relationships/hyperlink" Target="https://www.irs.gov/instructions/i109495c" TargetMode="External"/><Relationship Id="rId426" Type="http://schemas.openxmlformats.org/officeDocument/2006/relationships/hyperlink" Target="https://www.dol.gov/agencies/ebsa/key-topics/retirement-benefits/cybersecurity/tips-for-hiring-a-service-provider-with-strong-security-practices" TargetMode="External"/><Relationship Id="rId633" Type="http://schemas.openxmlformats.org/officeDocument/2006/relationships/hyperlink" Target="https://leginfo.legislature.ca.gov/faces/billCompareClient.xhtml?bill_id=202320240SB399&amp;showamends=false" TargetMode="External"/><Relationship Id="rId980" Type="http://schemas.openxmlformats.org/officeDocument/2006/relationships/hyperlink" Target="https://nyassembly.gov/leg/?default_fld=&amp;leg_video=&amp;bn=A08947&amp;term=2023&amp;Summary=Y&amp;Actions=Y&amp;Committee%26nbspVotes=Y&amp;Floor%26nbspVotes=Y&amp;Memo=Y&amp;Text=Y" TargetMode="External"/><Relationship Id="rId1056" Type="http://schemas.openxmlformats.org/officeDocument/2006/relationships/hyperlink" Target="https://lis.virginia.gov/bill-details/20261/SB170/text/SB170ER" TargetMode="External"/><Relationship Id="rId840" Type="http://schemas.openxmlformats.org/officeDocument/2006/relationships/hyperlink" Target="https://www.mass.gov/doc/2025-pfml-mandatory-workplace-poster-english/download" TargetMode="External"/><Relationship Id="rId938" Type="http://schemas.openxmlformats.org/officeDocument/2006/relationships/hyperlink" Target="https://paidfamilyleave.ny.gov/" TargetMode="External"/><Relationship Id="rId67" Type="http://schemas.openxmlformats.org/officeDocument/2006/relationships/hyperlink" Target="https://labor.illinois.gov/content/dam/soi/en/web/idol/employers/posters/your-rights/2026/26_YourRights_English_NewLogo.pdf" TargetMode="External"/><Relationship Id="rId272" Type="http://schemas.openxmlformats.org/officeDocument/2006/relationships/hyperlink" Target="https://u4664138.ct.sendgrid.net/ls/click?upn=u001.-2BvR921dwSdNdTO8WsXTOoFCxVP-2FiAjNxrri6PJmieif0mKf34ibda7xzq9UWTbFyE1znf6kqTmhZ2ZQsQFCpTKbzY6chP-2FyV25yrbEuOhlP9iMhA0mTvH3uoXwTMzz7ik2fs_pZjfBIpLjMFCpu6xHFn7DWABExhsgTHcqiJ060gTkgzEATmBUNXNmW3P5SmbWvnmbIYQfDkrS-2FJBocqEoJt5MEoWZxGI0LRXVt0xU-2BuFEWwV-2BT6MbvjKR5JZ-2FzhD8mdyFS2ouefR-2FB23ue870WSv1BTxPT5cC4YJwpECcJGmoKVQ9YYqPPzhrf4ezH9DMwguwXULpTgXGZ3j20IGtIbwvP4WIcz1GcCE8AwS7OW0ZfkLAVRw1xeoa53mdCHGBjIkZYC53DvROgc-2BOH4Bl65rLg-3D-3D" TargetMode="External"/><Relationship Id="rId577" Type="http://schemas.openxmlformats.org/officeDocument/2006/relationships/hyperlink" Target="https://leginfo.legislature.ca.gov/faces/billTextClient.xhtml?bill_id=202520260AB406" TargetMode="External"/><Relationship Id="rId700"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132" Type="http://schemas.openxmlformats.org/officeDocument/2006/relationships/hyperlink" Target="https://does.dc.gov/sites/default/files/dc/sites/does/publication/attachments/DOES_OWH_2025%20Minimum%20Wage%20Increase%20Notice%20updated%202.6.2025.pdf" TargetMode="External"/><Relationship Id="rId784" Type="http://schemas.openxmlformats.org/officeDocument/2006/relationships/hyperlink" Target="https://www.maine.gov/paidleave/" TargetMode="External"/><Relationship Id="rId991" Type="http://schemas.openxmlformats.org/officeDocument/2006/relationships/hyperlink" Target="https://u4664138.ct.sendgrid.net/ls/click?upn=u001.-2BvR921dwSdNdTO8WsXTOoMsKRIsBRaBj8yyviR1rwLs-2FTWQM0UshA6QOVsgIW0YN2bsZ5X4IYtUECe22fV3rfq9KR1lnZ8X09UT-2F6dpUx6s-3D1qhZ_pZjfBIpLjMFCpu6xHFn7DWABExhsgTHcqiJ060gTkgzEATmBUNXNmW3P5SmbWvnmmrfH1-2B4pPPGFyB2hINv46jrWZ-2BPTaPegI8-2FvNXN-2B3a0IMN8xDuErJszoCxKHj8SVzuKgOtI31u1VaYAn7txNnL1O-2BVZ8zdx0O1HjwYhNTVVg2vba5ShQN6TWQIrsqBZHj-2Fl5WD5LOKcJnaXZWBz4uYuLMdxsK-2Bg-2FV9FhYGlnwOTLe0lwfLNPfKb2nSfz8SYTT-2F-2FSDPV3zjyCYcYGjyF9PQ-3D-3D" TargetMode="External"/><Relationship Id="rId1067" Type="http://schemas.openxmlformats.org/officeDocument/2006/relationships/hyperlink" Target="https://law.lis.virginia.gov/vacode/60.2-528.1/" TargetMode="External"/><Relationship Id="rId437" Type="http://schemas.openxmlformats.org/officeDocument/2006/relationships/hyperlink" Target="https://storage.courtlistener.com/recap/gov.uscourts.txnd.389064/gov.uscourts.txnd.389064.211.0.pdf" TargetMode="External"/><Relationship Id="rId644" Type="http://schemas.openxmlformats.org/officeDocument/2006/relationships/hyperlink" Target="https://leginfo.legislature.ca.gov/faces/billTextClient.xhtml?bill_id=202320240AB3234" TargetMode="External"/><Relationship Id="rId851"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283" Type="http://schemas.openxmlformats.org/officeDocument/2006/relationships/hyperlink" Target="https://www.irs.gov/pub/irs-drop/n-25-62.pdf" TargetMode="External"/><Relationship Id="rId490" Type="http://schemas.openxmlformats.org/officeDocument/2006/relationships/hyperlink" Target="https://www.eeoc.gov/summary-key-provisions-eeocs-final-rule-implement-pregnant-workers-fairness-act-pwfa" TargetMode="External"/><Relationship Id="rId504" Type="http://schemas.openxmlformats.org/officeDocument/2006/relationships/hyperlink" Target="https://www.morganlewis.com/pubs/2024/03/nlrb-blocked-from-implementing-expansive-joint-employer-rule" TargetMode="External"/><Relationship Id="rId711" Type="http://schemas.openxmlformats.org/officeDocument/2006/relationships/hyperlink" Target="https://www.chicago.gov/content/dam/city/depts/dol/rulesandregs/2026%20OLS_PL-PSL%20RULES_Final_20260514.pdf?sx2941vdfk" TargetMode="External"/><Relationship Id="rId949" Type="http://schemas.openxmlformats.org/officeDocument/2006/relationships/hyperlink" Target="https://www.wcb.ny.gov/content/main/PressRe/paid-family-leave-2026.jsp" TargetMode="External"/><Relationship Id="rId78" Type="http://schemas.openxmlformats.org/officeDocument/2006/relationships/hyperlink" Target="https://www.maine.gov/labor/docs/2026/posters/minwage/English_minimum_wage.pdf" TargetMode="External"/><Relationship Id="rId143" Type="http://schemas.openxmlformats.org/officeDocument/2006/relationships/hyperlink" Target="https://www.mass.gov/doc/information-on-employees-unemployment-insurance-coverage-form-2553a/download" TargetMode="External"/><Relationship Id="rId350" Type="http://schemas.openxmlformats.org/officeDocument/2006/relationships/hyperlink" Target="https://www.fincen.gov/news/news-releases/fincen-not-issuing-fines-or-penalties-connection-beneficial-ownership" TargetMode="External"/><Relationship Id="rId588" Type="http://schemas.openxmlformats.org/officeDocument/2006/relationships/hyperlink" Target="https://leginfo.legislature.ca.gov/faces/billTextClient.xhtml?bill_id=202520260AB406" TargetMode="External"/><Relationship Id="rId795" Type="http://schemas.openxmlformats.org/officeDocument/2006/relationships/hyperlink" Target="https://paidleave.maryland.gov/employers/private-plans/" TargetMode="External"/><Relationship Id="rId809" Type="http://schemas.openxmlformats.org/officeDocument/2006/relationships/hyperlink" Target="https://mgaleg.maryland.gov/2024RS/bills/sb/sb0485T.pdf" TargetMode="External"/><Relationship Id="rId9" Type="http://schemas.openxmlformats.org/officeDocument/2006/relationships/hyperlink" Target="https://d12vgt9cnuri7d.cloudfront.net/wp-content/uploads/sites/183/2026/07/07091625/CHIP-model-notice-2026.pdf" TargetMode="External"/><Relationship Id="rId210" Type="http://schemas.openxmlformats.org/officeDocument/2006/relationships/hyperlink" Target="https://www.federalregister.gov/documents/2026/04/13/2026-07104/occupations-that-customarily-and-regularly-received-tips-definition-of-qualified-tips" TargetMode="External"/><Relationship Id="rId448" Type="http://schemas.openxmlformats.org/officeDocument/2006/relationships/hyperlink" Target="https://www.govinfo.gov/content/pkg/FR-2024-04-26/pdf/2024-08038.pdf" TargetMode="External"/><Relationship Id="rId655"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862" Type="http://schemas.openxmlformats.org/officeDocument/2006/relationships/hyperlink" Target="http://www.legislature.mi.gov/(S(0jrxjwf43f2ohimqzwrfflnu))/mileg.aspx?page=GetObject&amp;objectname=mcl-act-338-of-2018" TargetMode="External"/><Relationship Id="rId1078" Type="http://schemas.openxmlformats.org/officeDocument/2006/relationships/hyperlink" Target="https://www.retirepathva.com/resources/faqs" TargetMode="External"/><Relationship Id="rId294"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308" Type="http://schemas.openxmlformats.org/officeDocument/2006/relationships/hyperlink" Target="https://www.dol.gov/sites/dolgov/files/WHD/fab/fab2025-3.pdf" TargetMode="External"/><Relationship Id="rId515" Type="http://schemas.openxmlformats.org/officeDocument/2006/relationships/hyperlink" Target="https://www.dol.gov/agencies/whd/flsa/misclassification/rulemaking/faqs" TargetMode="External"/><Relationship Id="rId722" Type="http://schemas.openxmlformats.org/officeDocument/2006/relationships/hyperlink" Target="https://www.ilga.gov/legislation/PublicActs/View/104-0078" TargetMode="External"/><Relationship Id="rId89" Type="http://schemas.openxmlformats.org/officeDocument/2006/relationships/hyperlink" Target="https://dwd.wisconsin.gov/dwd/publications/ui/notice.htm" TargetMode="External"/><Relationship Id="rId154" Type="http://schemas.openxmlformats.org/officeDocument/2006/relationships/hyperlink" Target="https://labor.mo.gov/media/pdf/earned-paid-sick-time-ls-121" TargetMode="External"/><Relationship Id="rId361" Type="http://schemas.openxmlformats.org/officeDocument/2006/relationships/hyperlink" Target="https://www.osha.gov/injuryreporting/" TargetMode="External"/><Relationship Id="rId599" Type="http://schemas.openxmlformats.org/officeDocument/2006/relationships/hyperlink" Target="https://calcivilrights.ca.gov/2025/06/30/civil-rights-council-secures-approval-for-regulations-to-protect-against-employment-discrimination-related-to-artificial-intelligence/" TargetMode="External"/><Relationship Id="rId1005"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459" Type="http://schemas.openxmlformats.org/officeDocument/2006/relationships/hyperlink" Target="https://www.fincen.gov/sites/default/files/shared/Corporate_Transparency_Act.pdf" TargetMode="External"/><Relationship Id="rId666" Type="http://schemas.openxmlformats.org/officeDocument/2006/relationships/hyperlink" Target="https://portal.ct.gov/governor/news/press-releases/2026/06-2026/governor-lamont-signs-legislation-establishing-youth-online-safety-protections?language=en_US" TargetMode="External"/><Relationship Id="rId873" Type="http://schemas.openxmlformats.org/officeDocument/2006/relationships/hyperlink" Target="https://www.dli.mn.gov/sick-leave" TargetMode="External"/><Relationship Id="rId1089" Type="http://schemas.openxmlformats.org/officeDocument/2006/relationships/hyperlink" Target="https://lawfilesext.leg.wa.gov/biennium/2025-26/Pdf/Bills/Session%20Laws/House/1213-S2.SL.pdf?q=20250710115316" TargetMode="External"/><Relationship Id="rId16" Type="http://schemas.openxmlformats.org/officeDocument/2006/relationships/hyperlink" Target="https://www.uscis.gov/sites/default/files/document/forms/i-9instr.pdf" TargetMode="External"/><Relationship Id="rId221" Type="http://schemas.openxmlformats.org/officeDocument/2006/relationships/hyperlink" Target="https://www.federalregister.gov/documents/2025/01/17/2025-01377/annual-update-of-the-hhs-poverty-guidelines" TargetMode="External"/><Relationship Id="rId319"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526" Type="http://schemas.openxmlformats.org/officeDocument/2006/relationships/hyperlink" Target="https://www.irs.gov/newsroom/irs-issues-standard-mileage-rates-for-2024-mileage-rate-increases-to-67-cents-a-mile-up-1-point-5-cents-from-2023" TargetMode="External"/><Relationship Id="rId733" Type="http://schemas.openxmlformats.org/officeDocument/2006/relationships/hyperlink" Target="https://codelibrary.amlegal.com/codes/chicago/latest/chicago_il/0-0-0-2700855" TargetMode="External"/><Relationship Id="rId940" Type="http://schemas.openxmlformats.org/officeDocument/2006/relationships/hyperlink" Target="https://www.nycdentalsociety.org/docs/statenynewyorklibraries/default-document-library/governor-approval-memo-16-on-workplace-first-aid-kit-including-opioid-antagonist.pdf?sfvrsn=e0d15fb8_1" TargetMode="External"/><Relationship Id="rId1016" Type="http://schemas.openxmlformats.org/officeDocument/2006/relationships/hyperlink" Target="https://www.phila.gov/documents/paid-sick-leave-information/" TargetMode="External"/><Relationship Id="rId165" Type="http://schemas.openxmlformats.org/officeDocument/2006/relationships/hyperlink" Target="https://portal.ct.gov/-/media/chro/discriminationisillegalposter20171016pdf.pdf" TargetMode="External"/><Relationship Id="rId372" Type="http://schemas.openxmlformats.org/officeDocument/2006/relationships/hyperlink" Target="https://www.federalregister.gov/public-inspection/2024-29798/tip-regulations-under-the-fair-labor-standards-act-restoration-of-regulatory-language" TargetMode="External"/><Relationship Id="rId677" Type="http://schemas.openxmlformats.org/officeDocument/2006/relationships/hyperlink" Target="https://leg.colorado.gov/sites/default/files/2025a_144_signed.pdf" TargetMode="External"/><Relationship Id="rId800" Type="http://schemas.openxmlformats.org/officeDocument/2006/relationships/hyperlink" Target="https://mgaleg.maryland.gov/mgawebsite/Laws/StatuteText?article=gle&amp;section=3-1201&amp;enactments=False&amp;archived=False" TargetMode="External"/><Relationship Id="rId232" Type="http://schemas.openxmlformats.org/officeDocument/2006/relationships/hyperlink" Target="https://www.federalregister.gov/documents/2026/02/09/2026-02466/minimum-wage-for-federal-contracts-covered-by-executive-order-13658-notice-of-rate-change-in-effect?utm_campaign=subscription+mailing+list&amp;utm_medium=email&amp;utm_source=federalregister.gov" TargetMode="External"/><Relationship Id="rId884"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27" Type="http://schemas.openxmlformats.org/officeDocument/2006/relationships/hyperlink" Target="https://portal.ct.gov/chro/commission/publications/chro-publications" TargetMode="External"/><Relationship Id="rId537" Type="http://schemas.openxmlformats.org/officeDocument/2006/relationships/hyperlink" Target="https://media.api.sf.gov/documents/FCO_Poster_2026_Aug2026_q9Z03CC.pdf" TargetMode="External"/><Relationship Id="rId744" Type="http://schemas.openxmlformats.org/officeDocument/2006/relationships/hyperlink" Target="https://www.cookcountyil.gov/service/paid-leave-ordinance-and-regulations" TargetMode="External"/><Relationship Id="rId951" Type="http://schemas.openxmlformats.org/officeDocument/2006/relationships/hyperlink" Target="https://www.bsk.com/new-york-labor-and-employment-law-report/new-york-city-expands-scheduling-and-workplace-protections-for-service-and-delivery-workers" TargetMode="External"/><Relationship Id="rId80" Type="http://schemas.openxmlformats.org/officeDocument/2006/relationships/hyperlink" Target="https://mn.gov/deed/assets/paid-leave-mandatory-employer-poster-acc_tcm1045-700342.pdf" TargetMode="External"/><Relationship Id="rId176" Type="http://schemas.openxmlformats.org/officeDocument/2006/relationships/hyperlink" Target="https://hrwatchdog.calchamber.com/2026/07/irs-mileage-rates-increased-again-on-july-1/" TargetMode="External"/><Relationship Id="rId383" Type="http://schemas.openxmlformats.org/officeDocument/2006/relationships/hyperlink" Target="https://hios.cms.gov/HIOS-GCPCA-UI" TargetMode="External"/><Relationship Id="rId590" Type="http://schemas.openxmlformats.org/officeDocument/2006/relationships/hyperlink" Target="https://leginfo.legislature.ca.gov/faces/billCompareClient.xhtml?bill_id=202520260SB642&amp;showamends=false" TargetMode="External"/><Relationship Id="rId604"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811" Type="http://schemas.openxmlformats.org/officeDocument/2006/relationships/hyperlink" Target="https://dsd.maryland.gov/MDRIssues/5119/Assembled.aspx" TargetMode="External"/><Relationship Id="rId1027" Type="http://schemas.openxmlformats.org/officeDocument/2006/relationships/hyperlink" Target="http://www.richr.ri.gov/documents/pregnancy.pdf" TargetMode="External"/><Relationship Id="rId243" Type="http://schemas.openxmlformats.org/officeDocument/2006/relationships/hyperlink" Target="https://mgaleg.maryland.gov/mgawebsite/Laws/StatuteText?article=gle&amp;section=3-716" TargetMode="External"/><Relationship Id="rId450" Type="http://schemas.openxmlformats.org/officeDocument/2006/relationships/hyperlink" Target="https://www.hhs.gov/hipaa/for-professionals/privacy/laws-regulations/index.html" TargetMode="External"/><Relationship Id="rId688" Type="http://schemas.openxmlformats.org/officeDocument/2006/relationships/hyperlink" Target="https://portal.ct.gov/dol/-/media/dol/2022-new-design-system/divisions/wage-and-workplace-standards/psl-faqs-effective-1-1-25.pdf" TargetMode="External"/><Relationship Id="rId895"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909" Type="http://schemas.openxmlformats.org/officeDocument/2006/relationships/hyperlink" Target="https://www.leg.state.nv.us/Register/2024Register/R131-24AP.pdf" TargetMode="External"/><Relationship Id="rId1080" Type="http://schemas.openxmlformats.org/officeDocument/2006/relationships/hyperlink" Target="https://www.burienwa.gov/city_hall/laws_regulations/minimum_wage" TargetMode="External"/><Relationship Id="rId38" Type="http://schemas.openxmlformats.org/officeDocument/2006/relationships/hyperlink" Target="https://www.oregon.gov/boli/employers/Documents/BOLI_Printable_SickLeave.pdf" TargetMode="External"/><Relationship Id="rId103" Type="http://schemas.openxmlformats.org/officeDocument/2006/relationships/hyperlink" Target="https://www.pa.gov/content/dam/copapwp-pagov/en/dli/documents/individuals/labor-management-relations/llc/veteran%20benefits%20and%20services_october%202025.pdf" TargetMode="External"/><Relationship Id="rId310" Type="http://schemas.openxmlformats.org/officeDocument/2006/relationships/hyperlink" Target="https://www.wardandsmith.com/articles/navigating-employee-political-speech-key-considerations-for-employers" TargetMode="External"/><Relationship Id="rId548" Type="http://schemas.openxmlformats.org/officeDocument/2006/relationships/hyperlink" Target="https://www.dir.ca.gov/dlse/Publications/Paid_Sick_Days_Poster_Template_(11_2014).pdf" TargetMode="External"/><Relationship Id="rId755" Type="http://schemas.openxmlformats.org/officeDocument/2006/relationships/hyperlink" Target="https://labor.illinois.gov/laws-rules/legal/freelance-worker-protection-act.html" TargetMode="External"/><Relationship Id="rId962" Type="http://schemas.openxmlformats.org/officeDocument/2006/relationships/hyperlink" Target="https://www.nyc.gov/assets/cchr/downloads/pdf/Lactation%20Accommodation_WhatNYCEmployersNeedToKnow%20FINAL.pdf" TargetMode="External"/><Relationship Id="rId91" Type="http://schemas.openxmlformats.org/officeDocument/2006/relationships/hyperlink" Target="https://labor.vermont.gov/document/accommodations-pregnant-employees-poster" TargetMode="External"/><Relationship Id="rId187" Type="http://schemas.openxmlformats.org/officeDocument/2006/relationships/hyperlink" Target="https://www.swlaw.com/publication/exempt-by-day-hourly-by-night-new-dol-guidance-for-when-salaried-employees-pick-up-hourly-shifts/" TargetMode="External"/><Relationship Id="rId394" Type="http://schemas.openxmlformats.org/officeDocument/2006/relationships/hyperlink" Target="https://www.irs.gov/pub/irs-drop/rp-24-35.pdf" TargetMode="External"/><Relationship Id="rId408" Type="http://schemas.openxmlformats.org/officeDocument/2006/relationships/hyperlink" Target="https://www.irs.gov/pub/irs-dft/i109495b--dft.pdf" TargetMode="External"/><Relationship Id="rId615" Type="http://schemas.openxmlformats.org/officeDocument/2006/relationships/hyperlink" Target="https://bosagenda.sandiegocounty.gov/cobservice/cosd/cob/content?id=0901127e8110d91d" TargetMode="External"/><Relationship Id="rId822" Type="http://schemas.openxmlformats.org/officeDocument/2006/relationships/hyperlink" Target="https://www.mass.gov/doc/ago-wage-transparency-act-faqs-revised-11132025/download" TargetMode="External"/><Relationship Id="rId1038" Type="http://schemas.openxmlformats.org/officeDocument/2006/relationships/hyperlink" Target="https://legiscan.com/TX/bill/SB1318/2025" TargetMode="External"/><Relationship Id="rId254" Type="http://schemas.openxmlformats.org/officeDocument/2006/relationships/hyperlink" Target="https://www.dol.gov/agencies/whd/compliance-assistance" TargetMode="External"/><Relationship Id="rId699" Type="http://schemas.openxmlformats.org/officeDocument/2006/relationships/hyperlink" Target="https://lims.dccouncil.gov/downloads/LIMS/52488/Signed_Act/B25-0194-Signed_Act.pdf?Id=183410" TargetMode="External"/><Relationship Id="rId1091" Type="http://schemas.openxmlformats.org/officeDocument/2006/relationships/hyperlink" Target="https://lawfilesext.leg.wa.gov/biennium/2025-26/Pdf/Bills/House%20Passed%20Legislature/1524-S2.PL.pdf?q=20251217095910" TargetMode="External"/><Relationship Id="rId1105" Type="http://schemas.openxmlformats.org/officeDocument/2006/relationships/hyperlink" Target="https://lawfilesext.leg.wa.gov/biennium/2025-26/Pdf/Bill%20Reports/Senate/5408-S%20SBR%20HA%2025.pdf?q=20250422131809" TargetMode="External"/><Relationship Id="rId49" Type="http://schemas.openxmlformats.org/officeDocument/2006/relationships/hyperlink" Target="https://www.maine.gov/paidleave/employers/index.shtml" TargetMode="External"/><Relationship Id="rId114" Type="http://schemas.openxmlformats.org/officeDocument/2006/relationships/hyperlink" Target="https://oklahoma.gov/content/dam/ok/en/oesc/documents/forms/OES-044.pdf" TargetMode="External"/><Relationship Id="rId461" Type="http://schemas.openxmlformats.org/officeDocument/2006/relationships/hyperlink" Target="https://www.fincen.gov/sites/default/files/shared/BOI-Informational-Brochure-April-2024.pdf" TargetMode="External"/><Relationship Id="rId559" Type="http://schemas.openxmlformats.org/officeDocument/2006/relationships/hyperlink" Target="https://www.dir.ca.gov/dlse/minimum_wage.htm" TargetMode="External"/><Relationship Id="rId766" Type="http://schemas.openxmlformats.org/officeDocument/2006/relationships/hyperlink" Target="https://www.ilga.gov/legislation/publicacts/fulltext.asp?Name=103-0282&amp;GA=103" TargetMode="External"/><Relationship Id="rId198" Type="http://schemas.openxmlformats.org/officeDocument/2006/relationships/hyperlink" Target="https://apps.trustmineral.com/hr-compliance/laws/mC5hAMhttkxdlGPzUsluxL/details" TargetMode="External"/><Relationship Id="rId321" Type="http://schemas.openxmlformats.org/officeDocument/2006/relationships/hyperlink" Target="https://www.msn.com/en-us/news/us/hundreds-arrested-in-immigration-raid-at-2-california-farms-workers-reportedly-injured/ar-AA1IrEU4?ocid=BingNewsSerp" TargetMode="External"/><Relationship Id="rId419" Type="http://schemas.openxmlformats.org/officeDocument/2006/relationships/hyperlink" Target="https://www.dol.gov/newsroom/releases/odep/odep20240924" TargetMode="External"/><Relationship Id="rId626" Type="http://schemas.openxmlformats.org/officeDocument/2006/relationships/hyperlink" Target="https://leginfo.legislature.ca.gov/faces/billCompareClient.xhtml?bill_id=202320240SB1340&amp;showamends=false" TargetMode="External"/><Relationship Id="rId973" Type="http://schemas.openxmlformats.org/officeDocument/2006/relationships/hyperlink" Target="https://nyassembly.gov/leg/?term=2025&amp;bn=A01678" TargetMode="External"/><Relationship Id="rId1049" Type="http://schemas.openxmlformats.org/officeDocument/2006/relationships/hyperlink" Target="https://legislature.vermont.gov/Documents/2024/Docs/ACTS/ACT155/ACT155%20As%20Enacted.pdf" TargetMode="External"/><Relationship Id="rId833" Type="http://schemas.openxmlformats.org/officeDocument/2006/relationships/hyperlink" Target="https://www.mass.gov/info-details/employer-private-plan-reporting-obligations" TargetMode="External"/><Relationship Id="rId1116" Type="http://schemas.openxmlformats.org/officeDocument/2006/relationships/footer" Target="footer1.xml"/><Relationship Id="rId265" Type="http://schemas.openxmlformats.org/officeDocument/2006/relationships/hyperlink" Target="https://www.govinfo.gov/content/pkg/FR-2026-01-15/pdf/2026-00653.pdf?utm_campaign=subscription+mailing+list&amp;utm_medium=email&amp;utm_source=federalregister.gov" TargetMode="External"/><Relationship Id="rId472" Type="http://schemas.openxmlformats.org/officeDocument/2006/relationships/hyperlink" Target="https://www.cms.gov/files/document/2025-papi-parameters-guidance-2023-11-15.pdf" TargetMode="External"/><Relationship Id="rId900" Type="http://schemas.openxmlformats.org/officeDocument/2006/relationships/hyperlink" Target="https://nebraskalegislature.gov/FloorDocs/109/PDF/Slip/LB921.pdf" TargetMode="External"/><Relationship Id="rId125" Type="http://schemas.openxmlformats.org/officeDocument/2006/relationships/hyperlink" Target="https://labor.nv.gov/uploadedFiles/labornvgov/content/Employer/25.06.23%20-%202025%20Minimum%20Wage%20Bulletin(1).pdf" TargetMode="External"/><Relationship Id="rId332"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777" Type="http://schemas.openxmlformats.org/officeDocument/2006/relationships/hyperlink" Target="https://legis.la.gov/legis/BillInfo.aspx?s=24RS&amp;b=HB156&amp;sbi=y" TargetMode="External"/><Relationship Id="rId984" Type="http://schemas.openxmlformats.org/officeDocument/2006/relationships/hyperlink" Target="https://search-prod.lis.state.oh.us/api/v2/general_assembly_136/legislation/hb96/07_EN/pdf/" TargetMode="External"/><Relationship Id="rId637" Type="http://schemas.openxmlformats.org/officeDocument/2006/relationships/hyperlink" Target="https://leginfo.legislature.ca.gov/faces/billNavClient.xhtml?bill_id=202320240SB428" TargetMode="External"/><Relationship Id="rId844" Type="http://schemas.openxmlformats.org/officeDocument/2006/relationships/hyperlink" Target="https://www.mass.gov/info-details/how-pfml-weekly-benefit-amounts-are-calculated-andor-changed" TargetMode="External"/><Relationship Id="rId276" Type="http://schemas.openxmlformats.org/officeDocument/2006/relationships/hyperlink" Target="https://www.uscis.gov/policy-manual" TargetMode="External"/><Relationship Id="rId483" Type="http://schemas.openxmlformats.org/officeDocument/2006/relationships/hyperlink" Target="https://www.irs.gov/pub/irs-drop/rp-24-14.pdf" TargetMode="External"/><Relationship Id="rId690" Type="http://schemas.openxmlformats.org/officeDocument/2006/relationships/hyperlink" Target="https://labor.delaware.gov/delaware-paid-leave/employers/" TargetMode="External"/><Relationship Id="rId704" Type="http://schemas.openxmlformats.org/officeDocument/2006/relationships/hyperlink" Target="https://labor.hawaii.gov/wsd/hawaii-family-leave/" TargetMode="External"/><Relationship Id="rId911" Type="http://schemas.openxmlformats.org/officeDocument/2006/relationships/hyperlink" Target="https://www.leg.state.nv.us/Register/2024Register/R131-24AP.pdf" TargetMode="External"/><Relationship Id="rId40" Type="http://schemas.openxmlformats.org/officeDocument/2006/relationships/hyperlink" Target="https://www.oregon.gov/boli/employers/Documents/BOLI_Printable_Captive_Mtg.pdf" TargetMode="External"/><Relationship Id="rId136" Type="http://schemas.openxmlformats.org/officeDocument/2006/relationships/hyperlink" Target="https://www.oregon.gov/boli/employers/Documents/BOLI_Printable_MinWage.pdf" TargetMode="External"/><Relationship Id="rId343" Type="http://schemas.openxmlformats.org/officeDocument/2006/relationships/hyperlink" Target="https://storage.courtlistener.com/recap/gov.uscourts.ca4.177868/gov.uscourts.ca4.177868.29.0.pdf" TargetMode="External"/><Relationship Id="rId550" Type="http://schemas.openxmlformats.org/officeDocument/2006/relationships/hyperlink" Target="https://calcivilrights.ca.gov/wp-content/uploads/sites/32/2025/11/2025-California-Pay-Data-Reporting-Frequently-Asked-Questions-on-Pay-Data-Reporting-Templates-Preliminary-Version.pdf" TargetMode="External"/><Relationship Id="rId788" Type="http://schemas.openxmlformats.org/officeDocument/2006/relationships/hyperlink" Target="https://meritsaves.org/" TargetMode="External"/><Relationship Id="rId995" Type="http://schemas.openxmlformats.org/officeDocument/2006/relationships/hyperlink" Target="https://olis.oregonlegislature.gov/liz/2025R1/Measures/Overview/SB69" TargetMode="External"/><Relationship Id="rId203" Type="http://schemas.openxmlformats.org/officeDocument/2006/relationships/hyperlink" Target="https://www.irs.gov/forms-pubs/about-form-720" TargetMode="External"/><Relationship Id="rId648" Type="http://schemas.openxmlformats.org/officeDocument/2006/relationships/hyperlink" Target="https://www.sf.gov/sites/default/files/2024-04/2024%20HCSO%20poster%20updated%208.5x14_April2024.pdf" TargetMode="External"/><Relationship Id="rId855" Type="http://schemas.openxmlformats.org/officeDocument/2006/relationships/hyperlink" Target="https://www.legislature.mi.gov/documents/2023-2024/publicact/pdf/2024-PA-0196.pdf" TargetMode="External"/><Relationship Id="rId1040" Type="http://schemas.openxmlformats.org/officeDocument/2006/relationships/hyperlink" Target="https://www.mpp.org/news/press/texas-becomes-40th-state-to-legalize-medical-cannabis/" TargetMode="External"/><Relationship Id="rId287"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410" Type="http://schemas.openxmlformats.org/officeDocument/2006/relationships/hyperlink" Target="https://www.irs.gov/pub/irs-dft/f1095c--dft.pdf" TargetMode="External"/><Relationship Id="rId494" Type="http://schemas.openxmlformats.org/officeDocument/2006/relationships/hyperlink" Target="https://le.utah.gov/~2024/bills/static/HB0111.html" TargetMode="External"/><Relationship Id="rId508" Type="http://schemas.openxmlformats.org/officeDocument/2006/relationships/hyperlink" Target="https://www.morganlewis.com/pubs/2024/03/nlrb-blocked-from-implementing-expansive-joint-employer-rule" TargetMode="External"/><Relationship Id="rId715" Type="http://schemas.openxmlformats.org/officeDocument/2006/relationships/hyperlink" Target="https://labor.illinois.gov/laws-rules/conmed/eprc-faqs.html" TargetMode="External"/><Relationship Id="rId922" Type="http://schemas.openxmlformats.org/officeDocument/2006/relationships/hyperlink" Target="https://pub.njleg.state.nj.us/Bills/2024/A3500/3451_R2.PDF" TargetMode="External"/><Relationship Id="rId147" Type="http://schemas.openxmlformats.org/officeDocument/2006/relationships/hyperlink" Target="https://www.maine.gov/paidleave/docs/2025/employerresources/englishposter.pdf" TargetMode="External"/><Relationship Id="rId354" Type="http://schemas.openxmlformats.org/officeDocument/2006/relationships/hyperlink" Target="https://www.irs.gov/pub/irs-drop/n-25-15.pdf" TargetMode="External"/><Relationship Id="rId799" Type="http://schemas.openxmlformats.org/officeDocument/2006/relationships/hyperlink" Target="https://mgaleg.maryland.gov/2025RS/Chapters_noln/CH_296_sb0785t.pdf" TargetMode="External"/><Relationship Id="rId51" Type="http://schemas.openxmlformats.org/officeDocument/2006/relationships/hyperlink" Target="https://labor.vermont.gov/sites/labor/files/documents/Unemployment%20Insurance%20Mandatory%20Poster_Updated%200426.pdf" TargetMode="External"/><Relationship Id="rId561" Type="http://schemas.openxmlformats.org/officeDocument/2006/relationships/hyperlink" Target="https://leginfo.legislature.ca.gov/faces/billTextClient.xhtml?bill_id=202520260AB406" TargetMode="External"/><Relationship Id="rId659" Type="http://schemas.openxmlformats.org/officeDocument/2006/relationships/hyperlink" Target="https://lacounty.gov/2024/02/06/la-county-introduces-the-fair-chance-ordinance-to-give-system-impacted-individuals-an-equal-opportunity-to-be-employed/" TargetMode="External"/><Relationship Id="rId866" Type="http://schemas.openxmlformats.org/officeDocument/2006/relationships/hyperlink" Target="https://mn.gov/deed/paidleave/employers/resource/" TargetMode="External"/><Relationship Id="rId214" Type="http://schemas.openxmlformats.org/officeDocument/2006/relationships/hyperlink" Target="https://regtap.cms.gov/reg_librarye.php?i=3860" TargetMode="External"/><Relationship Id="rId298" Type="http://schemas.openxmlformats.org/officeDocument/2006/relationships/hyperlink" Target="https://home.treasury.gov/system/files/136/Tipped-Occupations-Detailed-8-27-2025.pdf?cxu5e4j5okk" TargetMode="External"/><Relationship Id="rId421" Type="http://schemas.openxmlformats.org/officeDocument/2006/relationships/hyperlink" Target="https://www.dol.gov/general/AI-Principles" TargetMode="External"/><Relationship Id="rId519" Type="http://schemas.openxmlformats.org/officeDocument/2006/relationships/hyperlink" Target="https://www.usnews.com/news/national-news/articles/2023-12-28/why-were-there-so-many-strikes-in-2023-and-what-does-it-mean-for-2024)" TargetMode="External"/><Relationship Id="rId1051" Type="http://schemas.openxmlformats.org/officeDocument/2006/relationships/hyperlink" Target="https://legislature.vermont.gov/Documents/2024/Docs/ACTS/ACT092/ACT092%20As%20Enacted.pdf" TargetMode="External"/><Relationship Id="rId158" Type="http://schemas.openxmlformats.org/officeDocument/2006/relationships/hyperlink" Target="https://www.mass.gov/doc/earned-sick-time-notice-of-employee-rights-english-0/download" TargetMode="External"/><Relationship Id="rId726" Type="http://schemas.openxmlformats.org/officeDocument/2006/relationships/hyperlink" Target="https://labor.illinois.gov/laws-rules/conmed/eprc.html" TargetMode="External"/><Relationship Id="rId933" Type="http://schemas.openxmlformats.org/officeDocument/2006/relationships/hyperlink" Target="https://www.nyc.gov/site/dca/about/paid-sick-leave-FAQs.page" TargetMode="External"/><Relationship Id="rId1009" Type="http://schemas.openxmlformats.org/officeDocument/2006/relationships/hyperlink" Target="https://paidleave.oregon.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4394</TotalTime>
  <Pages>305</Pages>
  <Words>208791</Words>
  <Characters>1012639</Characters>
  <Application>Microsoft Office Word</Application>
  <DocSecurity>0</DocSecurity>
  <Lines>20666</Lines>
  <Paragraphs>22207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408</cp:revision>
  <cp:lastPrinted>2024-02-07T01:51:00Z</cp:lastPrinted>
  <dcterms:created xsi:type="dcterms:W3CDTF">2025-03-31T17:45:00Z</dcterms:created>
  <dcterms:modified xsi:type="dcterms:W3CDTF">2026-09-03T20:47:00Z</dcterms:modified>
</cp:coreProperties>
</file>